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PIR INDUSTRIAL LLC</w:t>
      </w:r>
    </w:p>
    <w:p>
      <w:pPr>
        <w:spacing w:after="400"/>
      </w:pPr>
    </w:p>
    <w:p>
      <w:pPr>
        <w:spacing w:after="200"/>
        <w:jc w:val="center"/>
      </w:pPr>
      <w:r>
        <w:rPr>
          <w:b/>
          <w:bCs/>
          <w:sz w:val="40"/>
          <w:szCs w:val="40"/>
          <w:rFonts w:ascii="Arial" w:cs="Arial" w:eastAsia="Arial" w:hAnsi="Arial"/>
        </w:rPr>
        <w:t xml:space="preserve">LEGAL DEPARTMENT</w:t>
      </w:r>
    </w:p>
    <w:p>
      <w:pPr>
        <w:spacing w:after="600"/>
        <w:jc w:val="center"/>
      </w:pPr>
      <w:r>
        <w:rPr>
          <w:b/>
          <w:bCs/>
          <w:sz w:val="40"/>
          <w:szCs w:val="40"/>
          <w:rFonts w:ascii="Arial" w:cs="Arial" w:eastAsia="Arial" w:hAnsi="Arial"/>
        </w:rPr>
        <w:t xml:space="preserve">OPERATIONS MANUAL</w:t>
      </w:r>
    </w:p>
    <w:p>
      <w:pPr>
        <w:spacing w:after="400"/>
      </w:pPr>
    </w:p>
    <w:p>
      <w:pPr>
        <w:spacing w:after="100"/>
        <w:jc w:val="center"/>
      </w:pPr>
      <w:r>
        <w:rPr>
          <w:sz w:val="24"/>
          <w:szCs w:val="24"/>
          <w:rFonts w:ascii="Arial" w:cs="Arial" w:eastAsia="Arial" w:hAnsi="Arial"/>
        </w:rPr>
        <w:t xml:space="preserve">Version 1.0</w:t>
      </w:r>
    </w:p>
    <w:p>
      <w:pPr>
        <w:spacing w:after="100"/>
        <w:jc w:val="center"/>
      </w:pPr>
      <w:r>
        <w:rPr>
          <w:sz w:val="24"/>
          <w:szCs w:val="24"/>
          <w:rFonts w:ascii="Arial" w:cs="Arial" w:eastAsia="Arial" w:hAnsi="Arial"/>
        </w:rPr>
        <w:t xml:space="preserve">Effective Date: March 18, 2026</w:t>
      </w:r>
    </w:p>
    <w:p>
      <w:pPr>
        <w:spacing w:after="100"/>
        <w:jc w:val="center"/>
      </w:pPr>
      <w:r>
        <w:rPr>
          <w:sz w:val="24"/>
          <w:szCs w:val="24"/>
          <w:rFonts w:ascii="Arial" w:cs="Arial" w:eastAsia="Arial" w:hAnsi="Arial"/>
        </w:rPr>
        <w:t xml:space="preserve">Approved By: General Counsel; Chief Executive Officer</w:t>
      </w:r>
    </w:p>
    <w:p>
      <w:pPr>
        <w:spacing w:after="2000"/>
      </w:pPr>
    </w:p>
    <w:p>
      <w:pPr>
        <w:spacing w:after="100"/>
        <w:jc w:val="center"/>
      </w:pPr>
      <w:r>
        <w:rPr>
          <w:b/>
          <w:bCs/>
          <w:i/>
          <w:iCs/>
          <w:sz w:val="22"/>
          <w:szCs w:val="22"/>
          <w:rFonts w:ascii="Arial" w:cs="Arial" w:eastAsia="Arial" w:hAnsi="Arial"/>
        </w:rPr>
        <w:t xml:space="preserve">CONFIDENTIAL -- FOR INTERNAL USE ONLY</w:t>
      </w:r>
    </w:p>
    <w:p>
      <w:r>
        <w:br w:type="page"/>
      </w:r>
    </w:p>
    <w:p>
      <w:pPr>
        <w:pStyle w:val="Heading1"/>
        <w:spacing w:after="300"/>
      </w:pPr>
      <w:r>
        <w:rPr>
          <w:b/>
          <w:bCs/>
          <w:sz w:val="32"/>
          <w:szCs w:val="32"/>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240" w:after="200"/>
      </w:pPr>
      <w:r>
        <w:rPr>
          <w:b/>
          <w:bCs/>
          <w:sz w:val="32"/>
          <w:szCs w:val="32"/>
          <w:rFonts w:ascii="Arial" w:cs="Arial" w:eastAsia="Arial" w:hAnsi="Arial"/>
        </w:rPr>
        <w:t xml:space="preserve">SECTION 1. PURPOSE AND SCOPE</w:t>
      </w:r>
    </w:p>
    <w:p>
      <w:pPr>
        <w:spacing w:before="80" w:after="120"/>
      </w:pPr>
      <w:r>
        <w:rPr>
          <w:sz w:val="22"/>
          <w:szCs w:val="22"/>
          <w:rFonts w:ascii="Arial" w:cs="Arial" w:eastAsia="Arial" w:hAnsi="Arial"/>
        </w:rPr>
        <w:t xml:space="preserve">The purpose of this Legal Department Operations Manual (the "Manual") is to establish a consistent and scalable framework for the management of legal matters across PIR Industrial LLC (the "Company"). This Manual is intended to provide guidance to the Legal Department (the "Department") personnel on such activities and responsibilities, particularly in cooperation with other internal and external stakeholders, namely, the Company's ownership, executive leadership, and personnel in other Company departments.</w:t>
      </w:r>
    </w:p>
    <w:p>
      <w:pPr>
        <w:spacing w:before="80" w:after="120"/>
      </w:pPr>
      <w:r>
        <w:rPr>
          <w:sz w:val="22"/>
          <w:szCs w:val="22"/>
          <w:rFonts w:ascii="Arial" w:cs="Arial" w:eastAsia="Arial" w:hAnsi="Arial"/>
        </w:rPr>
        <w:t xml:space="preserve">This Manual will define the Department's oversight and responsibilities necessary to support informed business decision-making.</w:t>
      </w:r>
    </w:p>
    <w:p>
      <w:pPr>
        <w:spacing w:before="80" w:after="120"/>
      </w:pPr>
      <w:r>
        <w:rPr>
          <w:sz w:val="22"/>
          <w:szCs w:val="22"/>
          <w:rFonts w:ascii="Arial" w:cs="Arial" w:eastAsia="Arial" w:hAnsi="Arial"/>
        </w:rPr>
        <w:t xml:space="preserve">As the Company continues to evolve, implement new technologies, and adjust internal systems and workflows, the Department may update these policies and procedures to ensure continued effectiveness and alignment with organizational objectives.</w:t>
      </w:r>
    </w:p>
    <w:p>
      <w:r>
        <w:br w:type="page"/>
      </w:r>
    </w:p>
    <w:p>
      <w:pPr>
        <w:pStyle w:val="Heading1"/>
        <w:spacing w:before="240" w:after="200"/>
      </w:pPr>
      <w:r>
        <w:rPr>
          <w:b/>
          <w:bCs/>
          <w:sz w:val="32"/>
          <w:szCs w:val="32"/>
          <w:rFonts w:ascii="Arial" w:cs="Arial" w:eastAsia="Arial" w:hAnsi="Arial"/>
        </w:rPr>
        <w:t xml:space="preserve">SECTION 2. DEFINITIONS AND GLOSSARY</w:t>
      </w:r>
    </w:p>
    <w:p>
      <w:pPr>
        <w:spacing w:before="80" w:after="120"/>
      </w:pPr>
      <w:r>
        <w:rPr>
          <w:sz w:val="22"/>
          <w:szCs w:val="22"/>
          <w:rFonts w:ascii="Arial" w:cs="Arial" w:eastAsia="Arial" w:hAnsi="Arial"/>
        </w:rPr>
        <w:t xml:space="preserve">The following defined terms apply throughout this Manual unless a specific section expressly provides otherwise. Where a term is defined both here and in an Attachment, the Attachment definition governs for purposes of that Attachment.</w:t>
      </w:r>
    </w:p>
    <w:p>
      <w:pPr>
        <w:spacing w:before="80" w:after="120"/>
      </w:pPr>
      <w:r>
        <w:rPr>
          <w:b/>
          <w:bCs/>
          <w:sz w:val="22"/>
          <w:szCs w:val="22"/>
          <w:rFonts w:ascii="Arial" w:cs="Arial" w:eastAsia="Arial" w:hAnsi="Arial"/>
        </w:rPr>
        <w:t xml:space="preserve">"Asset Management" or "Asset Mgmt"</w:t>
      </w:r>
      <w:r>
        <w:rPr>
          <w:sz w:val="22"/>
          <w:szCs w:val="22"/>
          <w:rFonts w:ascii="Arial" w:cs="Arial" w:eastAsia="Arial" w:hAnsi="Arial"/>
        </w:rPr>
        <w:t xml:space="preserve"> means the Company's Asset Management Department, which is responsible for commercial lease negotiations, tenant and broker relationships, and leasing strategy.</w:t>
      </w:r>
    </w:p>
    <w:p>
      <w:pPr>
        <w:spacing w:before="80" w:after="120"/>
      </w:pPr>
      <w:r>
        <w:rPr>
          <w:b/>
          <w:bCs/>
          <w:sz w:val="22"/>
          <w:szCs w:val="22"/>
          <w:rFonts w:ascii="Arial" w:cs="Arial" w:eastAsia="Arial" w:hAnsi="Arial"/>
        </w:rPr>
        <w:t xml:space="preserve">"Associate General Counsel" or "Associate GC"</w:t>
      </w:r>
      <w:r>
        <w:rPr>
          <w:sz w:val="22"/>
          <w:szCs w:val="22"/>
          <w:rFonts w:ascii="Arial" w:cs="Arial" w:eastAsia="Arial" w:hAnsi="Arial"/>
        </w:rPr>
        <w:t xml:space="preserve"> means the Department's senior attorney reporting to the General Counsel, with delegated authority as specified in Attachment A (Delegation of Authority Matrix).</w:t>
      </w:r>
    </w:p>
    <w:p>
      <w:pPr>
        <w:spacing w:before="80" w:after="120"/>
      </w:pPr>
      <w:r>
        <w:rPr>
          <w:b/>
          <w:bCs/>
          <w:sz w:val="22"/>
          <w:szCs w:val="22"/>
          <w:rFonts w:ascii="Arial" w:cs="Arial" w:eastAsia="Arial" w:hAnsi="Arial"/>
        </w:rPr>
        <w:t xml:space="preserve">"Attachment A"</w:t>
      </w:r>
      <w:r>
        <w:rPr>
          <w:sz w:val="22"/>
          <w:szCs w:val="22"/>
          <w:rFonts w:ascii="Arial" w:cs="Arial" w:eastAsia="Arial" w:hAnsi="Arial"/>
        </w:rPr>
        <w:t xml:space="preserve"> means the Delegation of Authority Matrix attached to this Manual, as amended from time to time, which sets forth approval thresholds and signatory authority for the Company's transactions and legal matters.</w:t>
      </w:r>
    </w:p>
    <w:p>
      <w:pPr>
        <w:spacing w:before="80" w:after="120"/>
      </w:pPr>
      <w:r>
        <w:rPr>
          <w:b/>
          <w:bCs/>
          <w:sz w:val="22"/>
          <w:szCs w:val="22"/>
          <w:rFonts w:ascii="Arial" w:cs="Arial" w:eastAsia="Arial" w:hAnsi="Arial"/>
        </w:rPr>
        <w:t xml:space="preserve">"Authorized Persons"</w:t>
      </w:r>
      <w:r>
        <w:rPr>
          <w:sz w:val="22"/>
          <w:szCs w:val="22"/>
          <w:rFonts w:ascii="Arial" w:cs="Arial" w:eastAsia="Arial" w:hAnsi="Arial"/>
        </w:rPr>
        <w:t xml:space="preserve"> means those individuals who have been granted delegated authority to act on behalf of the Company with respect to specified categories of transactions or decisions, as set forth in Attachment A (Delegation of Authority Matrix). References in this Manual to "certain authorized persons" shall be construed accordingly.</w:t>
      </w:r>
    </w:p>
    <w:p>
      <w:pPr>
        <w:spacing w:before="80" w:after="120"/>
      </w:pPr>
      <w:r>
        <w:rPr>
          <w:b/>
          <w:bCs/>
          <w:sz w:val="22"/>
          <w:szCs w:val="22"/>
          <w:rFonts w:ascii="Arial" w:cs="Arial" w:eastAsia="Arial" w:hAnsi="Arial"/>
        </w:rPr>
        <w:t xml:space="preserve">"Board"</w:t>
      </w:r>
      <w:r>
        <w:rPr>
          <w:sz w:val="22"/>
          <w:szCs w:val="22"/>
          <w:rFonts w:ascii="Arial" w:cs="Arial" w:eastAsia="Arial" w:hAnsi="Arial"/>
        </w:rPr>
        <w:t xml:space="preserve"> means the Board of Directors or Board of Managers of the Company, as applicable.</w:t>
      </w:r>
    </w:p>
    <w:p>
      <w:pPr>
        <w:spacing w:before="80" w:after="120"/>
      </w:pPr>
      <w:r>
        <w:rPr>
          <w:b/>
          <w:bCs/>
          <w:sz w:val="22"/>
          <w:szCs w:val="22"/>
          <w:rFonts w:ascii="Arial" w:cs="Arial" w:eastAsia="Arial" w:hAnsi="Arial"/>
        </w:rPr>
        <w:t xml:space="preserve">"CEO"</w:t>
      </w:r>
      <w:r>
        <w:rPr>
          <w:sz w:val="22"/>
          <w:szCs w:val="22"/>
          <w:rFonts w:ascii="Arial" w:cs="Arial" w:eastAsia="Arial" w:hAnsi="Arial"/>
        </w:rPr>
        <w:t xml:space="preserve"> means the Chief Executive Officer of the Company.</w:t>
      </w:r>
    </w:p>
    <w:p>
      <w:pPr>
        <w:spacing w:before="80" w:after="120"/>
      </w:pPr>
      <w:r>
        <w:rPr>
          <w:b/>
          <w:bCs/>
          <w:sz w:val="22"/>
          <w:szCs w:val="22"/>
          <w:rFonts w:ascii="Arial" w:cs="Arial" w:eastAsia="Arial" w:hAnsi="Arial"/>
        </w:rPr>
        <w:t xml:space="preserve">"CFO"</w:t>
      </w:r>
      <w:r>
        <w:rPr>
          <w:sz w:val="22"/>
          <w:szCs w:val="22"/>
          <w:rFonts w:ascii="Arial" w:cs="Arial" w:eastAsia="Arial" w:hAnsi="Arial"/>
        </w:rPr>
        <w:t xml:space="preserve"> means the Chief Financial Officer of the Company.</w:t>
      </w:r>
    </w:p>
    <w:p>
      <w:pPr>
        <w:spacing w:before="80" w:after="120"/>
      </w:pPr>
      <w:r>
        <w:rPr>
          <w:b/>
          <w:bCs/>
          <w:sz w:val="22"/>
          <w:szCs w:val="22"/>
          <w:rFonts w:ascii="Arial" w:cs="Arial" w:eastAsia="Arial" w:hAnsi="Arial"/>
        </w:rPr>
        <w:t xml:space="preserve">"COO"</w:t>
      </w:r>
      <w:r>
        <w:rPr>
          <w:sz w:val="22"/>
          <w:szCs w:val="22"/>
          <w:rFonts w:ascii="Arial" w:cs="Arial" w:eastAsia="Arial" w:hAnsi="Arial"/>
        </w:rPr>
        <w:t xml:space="preserve"> means the Chief Operating Officer of the Company.</w:t>
      </w:r>
    </w:p>
    <w:p>
      <w:pPr>
        <w:spacing w:before="80" w:after="120"/>
      </w:pPr>
      <w:r>
        <w:rPr>
          <w:b/>
          <w:bCs/>
          <w:sz w:val="22"/>
          <w:szCs w:val="22"/>
          <w:rFonts w:ascii="Arial" w:cs="Arial" w:eastAsia="Arial" w:hAnsi="Arial"/>
        </w:rPr>
        <w:t xml:space="preserve">"Company"</w:t>
      </w:r>
      <w:r>
        <w:rPr>
          <w:sz w:val="22"/>
          <w:szCs w:val="22"/>
          <w:rFonts w:ascii="Arial" w:cs="Arial" w:eastAsia="Arial" w:hAnsi="Arial"/>
        </w:rPr>
        <w:t xml:space="preserve"> means PIR Industrial LLC and, unless the context requires otherwise, its subsidiaries and affiliated entities.</w:t>
      </w:r>
    </w:p>
    <w:p>
      <w:pPr>
        <w:spacing w:before="80" w:after="120"/>
      </w:pPr>
      <w:r>
        <w:rPr>
          <w:b/>
          <w:bCs/>
          <w:sz w:val="22"/>
          <w:szCs w:val="22"/>
          <w:rFonts w:ascii="Arial" w:cs="Arial" w:eastAsia="Arial" w:hAnsi="Arial"/>
        </w:rPr>
        <w:t xml:space="preserve">"Department"</w:t>
      </w:r>
      <w:r>
        <w:rPr>
          <w:sz w:val="22"/>
          <w:szCs w:val="22"/>
          <w:rFonts w:ascii="Arial" w:cs="Arial" w:eastAsia="Arial" w:hAnsi="Arial"/>
        </w:rPr>
        <w:t xml:space="preserve"> or </w:t>
      </w:r>
      <w:r>
        <w:rPr>
          <w:b/>
          <w:bCs/>
          <w:sz w:val="22"/>
          <w:szCs w:val="22"/>
          <w:rFonts w:ascii="Arial" w:cs="Arial" w:eastAsia="Arial" w:hAnsi="Arial"/>
        </w:rPr>
        <w:t xml:space="preserve">"Legal"</w:t>
      </w:r>
      <w:r>
        <w:rPr>
          <w:sz w:val="22"/>
          <w:szCs w:val="22"/>
          <w:rFonts w:ascii="Arial" w:cs="Arial" w:eastAsia="Arial" w:hAnsi="Arial"/>
        </w:rPr>
        <w:t xml:space="preserve"> means the Legal Department of the Company, including all attorneys, paralegals, legal operations personnel, and administrative staff assigned to the Department.</w:t>
      </w:r>
    </w:p>
    <w:p>
      <w:pPr>
        <w:spacing w:before="80" w:after="120"/>
      </w:pPr>
      <w:r>
        <w:rPr>
          <w:b/>
          <w:bCs/>
          <w:sz w:val="22"/>
          <w:szCs w:val="22"/>
          <w:rFonts w:ascii="Arial" w:cs="Arial" w:eastAsia="Arial" w:hAnsi="Arial"/>
        </w:rPr>
        <w:t xml:space="preserve">"DOA"</w:t>
      </w:r>
      <w:r>
        <w:rPr>
          <w:sz w:val="22"/>
          <w:szCs w:val="22"/>
          <w:rFonts w:ascii="Arial" w:cs="Arial" w:eastAsia="Arial" w:hAnsi="Arial"/>
        </w:rPr>
        <w:t xml:space="preserve"> means the Delegation of Authority, as documented in Attachment A.</w:t>
      </w:r>
    </w:p>
    <w:p>
      <w:pPr>
        <w:spacing w:before="80" w:after="120"/>
      </w:pPr>
      <w:r>
        <w:rPr>
          <w:b/>
          <w:bCs/>
          <w:sz w:val="22"/>
          <w:szCs w:val="22"/>
          <w:rFonts w:ascii="Arial" w:cs="Arial" w:eastAsia="Arial" w:hAnsi="Arial"/>
        </w:rPr>
        <w:t xml:space="preserve">"Entity Management System"</w:t>
      </w:r>
      <w:r>
        <w:rPr>
          <w:sz w:val="22"/>
          <w:szCs w:val="22"/>
          <w:rFonts w:ascii="Arial" w:cs="Arial" w:eastAsia="Arial" w:hAnsi="Arial"/>
        </w:rPr>
        <w:t xml:space="preserve"> means the Company's purpose-built entity management platform (e.g., Diligent Entities, CSC Entity Management, or equivalent) designated as the single authoritative source for entity-related data, as described in Section 8.A.</w:t>
      </w:r>
    </w:p>
    <w:p>
      <w:pPr>
        <w:spacing w:before="80" w:after="120"/>
      </w:pPr>
      <w:r>
        <w:rPr>
          <w:b/>
          <w:bCs/>
          <w:sz w:val="22"/>
          <w:szCs w:val="22"/>
          <w:rFonts w:ascii="Arial" w:cs="Arial" w:eastAsia="Arial" w:hAnsi="Arial"/>
        </w:rPr>
        <w:t xml:space="preserve">"GC"</w:t>
      </w:r>
      <w:r>
        <w:rPr>
          <w:sz w:val="22"/>
          <w:szCs w:val="22"/>
          <w:rFonts w:ascii="Arial" w:cs="Arial" w:eastAsia="Arial" w:hAnsi="Arial"/>
        </w:rPr>
        <w:t xml:space="preserve"> or </w:t>
      </w:r>
      <w:r>
        <w:rPr>
          <w:b/>
          <w:bCs/>
          <w:sz w:val="22"/>
          <w:szCs w:val="22"/>
          <w:rFonts w:ascii="Arial" w:cs="Arial" w:eastAsia="Arial" w:hAnsi="Arial"/>
        </w:rPr>
        <w:t xml:space="preserve">"General Counsel"</w:t>
      </w:r>
      <w:r>
        <w:rPr>
          <w:sz w:val="22"/>
          <w:szCs w:val="22"/>
          <w:rFonts w:ascii="Arial" w:cs="Arial" w:eastAsia="Arial" w:hAnsi="Arial"/>
        </w:rPr>
        <w:t xml:space="preserve"> means the General Counsel of the Company, who serves as the head of the Legal Department and the Company's chief legal officer. References to the "GC" include the GC's designee where expressly stated.</w:t>
      </w:r>
    </w:p>
    <w:p>
      <w:pPr>
        <w:spacing w:before="80" w:after="120"/>
      </w:pPr>
      <w:r>
        <w:rPr>
          <w:b/>
          <w:bCs/>
          <w:sz w:val="22"/>
          <w:szCs w:val="22"/>
          <w:rFonts w:ascii="Arial" w:cs="Arial" w:eastAsia="Arial" w:hAnsi="Arial"/>
        </w:rPr>
        <w:t xml:space="preserve">"LEDES"</w:t>
      </w:r>
      <w:r>
        <w:rPr>
          <w:sz w:val="22"/>
          <w:szCs w:val="22"/>
          <w:rFonts w:ascii="Arial" w:cs="Arial" w:eastAsia="Arial" w:hAnsi="Arial"/>
        </w:rPr>
        <w:t xml:space="preserve"> means Legal Electronic Data Exchange Standard, specifically LEDES 1998B format for electronic billing, as required under Section 14.F and Attachment C.</w:t>
      </w:r>
    </w:p>
    <w:p>
      <w:pPr>
        <w:spacing w:before="80" w:after="120"/>
      </w:pPr>
      <w:r>
        <w:rPr>
          <w:b/>
          <w:bCs/>
          <w:sz w:val="22"/>
          <w:szCs w:val="22"/>
          <w:rFonts w:ascii="Arial" w:cs="Arial" w:eastAsia="Arial" w:hAnsi="Arial"/>
        </w:rPr>
        <w:t xml:space="preserve">"Legal Operations Coordinator"</w:t>
      </w:r>
      <w:r>
        <w:rPr>
          <w:sz w:val="22"/>
          <w:szCs w:val="22"/>
          <w:rFonts w:ascii="Arial" w:cs="Arial" w:eastAsia="Arial" w:hAnsi="Arial"/>
        </w:rPr>
        <w:t xml:space="preserve"> means the Department staff member responsible for intake triage, Salesforce administration, and workflow coordination, or such other person as the GC may designate for those functions.</w:t>
      </w:r>
    </w:p>
    <w:p>
      <w:pPr>
        <w:spacing w:before="80" w:after="120"/>
      </w:pPr>
      <w:r>
        <w:rPr>
          <w:b/>
          <w:bCs/>
          <w:sz w:val="22"/>
          <w:szCs w:val="22"/>
          <w:rFonts w:ascii="Arial" w:cs="Arial" w:eastAsia="Arial" w:hAnsi="Arial"/>
        </w:rPr>
        <w:t xml:space="preserve">"Legal Risk Tracker"</w:t>
      </w:r>
      <w:r>
        <w:rPr>
          <w:sz w:val="22"/>
          <w:szCs w:val="22"/>
          <w:rFonts w:ascii="Arial" w:cs="Arial" w:eastAsia="Arial" w:hAnsi="Arial"/>
        </w:rPr>
        <w:t xml:space="preserve"> means the Department's centralized tracking tool for litigation, disputes, defaults, and other legal risk matters, as described in Section 12.</w:t>
      </w:r>
    </w:p>
    <w:p>
      <w:pPr>
        <w:spacing w:before="80" w:after="120"/>
      </w:pPr>
      <w:r>
        <w:rPr>
          <w:b/>
          <w:bCs/>
          <w:sz w:val="22"/>
          <w:szCs w:val="22"/>
          <w:rFonts w:ascii="Arial" w:cs="Arial" w:eastAsia="Arial" w:hAnsi="Arial"/>
        </w:rPr>
        <w:t xml:space="preserve">"Manual"</w:t>
      </w:r>
      <w:r>
        <w:rPr>
          <w:sz w:val="22"/>
          <w:szCs w:val="22"/>
          <w:rFonts w:ascii="Arial" w:cs="Arial" w:eastAsia="Arial" w:hAnsi="Arial"/>
        </w:rPr>
        <w:t xml:space="preserve"> means this Legal Department Operations Manual, as amended and updated from time to time.</w:t>
      </w:r>
    </w:p>
    <w:p>
      <w:pPr>
        <w:spacing w:before="80" w:after="120"/>
      </w:pPr>
      <w:r>
        <w:rPr>
          <w:b/>
          <w:bCs/>
          <w:sz w:val="22"/>
          <w:szCs w:val="22"/>
          <w:rFonts w:ascii="Arial" w:cs="Arial" w:eastAsia="Arial" w:hAnsi="Arial"/>
        </w:rPr>
        <w:t xml:space="preserve">"Material"</w:t>
      </w:r>
      <w:r>
        <w:rPr>
          <w:sz w:val="22"/>
          <w:szCs w:val="22"/>
          <w:rFonts w:ascii="Arial" w:cs="Arial" w:eastAsia="Arial" w:hAnsi="Arial"/>
        </w:rPr>
        <w:t xml:space="preserve"> means, unless a specific dollar threshold is stated in the applicable section or Attachment, involving an amount, exposure, or value in excess of $250,000 (whether individually or in the aggregate for related matters). Where this Manual refers to "material" matters, transactions, or exposure without further specification, this threshold applies.</w:t>
      </w:r>
    </w:p>
    <w:p>
      <w:pPr>
        <w:spacing w:before="80" w:after="120"/>
      </w:pPr>
      <w:r>
        <w:rPr>
          <w:b/>
          <w:bCs/>
          <w:sz w:val="22"/>
          <w:szCs w:val="22"/>
          <w:rFonts w:ascii="Arial" w:cs="Arial" w:eastAsia="Arial" w:hAnsi="Arial"/>
        </w:rPr>
        <w:t xml:space="preserve">"Near Term"</w:t>
      </w:r>
      <w:r>
        <w:rPr>
          <w:sz w:val="22"/>
          <w:szCs w:val="22"/>
          <w:rFonts w:ascii="Arial" w:cs="Arial" w:eastAsia="Arial" w:hAnsi="Arial"/>
        </w:rPr>
        <w:t xml:space="preserve"> means within ninety (90) calendar days from the date of reference.</w:t>
      </w:r>
    </w:p>
    <w:p>
      <w:pPr>
        <w:spacing w:before="80" w:after="120"/>
      </w:pPr>
      <w:r>
        <w:rPr>
          <w:b/>
          <w:bCs/>
          <w:sz w:val="22"/>
          <w:szCs w:val="22"/>
          <w:rFonts w:ascii="Arial" w:cs="Arial" w:eastAsia="Arial" w:hAnsi="Arial"/>
        </w:rPr>
        <w:t xml:space="preserve">"Periodically"</w:t>
      </w:r>
      <w:r>
        <w:rPr>
          <w:sz w:val="22"/>
          <w:szCs w:val="22"/>
          <w:rFonts w:ascii="Arial" w:cs="Arial" w:eastAsia="Arial" w:hAnsi="Arial"/>
        </w:rPr>
        <w:t xml:space="preserve"> means, unless a more specific frequency is stated in the applicable section, no less frequently than quarterly (i.e., once per calendar quarter). Section-specific frequencies expressly stated elsewhere in this Manual (e.g., weekly, monthly, semi-annually, annually) override this default.</w:t>
      </w:r>
    </w:p>
    <w:p>
      <w:pPr>
        <w:spacing w:before="80" w:after="120"/>
      </w:pPr>
      <w:r>
        <w:rPr>
          <w:b/>
          <w:bCs/>
          <w:sz w:val="22"/>
          <w:szCs w:val="22"/>
          <w:rFonts w:ascii="Arial" w:cs="Arial" w:eastAsia="Arial" w:hAnsi="Arial"/>
        </w:rPr>
        <w:t xml:space="preserve">"Salesforce"</w:t>
      </w:r>
      <w:r>
        <w:rPr>
          <w:sz w:val="22"/>
          <w:szCs w:val="22"/>
          <w:rFonts w:ascii="Arial" w:cs="Arial" w:eastAsia="Arial" w:hAnsi="Arial"/>
        </w:rPr>
        <w:t xml:space="preserve"> means the Company's lease lifecycle management platform (currently Salesforce), used for intake, tracking, and reporting of leasing-related legal requests, as described in Section 5.</w:t>
      </w:r>
    </w:p>
    <w:p>
      <w:pPr>
        <w:spacing w:before="80" w:after="120"/>
      </w:pPr>
      <w:r>
        <w:rPr>
          <w:b/>
          <w:bCs/>
          <w:sz w:val="22"/>
          <w:szCs w:val="22"/>
          <w:rFonts w:ascii="Arial" w:cs="Arial" w:eastAsia="Arial" w:hAnsi="Arial"/>
        </w:rPr>
        <w:t xml:space="preserve">"ShareFile"</w:t>
      </w:r>
      <w:r>
        <w:rPr>
          <w:sz w:val="22"/>
          <w:szCs w:val="22"/>
          <w:rFonts w:ascii="Arial" w:cs="Arial" w:eastAsia="Arial" w:hAnsi="Arial"/>
        </w:rPr>
        <w:t xml:space="preserve"> means the Company's designated repository for executed legal documents and final transaction records. ShareFile is distinct from SharePoint.</w:t>
      </w:r>
    </w:p>
    <w:p>
      <w:pPr>
        <w:spacing w:before="80" w:after="120"/>
      </w:pPr>
      <w:r>
        <w:rPr>
          <w:b/>
          <w:bCs/>
          <w:sz w:val="22"/>
          <w:szCs w:val="22"/>
          <w:rFonts w:ascii="Arial" w:cs="Arial" w:eastAsia="Arial" w:hAnsi="Arial"/>
        </w:rPr>
        <w:t xml:space="preserve">"SharePoint"</w:t>
      </w:r>
      <w:r>
        <w:rPr>
          <w:sz w:val="22"/>
          <w:szCs w:val="22"/>
          <w:rFonts w:ascii="Arial" w:cs="Arial" w:eastAsia="Arial" w:hAnsi="Arial"/>
        </w:rPr>
        <w:t xml:space="preserve"> means the Company's designated platform for active document collaboration, version control, and centralized storage of draft legal documents and working files.</w:t>
      </w:r>
    </w:p>
    <w:p>
      <w:pPr>
        <w:spacing w:before="80" w:after="120"/>
      </w:pPr>
      <w:r>
        <w:rPr>
          <w:b/>
          <w:bCs/>
          <w:sz w:val="22"/>
          <w:szCs w:val="22"/>
          <w:rFonts w:ascii="Arial" w:cs="Arial" w:eastAsia="Arial" w:hAnsi="Arial"/>
        </w:rPr>
        <w:t xml:space="preserve">"Standard Procurement Process"</w:t>
      </w:r>
      <w:r>
        <w:rPr>
          <w:sz w:val="22"/>
          <w:szCs w:val="22"/>
          <w:rFonts w:ascii="Arial" w:cs="Arial" w:eastAsia="Arial" w:hAnsi="Arial"/>
        </w:rPr>
        <w:t xml:space="preserve"> means the Company's procurement requirements, consisting of competitive bidding for engagements exceeding $100,000, CFO approval for commitments exceeding $250,000, and a written agreement requirement for all vendor engagements.</w:t>
      </w:r>
    </w:p>
    <w:p>
      <w:r>
        <w:br w:type="page"/>
      </w:r>
    </w:p>
    <w:p>
      <w:pPr>
        <w:pStyle w:val="Heading1"/>
        <w:spacing w:before="240" w:after="200"/>
      </w:pPr>
      <w:r>
        <w:rPr>
          <w:b/>
          <w:bCs/>
          <w:sz w:val="32"/>
          <w:szCs w:val="32"/>
          <w:rFonts w:ascii="Arial" w:cs="Arial" w:eastAsia="Arial" w:hAnsi="Arial"/>
        </w:rPr>
        <w:t xml:space="preserve">SECTION 3. OPERATING PRINCIPLES</w:t>
      </w:r>
    </w:p>
    <w:p>
      <w:pPr>
        <w:spacing w:before="80" w:after="120"/>
      </w:pPr>
      <w:r>
        <w:rPr>
          <w:sz w:val="22"/>
          <w:szCs w:val="22"/>
          <w:rFonts w:ascii="Arial" w:cs="Arial" w:eastAsia="Arial" w:hAnsi="Arial"/>
        </w:rPr>
        <w:t xml:space="preserve">The Department operates in support of the Company's strategic, operational, and financial objectives. The principles set forth below guide the Department's approach to delivering legal services, managing risk, and collaborating with stakeholders.</w:t>
      </w:r>
    </w:p>
    <w:p>
      <w:pPr>
        <w:spacing w:before="80" w:after="120"/>
      </w:pPr>
      <w:r>
        <w:rPr>
          <w:sz w:val="22"/>
          <w:szCs w:val="22"/>
          <w:rFonts w:ascii="Arial" w:cs="Arial" w:eastAsia="Arial" w:hAnsi="Arial"/>
        </w:rPr>
        <w:t xml:space="preserve">These principles are intended to ensure that the Department provides timely, practical, and consistent legal support while maintaining disciplined risk management and operational efficiency.</w:t>
      </w:r>
    </w:p>
    <w:p>
      <w:pPr>
        <w:pStyle w:val="Heading2"/>
        <w:spacing w:before="200" w:after="120"/>
      </w:pPr>
      <w:r>
        <w:rPr>
          <w:b/>
          <w:bCs/>
          <w:sz w:val="28"/>
          <w:szCs w:val="28"/>
          <w:rFonts w:ascii="Arial" w:cs="Arial" w:eastAsia="Arial" w:hAnsi="Arial"/>
        </w:rPr>
        <w:t xml:space="preserve">Section 3.A. Business Alignment</w:t>
      </w:r>
    </w:p>
    <w:p>
      <w:pPr>
        <w:spacing w:before="80" w:after="120"/>
      </w:pPr>
      <w:r>
        <w:rPr>
          <w:sz w:val="22"/>
          <w:szCs w:val="22"/>
          <w:rFonts w:ascii="Arial" w:cs="Arial" w:eastAsia="Arial" w:hAnsi="Arial"/>
        </w:rPr>
        <w:t xml:space="preserve">The Legal Department supports the Company's business strategy by providing practical legal guidance that facilitates (and does not disrupt or interfere with) operations and transactions, while protecting the Company's legal and financial interests.</w:t>
      </w:r>
    </w:p>
    <w:p>
      <w:pPr>
        <w:spacing w:before="80" w:after="120"/>
      </w:pPr>
      <w:r>
        <w:rPr>
          <w:sz w:val="22"/>
          <w:szCs w:val="22"/>
          <w:rFonts w:ascii="Arial" w:cs="Arial" w:eastAsia="Arial" w:hAnsi="Arial"/>
        </w:rPr>
        <w:t xml:space="preserve">Legal analysis and recommendations should be grounded in an understanding of the Company's business priorities, portfolio strategy, and operational realities. The Department strives to balance risk management with the need for efficient execution of business initiatives.</w:t>
      </w:r>
    </w:p>
    <w:p>
      <w:pPr>
        <w:pStyle w:val="Heading2"/>
        <w:spacing w:before="200" w:after="120"/>
      </w:pPr>
      <w:r>
        <w:rPr>
          <w:b/>
          <w:bCs/>
          <w:sz w:val="28"/>
          <w:szCs w:val="28"/>
          <w:rFonts w:ascii="Arial" w:cs="Arial" w:eastAsia="Arial" w:hAnsi="Arial"/>
        </w:rPr>
        <w:t xml:space="preserve">Section 3.B. Speed with Discipline</w:t>
      </w:r>
    </w:p>
    <w:p>
      <w:pPr>
        <w:spacing w:before="80" w:after="120"/>
      </w:pPr>
      <w:r>
        <w:rPr>
          <w:sz w:val="22"/>
          <w:szCs w:val="22"/>
          <w:rFonts w:ascii="Arial" w:cs="Arial" w:eastAsia="Arial" w:hAnsi="Arial"/>
        </w:rPr>
        <w:t xml:space="preserve">Leasing and operational matters often require prompt legal support in order to maintain transaction momentum and support tenant relationships.</w:t>
      </w:r>
    </w:p>
    <w:p>
      <w:pPr>
        <w:spacing w:before="80" w:after="120"/>
      </w:pPr>
      <w:r>
        <w:rPr>
          <w:sz w:val="22"/>
          <w:szCs w:val="22"/>
          <w:rFonts w:ascii="Arial" w:cs="Arial" w:eastAsia="Arial" w:hAnsi="Arial"/>
        </w:rPr>
        <w:t xml:space="preserve">The Department should deliver timely responses while maintaining appropriate legal review standards, including document accuracy, version control, and internal coordination. Efficient processes and clearly defined workflows help ensure that speed does not compromise quality or risk management.</w:t>
      </w:r>
    </w:p>
    <w:p>
      <w:pPr>
        <w:pStyle w:val="Heading2"/>
        <w:spacing w:before="200" w:after="120"/>
      </w:pPr>
      <w:r>
        <w:rPr>
          <w:b/>
          <w:bCs/>
          <w:sz w:val="28"/>
          <w:szCs w:val="28"/>
          <w:rFonts w:ascii="Arial" w:cs="Arial" w:eastAsia="Arial" w:hAnsi="Arial"/>
        </w:rPr>
        <w:t xml:space="preserve">Section 3.C. Consistency and Standardization</w:t>
      </w:r>
    </w:p>
    <w:p>
      <w:pPr>
        <w:spacing w:before="80" w:after="120"/>
      </w:pPr>
      <w:r>
        <w:rPr>
          <w:sz w:val="22"/>
          <w:szCs w:val="22"/>
          <w:rFonts w:ascii="Arial" w:cs="Arial" w:eastAsia="Arial" w:hAnsi="Arial"/>
        </w:rPr>
        <w:t xml:space="preserve">Standardized procedures promote efficiency, clarity, and institutional knowledge. Standardization helps ensure that legal work product remains reliable and that internal teams can easily navigate legal workflows.</w:t>
      </w:r>
    </w:p>
    <w:p>
      <w:pPr>
        <w:pStyle w:val="Heading2"/>
        <w:spacing w:before="200" w:after="120"/>
      </w:pPr>
      <w:r>
        <w:rPr>
          <w:b/>
          <w:bCs/>
          <w:sz w:val="28"/>
          <w:szCs w:val="28"/>
          <w:rFonts w:ascii="Arial" w:cs="Arial" w:eastAsia="Arial" w:hAnsi="Arial"/>
        </w:rPr>
        <w:t xml:space="preserve">Section 3.D. Transparency and Risk Visibility</w:t>
      </w:r>
    </w:p>
    <w:p>
      <w:pPr>
        <w:spacing w:before="80" w:after="120"/>
      </w:pPr>
      <w:r>
        <w:rPr>
          <w:sz w:val="22"/>
          <w:szCs w:val="22"/>
          <w:rFonts w:ascii="Arial" w:cs="Arial" w:eastAsia="Arial" w:hAnsi="Arial"/>
        </w:rPr>
        <w:t xml:space="preserve">The Legal Department maintains structured reporting tools and communication protocols to ensure that material legal matters are visible to leadership.</w:t>
      </w:r>
    </w:p>
    <w:p>
      <w:pPr>
        <w:spacing w:before="80" w:after="120"/>
      </w:pPr>
      <w:r>
        <w:rPr>
          <w:sz w:val="22"/>
          <w:szCs w:val="22"/>
          <w:rFonts w:ascii="Arial" w:cs="Arial" w:eastAsia="Arial" w:hAnsi="Arial"/>
        </w:rPr>
        <w:t xml:space="preserve">Legal risks should be identified early, documented appropriately, and communicated to relevant stakeholders in a timely manner. Clear reporting mechanisms help support informed decision-making by executive leadership and facilitate coordinated responses to legal issues affecting the Company.</w:t>
      </w:r>
    </w:p>
    <w:p>
      <w:pPr>
        <w:pStyle w:val="Heading2"/>
        <w:spacing w:before="200" w:after="120"/>
      </w:pPr>
      <w:r>
        <w:rPr>
          <w:b/>
          <w:bCs/>
          <w:sz w:val="28"/>
          <w:szCs w:val="28"/>
          <w:rFonts w:ascii="Arial" w:cs="Arial" w:eastAsia="Arial" w:hAnsi="Arial"/>
        </w:rPr>
        <w:t xml:space="preserve">Section 3.E. Centralized Document Management</w:t>
      </w:r>
    </w:p>
    <w:p>
      <w:pPr>
        <w:spacing w:before="80" w:after="120"/>
      </w:pPr>
      <w:r>
        <w:rPr>
          <w:sz w:val="22"/>
          <w:szCs w:val="22"/>
          <w:rFonts w:ascii="Arial" w:cs="Arial" w:eastAsia="Arial" w:hAnsi="Arial"/>
        </w:rPr>
        <w:t xml:space="preserve">All legal documents, including lease drafts, litigation files, governance records, and outside counsel correspondence, must be stored in the Company's approved document management systems (currently SharePoint for active collaboration and ShareFile for executed documents).</w:t>
      </w:r>
    </w:p>
    <w:p>
      <w:pPr>
        <w:spacing w:before="80" w:after="120"/>
      </w:pPr>
      <w:r>
        <w:rPr>
          <w:sz w:val="22"/>
          <w:szCs w:val="22"/>
          <w:rFonts w:ascii="Arial" w:cs="Arial" w:eastAsia="Arial" w:hAnsi="Arial"/>
        </w:rPr>
        <w:t xml:space="preserve">Centralized document management ensures version control integrity, facilitates institutional knowledge transfer, and supports audit readiness. Documents must not be permanently stored on local devices or in unapproved platforms. Temporary local copies may be created during active editing or for purposes of external transmission, provided that the local copy is deleted once the document has been uploaded to the approved platform or transmitted externally. The approved platforms for the Company are SharePoint (active collaboration) and ShareFile (executed documents). The Department is responsible for maintaining organized folder structures and enforcing naming conventions across all legal workstreams.</w:t>
      </w:r>
    </w:p>
    <w:p>
      <w:pPr>
        <w:pStyle w:val="Heading2"/>
        <w:spacing w:before="200" w:after="120"/>
      </w:pPr>
      <w:r>
        <w:rPr>
          <w:b/>
          <w:bCs/>
          <w:sz w:val="28"/>
          <w:szCs w:val="28"/>
          <w:rFonts w:ascii="Arial" w:cs="Arial" w:eastAsia="Arial" w:hAnsi="Arial"/>
        </w:rPr>
        <w:t xml:space="preserve">Section 3.F. Effective Collaboration</w:t>
      </w:r>
    </w:p>
    <w:p>
      <w:pPr>
        <w:spacing w:before="80" w:after="120"/>
      </w:pPr>
      <w:r>
        <w:rPr>
          <w:sz w:val="22"/>
          <w:szCs w:val="22"/>
          <w:rFonts w:ascii="Arial" w:cs="Arial" w:eastAsia="Arial" w:hAnsi="Arial"/>
        </w:rPr>
        <w:t xml:space="preserve">The Legal Department works in close coordination with Asset Management, Finance, Property Management, and executive leadership.</w:t>
      </w:r>
    </w:p>
    <w:p>
      <w:pPr>
        <w:spacing w:before="80" w:after="120"/>
      </w:pPr>
      <w:r>
        <w:rPr>
          <w:sz w:val="22"/>
          <w:szCs w:val="22"/>
          <w:rFonts w:ascii="Arial" w:cs="Arial" w:eastAsia="Arial" w:hAnsi="Arial"/>
        </w:rPr>
        <w:t xml:space="preserve">Successful collaboration requires clear communication, shared expectations regarding timelines and responsibilities, and mutual understanding of each department's role in the Company's operations.</w:t>
      </w:r>
    </w:p>
    <w:p>
      <w:pPr>
        <w:spacing w:before="80" w:after="120"/>
      </w:pPr>
      <w:r>
        <w:rPr>
          <w:sz w:val="22"/>
          <w:szCs w:val="22"/>
          <w:rFonts w:ascii="Arial" w:cs="Arial" w:eastAsia="Arial" w:hAnsi="Arial"/>
        </w:rPr>
        <w:t xml:space="preserve">Legal supports internal teams by providing guidance, documentation, and risk analysis while respecting the operational ownership of business decisions by the relevant departments.</w:t>
      </w:r>
    </w:p>
    <w:p>
      <w:pPr>
        <w:pStyle w:val="Heading2"/>
        <w:spacing w:before="200" w:after="120"/>
      </w:pPr>
      <w:r>
        <w:rPr>
          <w:b/>
          <w:bCs/>
          <w:sz w:val="28"/>
          <w:szCs w:val="28"/>
          <w:rFonts w:ascii="Arial" w:cs="Arial" w:eastAsia="Arial" w:hAnsi="Arial"/>
        </w:rPr>
        <w:t xml:space="preserve">Section 3.G. Prudent Use of Outside Counsel</w:t>
      </w:r>
    </w:p>
    <w:p>
      <w:pPr>
        <w:spacing w:before="80" w:after="120"/>
      </w:pPr>
      <w:r>
        <w:rPr>
          <w:sz w:val="22"/>
          <w:szCs w:val="22"/>
          <w:rFonts w:ascii="Arial" w:cs="Arial" w:eastAsia="Arial" w:hAnsi="Arial"/>
        </w:rPr>
        <w:t xml:space="preserve">Outside counsel are engaged to provide specialized expertise, jurisdictional coverage, or additional capacity when required.</w:t>
      </w:r>
    </w:p>
    <w:p>
      <w:pPr>
        <w:spacing w:before="80" w:after="120"/>
      </w:pPr>
      <w:r>
        <w:rPr>
          <w:sz w:val="22"/>
          <w:szCs w:val="22"/>
          <w:rFonts w:ascii="Arial" w:cs="Arial" w:eastAsia="Arial" w:hAnsi="Arial"/>
        </w:rPr>
        <w:t xml:space="preserve">The Department is responsible for selecting and supervising outside counsel, defining engagement scope, monitoring performance, and managing legal spend. Outside counsel should operate as an extension of the Department and adhere to the Company's expectations regarding efficiency, communication, and billing practices.</w:t>
      </w:r>
    </w:p>
    <w:p>
      <w:pPr>
        <w:pStyle w:val="Heading2"/>
        <w:spacing w:before="200" w:after="120"/>
      </w:pPr>
      <w:r>
        <w:rPr>
          <w:b/>
          <w:bCs/>
          <w:sz w:val="28"/>
          <w:szCs w:val="28"/>
          <w:rFonts w:ascii="Arial" w:cs="Arial" w:eastAsia="Arial" w:hAnsi="Arial"/>
        </w:rPr>
        <w:t xml:space="preserve">Section 3.H. Continuous Improvement</w:t>
      </w:r>
    </w:p>
    <w:p>
      <w:pPr>
        <w:spacing w:before="80" w:after="120"/>
      </w:pPr>
      <w:r>
        <w:rPr>
          <w:sz w:val="22"/>
          <w:szCs w:val="22"/>
          <w:rFonts w:ascii="Arial" w:cs="Arial" w:eastAsia="Arial" w:hAnsi="Arial"/>
        </w:rPr>
        <w:t xml:space="preserve">The Department seeks to continually improve its processes through the adoption of efficient workflows, technology tools, and standardized practices.</w:t>
      </w:r>
    </w:p>
    <w:p>
      <w:pPr>
        <w:spacing w:before="80" w:after="120"/>
      </w:pPr>
      <w:r>
        <w:rPr>
          <w:sz w:val="22"/>
          <w:szCs w:val="22"/>
          <w:rFonts w:ascii="Arial" w:cs="Arial" w:eastAsia="Arial" w:hAnsi="Arial"/>
        </w:rPr>
        <w:t xml:space="preserve">This includes evaluating technologies that enhance document management, legal reporting, and access to lease and portfolio data, as well as maintaining internal training and knowledge resources that support consistent legal operations.</w:t>
      </w:r>
    </w:p>
    <w:p>
      <w:pPr>
        <w:spacing w:before="80" w:after="120"/>
      </w:pPr>
      <w:r>
        <w:rPr>
          <w:sz w:val="22"/>
          <w:szCs w:val="22"/>
          <w:rFonts w:ascii="Arial" w:cs="Arial" w:eastAsia="Arial" w:hAnsi="Arial"/>
        </w:rPr>
        <w:t xml:space="preserve">Continuous improvement helps ensure that the Department can stay competitive as the Company evolves.</w:t>
      </w:r>
    </w:p>
    <w:p>
      <w:pPr>
        <w:pStyle w:val="Heading2"/>
        <w:spacing w:before="200" w:after="120"/>
      </w:pPr>
      <w:r>
        <w:rPr>
          <w:b/>
          <w:bCs/>
          <w:sz w:val="28"/>
          <w:szCs w:val="28"/>
          <w:rFonts w:ascii="Arial" w:cs="Arial" w:eastAsia="Arial" w:hAnsi="Arial"/>
        </w:rPr>
        <w:t xml:space="preserve">Section 3.I. Accountability</w:t>
      </w:r>
    </w:p>
    <w:p>
      <w:pPr>
        <w:spacing w:before="80" w:after="120"/>
      </w:pPr>
      <w:r>
        <w:rPr>
          <w:sz w:val="22"/>
          <w:szCs w:val="22"/>
          <w:rFonts w:ascii="Arial" w:cs="Arial" w:eastAsia="Arial" w:hAnsi="Arial"/>
        </w:rPr>
        <w:t xml:space="preserve">Members of the Department are expected to maintain high standards of professional judgment, integrity, and accountability in the performance of their responsibilities.</w:t>
      </w:r>
    </w:p>
    <w:p>
      <w:pPr>
        <w:spacing w:before="80" w:after="120"/>
      </w:pPr>
      <w:r>
        <w:rPr>
          <w:sz w:val="22"/>
          <w:szCs w:val="22"/>
          <w:rFonts w:ascii="Arial" w:cs="Arial" w:eastAsia="Arial" w:hAnsi="Arial"/>
        </w:rPr>
        <w:t xml:space="preserve">Legal professionals must exercise sound judgment, safeguard confidential information, and ensure that the Company's legal obligations are fulfilled in accordance with applicable laws and internal policies.</w:t>
      </w:r>
    </w:p>
    <w:p>
      <w:r>
        <w:br w:type="page"/>
      </w:r>
    </w:p>
    <w:p>
      <w:pPr>
        <w:pStyle w:val="Heading1"/>
        <w:spacing w:before="240" w:after="200"/>
      </w:pPr>
      <w:r>
        <w:rPr>
          <w:b/>
          <w:bCs/>
          <w:sz w:val="32"/>
          <w:szCs w:val="32"/>
          <w:rFonts w:ascii="Arial" w:cs="Arial" w:eastAsia="Arial" w:hAnsi="Arial"/>
        </w:rPr>
        <w:t xml:space="preserve">SECTION 4. DEPARTMENT OVERVIEW AND CORE RESPONSIBILITIES</w:t>
      </w:r>
    </w:p>
    <w:p>
      <w:pPr>
        <w:spacing w:before="80" w:after="120"/>
      </w:pPr>
      <w:r>
        <w:rPr>
          <w:sz w:val="22"/>
          <w:szCs w:val="22"/>
          <w:rFonts w:ascii="Arial" w:cs="Arial" w:eastAsia="Arial" w:hAnsi="Arial"/>
        </w:rPr>
        <w:t xml:space="preserve">The Department is responsible for providing legal guidance, documentation, and risk management oversight in support of the Company's business operations. The Department plays a central role in supporting the Company's leasing, operational, and governance activities while ensuring that legal risks are appropriately identified, evaluated, and managed.</w:t>
      </w:r>
    </w:p>
    <w:p>
      <w:pPr>
        <w:spacing w:before="80" w:after="120"/>
      </w:pPr>
      <w:r>
        <w:rPr>
          <w:sz w:val="22"/>
          <w:szCs w:val="22"/>
          <w:rFonts w:ascii="Arial" w:cs="Arial" w:eastAsia="Arial" w:hAnsi="Arial"/>
        </w:rPr>
        <w:t xml:space="preserve">To promote clarity and operational efficiency, the Legal Department's responsibilities are organized into the categories set forth below. In certain areas, the Department is afforded sole discretion for a given business activity. In other areas, the Department merely provides guidance and support but does not serve as the operational "owner" of the underlying business activity.</w:t>
      </w:r>
    </w:p>
    <w:p>
      <w:pPr>
        <w:pStyle w:val="Heading2"/>
        <w:spacing w:before="200" w:after="120"/>
      </w:pPr>
      <w:r>
        <w:rPr>
          <w:b/>
          <w:bCs/>
          <w:sz w:val="28"/>
          <w:szCs w:val="28"/>
          <w:rFonts w:ascii="Arial" w:cs="Arial" w:eastAsia="Arial" w:hAnsi="Arial"/>
        </w:rPr>
        <w:t xml:space="preserve">Section 4.A. Matters Owned and Managed by Legal Department</w:t>
      </w:r>
    </w:p>
    <w:p>
      <w:pPr>
        <w:spacing w:before="80" w:after="120"/>
      </w:pPr>
      <w:r>
        <w:rPr>
          <w:b/>
          <w:bCs/>
          <w:sz w:val="22"/>
          <w:szCs w:val="22"/>
          <w:rFonts w:ascii="Arial" w:cs="Arial" w:eastAsia="Arial" w:hAnsi="Arial"/>
        </w:rPr>
        <w:t xml:space="preserve">Lease Documentation and Legal Drafting</w:t>
      </w:r>
    </w:p>
    <w:p>
      <w:pPr>
        <w:pStyle w:val="ListParagraph"/>
        <w:numPr>
          <w:ilvl w:val="0"/>
          <w:numId w:val="4"/>
        </w:numPr>
        <w:spacing w:before="40" w:after="40"/>
      </w:pPr>
      <w:r>
        <w:rPr>
          <w:sz w:val="22"/>
          <w:szCs w:val="22"/>
          <w:rFonts w:ascii="Arial" w:cs="Arial" w:eastAsia="Arial" w:hAnsi="Arial"/>
        </w:rPr>
        <w:t xml:space="preserve">Drafting and reviewing lease agreements, amendments, and related documentation</w:t>
      </w:r>
    </w:p>
    <w:p>
      <w:pPr>
        <w:pStyle w:val="ListParagraph"/>
        <w:numPr>
          <w:ilvl w:val="0"/>
          <w:numId w:val="4"/>
        </w:numPr>
        <w:spacing w:before="40" w:after="40"/>
      </w:pPr>
      <w:r>
        <w:rPr>
          <w:sz w:val="22"/>
          <w:szCs w:val="22"/>
          <w:rFonts w:ascii="Arial" w:cs="Arial" w:eastAsia="Arial" w:hAnsi="Arial"/>
        </w:rPr>
        <w:t xml:space="preserve">Maintaining and updating standard lease forms and provisions</w:t>
      </w:r>
    </w:p>
    <w:p>
      <w:pPr>
        <w:pStyle w:val="ListParagraph"/>
        <w:numPr>
          <w:ilvl w:val="0"/>
          <w:numId w:val="4"/>
        </w:numPr>
        <w:spacing w:before="40" w:after="40"/>
      </w:pPr>
      <w:r>
        <w:rPr>
          <w:sz w:val="22"/>
          <w:szCs w:val="22"/>
          <w:rFonts w:ascii="Arial" w:cs="Arial" w:eastAsia="Arial" w:hAnsi="Arial"/>
        </w:rPr>
        <w:t xml:space="preserve">Ensuring that lease documents reflect approved business terms and protect the Company's legal interests</w:t>
      </w:r>
    </w:p>
    <w:p>
      <w:pPr>
        <w:pStyle w:val="ListParagraph"/>
        <w:numPr>
          <w:ilvl w:val="0"/>
          <w:numId w:val="4"/>
        </w:numPr>
        <w:spacing w:before="40" w:after="40"/>
      </w:pPr>
      <w:r>
        <w:rPr>
          <w:sz w:val="22"/>
          <w:szCs w:val="22"/>
          <w:rFonts w:ascii="Arial" w:cs="Arial" w:eastAsia="Arial" w:hAnsi="Arial"/>
        </w:rPr>
        <w:t xml:space="preserve">Managing internal document review and version control processes</w:t>
      </w:r>
    </w:p>
    <w:p>
      <w:pPr>
        <w:spacing w:before="80" w:after="120"/>
      </w:pPr>
      <w:r>
        <w:rPr>
          <w:b/>
          <w:bCs/>
          <w:sz w:val="22"/>
          <w:szCs w:val="22"/>
          <w:rFonts w:ascii="Arial" w:cs="Arial" w:eastAsia="Arial" w:hAnsi="Arial"/>
        </w:rPr>
        <w:t xml:space="preserve">Litigation Oversight</w:t>
      </w:r>
    </w:p>
    <w:p>
      <w:pPr>
        <w:pStyle w:val="ListParagraph"/>
        <w:numPr>
          <w:ilvl w:val="0"/>
          <w:numId w:val="4"/>
        </w:numPr>
        <w:spacing w:before="40" w:after="40"/>
      </w:pPr>
      <w:r>
        <w:rPr>
          <w:sz w:val="22"/>
          <w:szCs w:val="22"/>
          <w:rFonts w:ascii="Arial" w:cs="Arial" w:eastAsia="Arial" w:hAnsi="Arial"/>
        </w:rPr>
        <w:t xml:space="preserve">Managing litigation involving the Company</w:t>
      </w:r>
    </w:p>
    <w:p>
      <w:pPr>
        <w:pStyle w:val="ListParagraph"/>
        <w:numPr>
          <w:ilvl w:val="0"/>
          <w:numId w:val="4"/>
        </w:numPr>
        <w:spacing w:before="40" w:after="40"/>
      </w:pPr>
      <w:r>
        <w:rPr>
          <w:sz w:val="22"/>
          <w:szCs w:val="22"/>
          <w:rFonts w:ascii="Arial" w:cs="Arial" w:eastAsia="Arial" w:hAnsi="Arial"/>
        </w:rPr>
        <w:t xml:space="preserve">Coordinating with and supervising outside counsel</w:t>
      </w:r>
    </w:p>
    <w:p>
      <w:pPr>
        <w:pStyle w:val="ListParagraph"/>
        <w:numPr>
          <w:ilvl w:val="0"/>
          <w:numId w:val="4"/>
        </w:numPr>
        <w:spacing w:before="40" w:after="40"/>
      </w:pPr>
      <w:r>
        <w:rPr>
          <w:sz w:val="22"/>
          <w:szCs w:val="22"/>
          <w:rFonts w:ascii="Arial" w:cs="Arial" w:eastAsia="Arial" w:hAnsi="Arial"/>
        </w:rPr>
        <w:t xml:space="preserve">Establishing litigation strategy and settlement posture in consultation with executive leadership</w:t>
      </w:r>
    </w:p>
    <w:p>
      <w:pPr>
        <w:pStyle w:val="ListParagraph"/>
        <w:numPr>
          <w:ilvl w:val="0"/>
          <w:numId w:val="4"/>
        </w:numPr>
        <w:spacing w:before="40" w:after="40"/>
      </w:pPr>
      <w:r>
        <w:rPr>
          <w:sz w:val="22"/>
          <w:szCs w:val="22"/>
          <w:rFonts w:ascii="Arial" w:cs="Arial" w:eastAsia="Arial" w:hAnsi="Arial"/>
        </w:rPr>
        <w:t xml:space="preserve">Monitoring litigation budgets and controlling legal spending</w:t>
      </w:r>
    </w:p>
    <w:p>
      <w:pPr>
        <w:spacing w:before="80" w:after="120"/>
      </w:pPr>
      <w:r>
        <w:rPr>
          <w:b/>
          <w:bCs/>
          <w:sz w:val="22"/>
          <w:szCs w:val="22"/>
          <w:rFonts w:ascii="Arial" w:cs="Arial" w:eastAsia="Arial" w:hAnsi="Arial"/>
        </w:rPr>
        <w:t xml:space="preserve">Outside Counsel Management</w:t>
      </w:r>
    </w:p>
    <w:p>
      <w:pPr>
        <w:pStyle w:val="ListParagraph"/>
        <w:numPr>
          <w:ilvl w:val="0"/>
          <w:numId w:val="4"/>
        </w:numPr>
        <w:spacing w:before="40" w:after="40"/>
      </w:pPr>
      <w:r>
        <w:rPr>
          <w:sz w:val="22"/>
          <w:szCs w:val="22"/>
          <w:rFonts w:ascii="Arial" w:cs="Arial" w:eastAsia="Arial" w:hAnsi="Arial"/>
        </w:rPr>
        <w:t xml:space="preserve">Selecting and maintaining a panel of approved outside counsel</w:t>
      </w:r>
    </w:p>
    <w:p>
      <w:pPr>
        <w:pStyle w:val="ListParagraph"/>
        <w:numPr>
          <w:ilvl w:val="0"/>
          <w:numId w:val="4"/>
        </w:numPr>
        <w:spacing w:before="40" w:after="40"/>
      </w:pPr>
      <w:r>
        <w:rPr>
          <w:sz w:val="22"/>
          <w:szCs w:val="22"/>
          <w:rFonts w:ascii="Arial" w:cs="Arial" w:eastAsia="Arial" w:hAnsi="Arial"/>
        </w:rPr>
        <w:t xml:space="preserve">Issuing engagement instructions and defining scope of work</w:t>
      </w:r>
    </w:p>
    <w:p>
      <w:pPr>
        <w:pStyle w:val="ListParagraph"/>
        <w:numPr>
          <w:ilvl w:val="0"/>
          <w:numId w:val="4"/>
        </w:numPr>
        <w:spacing w:before="40" w:after="40"/>
      </w:pPr>
      <w:r>
        <w:rPr>
          <w:sz w:val="22"/>
          <w:szCs w:val="22"/>
          <w:rFonts w:ascii="Arial" w:cs="Arial" w:eastAsia="Arial" w:hAnsi="Arial"/>
        </w:rPr>
        <w:t xml:space="preserve">Monitoring performance, staffing, and billing practices</w:t>
      </w:r>
    </w:p>
    <w:p>
      <w:pPr>
        <w:pStyle w:val="ListParagraph"/>
        <w:numPr>
          <w:ilvl w:val="0"/>
          <w:numId w:val="4"/>
        </w:numPr>
        <w:spacing w:before="40" w:after="40"/>
      </w:pPr>
      <w:r>
        <w:rPr>
          <w:sz w:val="22"/>
          <w:szCs w:val="22"/>
          <w:rFonts w:ascii="Arial" w:cs="Arial" w:eastAsia="Arial" w:hAnsi="Arial"/>
        </w:rPr>
        <w:t xml:space="preserve">Ensuring adherence to the Company's billing guidelines and reporting expectations</w:t>
      </w:r>
    </w:p>
    <w:p>
      <w:pPr>
        <w:spacing w:before="80" w:after="120"/>
      </w:pPr>
      <w:r>
        <w:rPr>
          <w:b/>
          <w:bCs/>
          <w:sz w:val="22"/>
          <w:szCs w:val="22"/>
          <w:rFonts w:ascii="Arial" w:cs="Arial" w:eastAsia="Arial" w:hAnsi="Arial"/>
        </w:rPr>
        <w:t xml:space="preserve">Legal Risk Management and Reporting</w:t>
      </w:r>
    </w:p>
    <w:p>
      <w:pPr>
        <w:pStyle w:val="ListParagraph"/>
        <w:numPr>
          <w:ilvl w:val="0"/>
          <w:numId w:val="4"/>
        </w:numPr>
        <w:spacing w:before="40" w:after="40"/>
      </w:pPr>
      <w:r>
        <w:rPr>
          <w:sz w:val="22"/>
          <w:szCs w:val="22"/>
          <w:rFonts w:ascii="Arial" w:cs="Arial" w:eastAsia="Arial" w:hAnsi="Arial"/>
        </w:rPr>
        <w:t xml:space="preserve">Maintaining the Company's Legal Risk Tracker</w:t>
      </w:r>
    </w:p>
    <w:p>
      <w:pPr>
        <w:pStyle w:val="ListParagraph"/>
        <w:numPr>
          <w:ilvl w:val="0"/>
          <w:numId w:val="4"/>
        </w:numPr>
        <w:spacing w:before="40" w:after="40"/>
      </w:pPr>
      <w:r>
        <w:rPr>
          <w:sz w:val="22"/>
          <w:szCs w:val="22"/>
          <w:rFonts w:ascii="Arial" w:cs="Arial" w:eastAsia="Arial" w:hAnsi="Arial"/>
        </w:rPr>
        <w:t xml:space="preserve">Identifying and evaluating legal risks across the portfolio</w:t>
      </w:r>
    </w:p>
    <w:p>
      <w:pPr>
        <w:pStyle w:val="ListParagraph"/>
        <w:numPr>
          <w:ilvl w:val="0"/>
          <w:numId w:val="4"/>
        </w:numPr>
        <w:spacing w:before="40" w:after="40"/>
      </w:pPr>
      <w:r>
        <w:rPr>
          <w:sz w:val="22"/>
          <w:szCs w:val="22"/>
          <w:rFonts w:ascii="Arial" w:cs="Arial" w:eastAsia="Arial" w:hAnsi="Arial"/>
        </w:rPr>
        <w:t xml:space="preserve">Reporting material legal matters to executive leadership</w:t>
      </w:r>
    </w:p>
    <w:p>
      <w:pPr>
        <w:pStyle w:val="ListParagraph"/>
        <w:numPr>
          <w:ilvl w:val="0"/>
          <w:numId w:val="4"/>
        </w:numPr>
        <w:spacing w:before="40" w:after="40"/>
      </w:pPr>
      <w:r>
        <w:rPr>
          <w:sz w:val="22"/>
          <w:szCs w:val="22"/>
          <w:rFonts w:ascii="Arial" w:cs="Arial" w:eastAsia="Arial" w:hAnsi="Arial"/>
        </w:rPr>
        <w:t xml:space="preserve">Providing recommendations regarding mitigation strategies</w:t>
      </w:r>
    </w:p>
    <w:p>
      <w:pPr>
        <w:spacing w:before="80" w:after="120"/>
      </w:pPr>
      <w:r>
        <w:rPr>
          <w:b/>
          <w:bCs/>
          <w:sz w:val="22"/>
          <w:szCs w:val="22"/>
          <w:rFonts w:ascii="Arial" w:cs="Arial" w:eastAsia="Arial" w:hAnsi="Arial"/>
        </w:rPr>
        <w:t xml:space="preserve">Corporate Governance and Entity Management</w:t>
      </w:r>
    </w:p>
    <w:p>
      <w:pPr>
        <w:pStyle w:val="ListParagraph"/>
        <w:numPr>
          <w:ilvl w:val="0"/>
          <w:numId w:val="4"/>
        </w:numPr>
        <w:spacing w:before="40" w:after="40"/>
      </w:pPr>
      <w:r>
        <w:rPr>
          <w:sz w:val="22"/>
          <w:szCs w:val="22"/>
          <w:rFonts w:ascii="Arial" w:cs="Arial" w:eastAsia="Arial" w:hAnsi="Arial"/>
        </w:rPr>
        <w:t xml:space="preserve">Maintaining records for corporate entities</w:t>
      </w:r>
    </w:p>
    <w:p>
      <w:pPr>
        <w:pStyle w:val="ListParagraph"/>
        <w:numPr>
          <w:ilvl w:val="0"/>
          <w:numId w:val="4"/>
        </w:numPr>
        <w:spacing w:before="40" w:after="40"/>
      </w:pPr>
      <w:r>
        <w:rPr>
          <w:sz w:val="22"/>
          <w:szCs w:val="22"/>
          <w:rFonts w:ascii="Arial" w:cs="Arial" w:eastAsia="Arial" w:hAnsi="Arial"/>
        </w:rPr>
        <w:t xml:space="preserve">Supporting governance processes for the Company and its subsidiaries</w:t>
      </w:r>
    </w:p>
    <w:p>
      <w:pPr>
        <w:pStyle w:val="ListParagraph"/>
        <w:numPr>
          <w:ilvl w:val="0"/>
          <w:numId w:val="4"/>
        </w:numPr>
        <w:spacing w:before="40" w:after="40"/>
      </w:pPr>
      <w:r>
        <w:rPr>
          <w:sz w:val="22"/>
          <w:szCs w:val="22"/>
          <w:rFonts w:ascii="Arial" w:cs="Arial" w:eastAsia="Arial" w:hAnsi="Arial"/>
        </w:rPr>
        <w:t xml:space="preserve">Coordinating entity formation, dissolution, and structural changes</w:t>
      </w:r>
    </w:p>
    <w:p>
      <w:pPr>
        <w:pStyle w:val="ListParagraph"/>
        <w:numPr>
          <w:ilvl w:val="0"/>
          <w:numId w:val="4"/>
        </w:numPr>
        <w:spacing w:before="40" w:after="40"/>
      </w:pPr>
      <w:r>
        <w:rPr>
          <w:sz w:val="22"/>
          <w:szCs w:val="22"/>
          <w:rFonts w:ascii="Arial" w:cs="Arial" w:eastAsia="Arial" w:hAnsi="Arial"/>
        </w:rPr>
        <w:t xml:space="preserve">Maintaining organizational charts and ownership records</w:t>
      </w:r>
    </w:p>
    <w:p>
      <w:pPr>
        <w:spacing w:before="80" w:after="120"/>
      </w:pPr>
      <w:r>
        <w:rPr>
          <w:b/>
          <w:bCs/>
          <w:sz w:val="22"/>
          <w:szCs w:val="22"/>
          <w:rFonts w:ascii="Arial" w:cs="Arial" w:eastAsia="Arial" w:hAnsi="Arial"/>
        </w:rPr>
        <w:t xml:space="preserve">Policy Development and Legal Compliance</w:t>
      </w:r>
    </w:p>
    <w:p>
      <w:pPr>
        <w:pStyle w:val="ListParagraph"/>
        <w:numPr>
          <w:ilvl w:val="0"/>
          <w:numId w:val="4"/>
        </w:numPr>
        <w:spacing w:before="40" w:after="40"/>
      </w:pPr>
      <w:r>
        <w:rPr>
          <w:sz w:val="22"/>
          <w:szCs w:val="22"/>
          <w:rFonts w:ascii="Arial" w:cs="Arial" w:eastAsia="Arial" w:hAnsi="Arial"/>
        </w:rPr>
        <w:t xml:space="preserve">Developing and maintaining internal legal policies and procedures</w:t>
      </w:r>
    </w:p>
    <w:p>
      <w:pPr>
        <w:pStyle w:val="ListParagraph"/>
        <w:numPr>
          <w:ilvl w:val="0"/>
          <w:numId w:val="4"/>
        </w:numPr>
        <w:spacing w:before="40" w:after="40"/>
      </w:pPr>
      <w:r>
        <w:rPr>
          <w:sz w:val="22"/>
          <w:szCs w:val="22"/>
          <w:rFonts w:ascii="Arial" w:cs="Arial" w:eastAsia="Arial" w:hAnsi="Arial"/>
        </w:rPr>
        <w:t xml:space="preserve">Monitoring legal and regulatory developments relevant to the Company</w:t>
      </w:r>
    </w:p>
    <w:p>
      <w:pPr>
        <w:pStyle w:val="ListParagraph"/>
        <w:numPr>
          <w:ilvl w:val="0"/>
          <w:numId w:val="4"/>
        </w:numPr>
        <w:spacing w:before="40" w:after="40"/>
      </w:pPr>
      <w:r>
        <w:rPr>
          <w:sz w:val="22"/>
          <w:szCs w:val="22"/>
          <w:rFonts w:ascii="Arial" w:cs="Arial" w:eastAsia="Arial" w:hAnsi="Arial"/>
        </w:rPr>
        <w:t xml:space="preserve">Advising internal teams regarding compliance obligations</w:t>
      </w:r>
    </w:p>
    <w:p>
      <w:pPr>
        <w:pStyle w:val="Heading2"/>
        <w:spacing w:before="200" w:after="120"/>
      </w:pPr>
      <w:r>
        <w:rPr>
          <w:b/>
          <w:bCs/>
          <w:sz w:val="28"/>
          <w:szCs w:val="28"/>
          <w:rFonts w:ascii="Arial" w:cs="Arial" w:eastAsia="Arial" w:hAnsi="Arial"/>
        </w:rPr>
        <w:t xml:space="preserve">Section 4.B. Matters Where the Legal Department Provides Advisory Support or Collaboration</w:t>
      </w:r>
    </w:p>
    <w:p>
      <w:pPr>
        <w:spacing w:before="80" w:after="120"/>
      </w:pPr>
      <w:r>
        <w:rPr>
          <w:b/>
          <w:bCs/>
          <w:sz w:val="22"/>
          <w:szCs w:val="22"/>
          <w:rFonts w:ascii="Arial" w:cs="Arial" w:eastAsia="Arial" w:hAnsi="Arial"/>
        </w:rPr>
        <w:t xml:space="preserve">Lease/Document Negotiation for Asset Management Department</w:t>
      </w:r>
    </w:p>
    <w:p>
      <w:pPr>
        <w:pStyle w:val="ListParagraph"/>
        <w:numPr>
          <w:ilvl w:val="0"/>
          <w:numId w:val="4"/>
        </w:numPr>
        <w:spacing w:before="40" w:after="40"/>
      </w:pPr>
      <w:r>
        <w:rPr>
          <w:sz w:val="22"/>
          <w:szCs w:val="22"/>
          <w:rFonts w:ascii="Arial" w:cs="Arial" w:eastAsia="Arial" w:hAnsi="Arial"/>
        </w:rPr>
        <w:t xml:space="preserve">Advising on legal implications of proposed business terms</w:t>
      </w:r>
    </w:p>
    <w:p>
      <w:pPr>
        <w:pStyle w:val="ListParagraph"/>
        <w:numPr>
          <w:ilvl w:val="0"/>
          <w:numId w:val="4"/>
        </w:numPr>
        <w:spacing w:before="40" w:after="40"/>
      </w:pPr>
      <w:r>
        <w:rPr>
          <w:sz w:val="22"/>
          <w:szCs w:val="22"/>
          <w:rFonts w:ascii="Arial" w:cs="Arial" w:eastAsia="Arial" w:hAnsi="Arial"/>
        </w:rPr>
        <w:t xml:space="preserve">Recommending risk mitigation strategies</w:t>
      </w:r>
    </w:p>
    <w:p>
      <w:pPr>
        <w:pStyle w:val="ListParagraph"/>
        <w:numPr>
          <w:ilvl w:val="0"/>
          <w:numId w:val="4"/>
        </w:numPr>
        <w:spacing w:before="40" w:after="40"/>
      </w:pPr>
      <w:r>
        <w:rPr>
          <w:sz w:val="22"/>
          <w:szCs w:val="22"/>
          <w:rFonts w:ascii="Arial" w:cs="Arial" w:eastAsia="Arial" w:hAnsi="Arial"/>
        </w:rPr>
        <w:t xml:space="preserve">Reviewing tenant revisions and proposed lease language</w:t>
      </w:r>
    </w:p>
    <w:p>
      <w:pPr>
        <w:spacing w:before="80" w:after="120"/>
      </w:pPr>
      <w:r>
        <w:rPr>
          <w:b/>
          <w:bCs/>
          <w:sz w:val="22"/>
          <w:szCs w:val="22"/>
          <w:rFonts w:ascii="Arial" w:cs="Arial" w:eastAsia="Arial" w:hAnsi="Arial"/>
        </w:rPr>
        <w:t xml:space="preserve">Tenant Defaults and Dispute Resolution for Executive Department</w:t>
      </w:r>
    </w:p>
    <w:p>
      <w:pPr>
        <w:pStyle w:val="ListParagraph"/>
        <w:numPr>
          <w:ilvl w:val="0"/>
          <w:numId w:val="4"/>
        </w:numPr>
        <w:spacing w:before="40" w:after="40"/>
      </w:pPr>
      <w:r>
        <w:rPr>
          <w:sz w:val="22"/>
          <w:szCs w:val="22"/>
          <w:rFonts w:ascii="Arial" w:cs="Arial" w:eastAsia="Arial" w:hAnsi="Arial"/>
        </w:rPr>
        <w:t xml:space="preserve">Default notice procedures</w:t>
      </w:r>
    </w:p>
    <w:p>
      <w:pPr>
        <w:pStyle w:val="ListParagraph"/>
        <w:numPr>
          <w:ilvl w:val="0"/>
          <w:numId w:val="4"/>
        </w:numPr>
        <w:spacing w:before="40" w:after="40"/>
      </w:pPr>
      <w:r>
        <w:rPr>
          <w:sz w:val="22"/>
          <w:szCs w:val="22"/>
          <w:rFonts w:ascii="Arial" w:cs="Arial" w:eastAsia="Arial" w:hAnsi="Arial"/>
        </w:rPr>
        <w:t xml:space="preserve">Enforcement options</w:t>
      </w:r>
    </w:p>
    <w:p>
      <w:pPr>
        <w:pStyle w:val="ListParagraph"/>
        <w:numPr>
          <w:ilvl w:val="0"/>
          <w:numId w:val="4"/>
        </w:numPr>
        <w:spacing w:before="40" w:after="40"/>
      </w:pPr>
      <w:r>
        <w:rPr>
          <w:sz w:val="22"/>
          <w:szCs w:val="22"/>
          <w:rFonts w:ascii="Arial" w:cs="Arial" w:eastAsia="Arial" w:hAnsi="Arial"/>
        </w:rPr>
        <w:t xml:space="preserve">Settlement considerations</w:t>
      </w:r>
    </w:p>
    <w:p>
      <w:pPr>
        <w:pStyle w:val="ListParagraph"/>
        <w:numPr>
          <w:ilvl w:val="0"/>
          <w:numId w:val="4"/>
        </w:numPr>
        <w:spacing w:before="40" w:after="40"/>
      </w:pPr>
      <w:r>
        <w:rPr>
          <w:sz w:val="22"/>
          <w:szCs w:val="22"/>
          <w:rFonts w:ascii="Arial" w:cs="Arial" w:eastAsia="Arial" w:hAnsi="Arial"/>
        </w:rPr>
        <w:t xml:space="preserve">Litigation strategies if disputes escalate</w:t>
      </w:r>
    </w:p>
    <w:p>
      <w:pPr>
        <w:spacing w:before="80" w:after="120"/>
      </w:pPr>
      <w:r>
        <w:rPr>
          <w:sz w:val="22"/>
          <w:szCs w:val="22"/>
          <w:rFonts w:ascii="Arial" w:cs="Arial" w:eastAsia="Arial" w:hAnsi="Arial"/>
        </w:rPr>
        <w:t xml:space="preserve">For tenant default matters, the Department provides strategic legal direction and drafts all formal legal notices (including default notices, cure notices, termination notices, and demand letters). Asset Management handles day-to-day tenant communications regarding defaults and delinquencies, including informal outreach, payment arrangement discussions, and operational coordination with Property Management. The determination of whether a formal legal notice is required (as distinguished from an informal business communication) shall be made by the Department.</w:t>
      </w:r>
    </w:p>
    <w:p>
      <w:pPr>
        <w:spacing w:before="80" w:after="120"/>
      </w:pPr>
      <w:r>
        <w:rPr>
          <w:b/>
          <w:bCs/>
          <w:sz w:val="22"/>
          <w:szCs w:val="22"/>
          <w:rFonts w:ascii="Arial" w:cs="Arial" w:eastAsia="Arial" w:hAnsi="Arial"/>
        </w:rPr>
        <w:t xml:space="preserve">Insurance Claims for Asset Management Department</w:t>
      </w:r>
    </w:p>
    <w:p>
      <w:pPr>
        <w:pStyle w:val="ListParagraph"/>
        <w:numPr>
          <w:ilvl w:val="0"/>
          <w:numId w:val="4"/>
        </w:numPr>
        <w:spacing w:before="40" w:after="40"/>
      </w:pPr>
      <w:r>
        <w:rPr>
          <w:sz w:val="22"/>
          <w:szCs w:val="22"/>
          <w:rFonts w:ascii="Arial" w:cs="Arial" w:eastAsia="Arial" w:hAnsi="Arial"/>
        </w:rPr>
        <w:t xml:space="preserve">Complex insurance coverage issues</w:t>
      </w:r>
    </w:p>
    <w:p>
      <w:pPr>
        <w:pStyle w:val="ListParagraph"/>
        <w:numPr>
          <w:ilvl w:val="0"/>
          <w:numId w:val="4"/>
        </w:numPr>
        <w:spacing w:before="40" w:after="40"/>
      </w:pPr>
      <w:r>
        <w:rPr>
          <w:sz w:val="22"/>
          <w:szCs w:val="22"/>
          <w:rFonts w:ascii="Arial" w:cs="Arial" w:eastAsia="Arial" w:hAnsi="Arial"/>
        </w:rPr>
        <w:t xml:space="preserve">Insurer disputes</w:t>
      </w:r>
    </w:p>
    <w:p>
      <w:pPr>
        <w:pStyle w:val="ListParagraph"/>
        <w:numPr>
          <w:ilvl w:val="0"/>
          <w:numId w:val="4"/>
        </w:numPr>
        <w:spacing w:before="40" w:after="40"/>
      </w:pPr>
      <w:r>
        <w:rPr>
          <w:sz w:val="22"/>
          <w:szCs w:val="22"/>
          <w:rFonts w:ascii="Arial" w:cs="Arial" w:eastAsia="Arial" w:hAnsi="Arial"/>
        </w:rPr>
        <w:t xml:space="preserve">Litigation arising from claims</w:t>
      </w:r>
    </w:p>
    <w:p>
      <w:pPr>
        <w:spacing w:before="80" w:after="120"/>
      </w:pPr>
      <w:r>
        <w:rPr>
          <w:sz w:val="22"/>
          <w:szCs w:val="22"/>
          <w:rFonts w:ascii="Arial" w:cs="Arial" w:eastAsia="Arial" w:hAnsi="Arial"/>
        </w:rPr>
        <w:t xml:space="preserve">The Department's role with respect to insurance claims is advisory for coverage determinations and claims-handling strategy; Asset Management (in coordination with the Company's risk management function and insurance broker) retains operational ownership of the claims process. However, the Department has sole authority over settlement decisions involving insurance claims, consistent with the settlement authority thresholds established in Attachment A (Delegation of Authority Matrix). Any proposed settlement of an insurance claim must be reviewed and approved by the GC (or designee) prior to execution.</w:t>
      </w:r>
    </w:p>
    <w:p>
      <w:pPr>
        <w:spacing w:before="80" w:after="120"/>
      </w:pPr>
      <w:r>
        <w:rPr>
          <w:b/>
          <w:bCs/>
          <w:sz w:val="22"/>
          <w:szCs w:val="22"/>
          <w:rFonts w:ascii="Arial" w:cs="Arial" w:eastAsia="Arial" w:hAnsi="Arial"/>
        </w:rPr>
        <w:t xml:space="preserve">Transactional Matters for Executive, Finance and Acquisitions Departments</w:t>
      </w:r>
    </w:p>
    <w:p>
      <w:pPr>
        <w:pStyle w:val="ListParagraph"/>
        <w:numPr>
          <w:ilvl w:val="0"/>
          <w:numId w:val="4"/>
        </w:numPr>
        <w:spacing w:before="40" w:after="40"/>
      </w:pPr>
      <w:r>
        <w:rPr>
          <w:sz w:val="22"/>
          <w:szCs w:val="22"/>
          <w:rFonts w:ascii="Arial" w:cs="Arial" w:eastAsia="Arial" w:hAnsi="Arial"/>
        </w:rPr>
        <w:t xml:space="preserve">Acquisitions and dispositions</w:t>
      </w:r>
    </w:p>
    <w:p>
      <w:pPr>
        <w:pStyle w:val="ListParagraph"/>
        <w:numPr>
          <w:ilvl w:val="0"/>
          <w:numId w:val="4"/>
        </w:numPr>
        <w:spacing w:before="40" w:after="40"/>
      </w:pPr>
      <w:r>
        <w:rPr>
          <w:sz w:val="22"/>
          <w:szCs w:val="22"/>
          <w:rFonts w:ascii="Arial" w:cs="Arial" w:eastAsia="Arial" w:hAnsi="Arial"/>
        </w:rPr>
        <w:t xml:space="preserve">Financing</w:t>
      </w:r>
    </w:p>
    <w:p>
      <w:pPr>
        <w:pStyle w:val="ListParagraph"/>
        <w:numPr>
          <w:ilvl w:val="0"/>
          <w:numId w:val="4"/>
        </w:numPr>
        <w:spacing w:before="40" w:after="40"/>
      </w:pPr>
      <w:r>
        <w:rPr>
          <w:sz w:val="22"/>
          <w:szCs w:val="22"/>
          <w:rFonts w:ascii="Arial" w:cs="Arial" w:eastAsia="Arial" w:hAnsi="Arial"/>
        </w:rPr>
        <w:t xml:space="preserve">Joint ventures</w:t>
      </w:r>
    </w:p>
    <w:p>
      <w:pPr>
        <w:pStyle w:val="ListParagraph"/>
        <w:numPr>
          <w:ilvl w:val="0"/>
          <w:numId w:val="4"/>
        </w:numPr>
        <w:spacing w:before="40" w:after="40"/>
      </w:pPr>
      <w:r>
        <w:rPr>
          <w:sz w:val="22"/>
          <w:szCs w:val="22"/>
          <w:rFonts w:ascii="Arial" w:cs="Arial" w:eastAsia="Arial" w:hAnsi="Arial"/>
        </w:rPr>
        <w:t xml:space="preserve">Material contracts</w:t>
      </w:r>
    </w:p>
    <w:p>
      <w:pPr>
        <w:spacing w:before="80" w:after="120"/>
      </w:pPr>
      <w:r>
        <w:rPr>
          <w:b/>
          <w:bCs/>
          <w:sz w:val="22"/>
          <w:szCs w:val="22"/>
          <w:rFonts w:ascii="Arial" w:cs="Arial" w:eastAsia="Arial" w:hAnsi="Arial"/>
        </w:rPr>
        <w:t xml:space="preserve">Environmental Regulatory Compliance</w:t>
      </w:r>
    </w:p>
    <w:p>
      <w:pPr>
        <w:spacing w:before="80" w:after="120"/>
      </w:pPr>
      <w:r>
        <w:rPr>
          <w:sz w:val="22"/>
          <w:szCs w:val="22"/>
          <w:rFonts w:ascii="Arial" w:cs="Arial" w:eastAsia="Arial" w:hAnsi="Arial"/>
        </w:rPr>
        <w:t xml:space="preserve">The Legal Department provides legal oversight and support for the Company's environmental compliance obligations. As an owner and operator of industrial real estate, the Company is subject to federal, state, and local environmental laws and regulations, including but not limited to:</w:t>
      </w:r>
    </w:p>
    <w:p>
      <w:pPr>
        <w:pStyle w:val="ListParagraph"/>
        <w:numPr>
          <w:ilvl w:val="0"/>
          <w:numId w:val="4"/>
        </w:numPr>
        <w:spacing w:before="40" w:after="40"/>
      </w:pPr>
      <w:r>
        <w:rPr>
          <w:b/>
          <w:bCs/>
          <w:sz w:val="22"/>
          <w:szCs w:val="22"/>
          <w:rFonts w:ascii="Arial" w:cs="Arial" w:eastAsia="Arial" w:hAnsi="Arial"/>
        </w:rPr>
        <w:t xml:space="preserve">CERCLA (Comprehensive Environmental Response, Compensation, and Liability Act).</w:t>
      </w:r>
      <w:r>
        <w:rPr>
          <w:sz w:val="22"/>
          <w:szCs w:val="22"/>
          <w:rFonts w:ascii="Arial" w:cs="Arial" w:eastAsia="Arial" w:hAnsi="Arial"/>
        </w:rPr>
        <w:t xml:space="preserve"> The Department monitors potential Superfund liability exposure, coordinates responses to EPA information requests or potentially responsible party (PRP) notifications, and advises on allocation and contribution claims. The Department coordinates with outside environmental counsel on any CERCLA matter involving potential liability to the Company.</w:t>
      </w:r>
    </w:p>
    <w:p>
      <w:pPr>
        <w:pStyle w:val="ListParagraph"/>
        <w:numPr>
          <w:ilvl w:val="0"/>
          <w:numId w:val="4"/>
        </w:numPr>
        <w:spacing w:before="40" w:after="40"/>
      </w:pPr>
      <w:r>
        <w:rPr>
          <w:b/>
          <w:bCs/>
          <w:sz w:val="22"/>
          <w:szCs w:val="22"/>
          <w:rFonts w:ascii="Arial" w:cs="Arial" w:eastAsia="Arial" w:hAnsi="Arial"/>
        </w:rPr>
        <w:t xml:space="preserve">RCRA (Resource Conservation and Recovery Act).</w:t>
      </w:r>
      <w:r>
        <w:rPr>
          <w:sz w:val="22"/>
          <w:szCs w:val="22"/>
          <w:rFonts w:ascii="Arial" w:cs="Arial" w:eastAsia="Arial" w:hAnsi="Arial"/>
        </w:rPr>
        <w:t xml:space="preserve"> The Department advises on compliance with hazardous waste generation, storage, and disposal requirements applicable to the Company's properties, including tenant activities that may create RCRA obligations for the Company as property owner.</w:t>
      </w:r>
    </w:p>
    <w:p>
      <w:pPr>
        <w:pStyle w:val="ListParagraph"/>
        <w:numPr>
          <w:ilvl w:val="0"/>
          <w:numId w:val="4"/>
        </w:numPr>
        <w:spacing w:before="40" w:after="40"/>
      </w:pPr>
      <w:r>
        <w:rPr>
          <w:b/>
          <w:bCs/>
          <w:sz w:val="22"/>
          <w:szCs w:val="22"/>
          <w:rFonts w:ascii="Arial" w:cs="Arial" w:eastAsia="Arial" w:hAnsi="Arial"/>
        </w:rPr>
        <w:t xml:space="preserve">Phase I and Phase II Environmental Site Assessments.</w:t>
      </w:r>
      <w:r>
        <w:rPr>
          <w:sz w:val="22"/>
          <w:szCs w:val="22"/>
          <w:rFonts w:ascii="Arial" w:cs="Arial" w:eastAsia="Arial" w:hAnsi="Arial"/>
        </w:rPr>
        <w:t xml:space="preserve"> The Department coordinates with the Company's environmental consultants to ensure that Phase I Environmental Site Assessments (in accordance with ASTM E1527) are completed for all acquisitions and, where recommended, Phase II assessments are conducted. The Department reviews all environmental reports for legal sufficiency, including evaluation of recognized environmental conditions (RECs), and advises the Acquisitions Department and executive leadership on environmental risk.</w:t>
      </w:r>
    </w:p>
    <w:p>
      <w:pPr>
        <w:pStyle w:val="ListParagraph"/>
        <w:numPr>
          <w:ilvl w:val="0"/>
          <w:numId w:val="4"/>
        </w:numPr>
        <w:spacing w:before="40" w:after="40"/>
      </w:pPr>
      <w:r>
        <w:rPr>
          <w:b/>
          <w:bCs/>
          <w:sz w:val="22"/>
          <w:szCs w:val="22"/>
          <w:rFonts w:ascii="Arial" w:cs="Arial" w:eastAsia="Arial" w:hAnsi="Arial"/>
        </w:rPr>
        <w:t xml:space="preserve">Environmental Indemnification in Leases.</w:t>
      </w:r>
      <w:r>
        <w:rPr>
          <w:sz w:val="22"/>
          <w:szCs w:val="22"/>
          <w:rFonts w:ascii="Arial" w:cs="Arial" w:eastAsia="Arial" w:hAnsi="Arial"/>
        </w:rPr>
        <w:t xml:space="preserve"> The Department ensures that the Company's standard lease forms contain appropriate environmental representations, warranties, covenants, and indemnification provisions. For industrial tenants whose operations involve hazardous materials, the Department reviews and approves tenant environmental disclosure schedules and coordinates insurance requirements (e.g., environmental impairment liability policies) where appropriate.</w:t>
      </w:r>
    </w:p>
    <w:p>
      <w:pPr>
        <w:pStyle w:val="ListParagraph"/>
        <w:numPr>
          <w:ilvl w:val="0"/>
          <w:numId w:val="4"/>
        </w:numPr>
        <w:spacing w:before="40" w:after="40"/>
      </w:pPr>
      <w:r>
        <w:rPr>
          <w:b/>
          <w:bCs/>
          <w:sz w:val="22"/>
          <w:szCs w:val="22"/>
          <w:rFonts w:ascii="Arial" w:cs="Arial" w:eastAsia="Arial" w:hAnsi="Arial"/>
        </w:rPr>
        <w:t xml:space="preserve">State and Local Environmental Requirements.</w:t>
      </w:r>
      <w:r>
        <w:rPr>
          <w:sz w:val="22"/>
          <w:szCs w:val="22"/>
          <w:rFonts w:ascii="Arial" w:cs="Arial" w:eastAsia="Arial" w:hAnsi="Arial"/>
        </w:rPr>
        <w:t xml:space="preserve"> The Department monitors compliance with state-specific environmental disclosure, remediation, and reporting requirements (e.g., New Jersey ISRA, Connecticut Transfer Act, Illinois SRP) applicable to the Company's properties.</w:t>
      </w:r>
    </w:p>
    <w:p>
      <w:pPr>
        <w:pStyle w:val="ListParagraph"/>
        <w:numPr>
          <w:ilvl w:val="0"/>
          <w:numId w:val="4"/>
        </w:numPr>
        <w:spacing w:before="40" w:after="40"/>
      </w:pPr>
      <w:r>
        <w:rPr>
          <w:b/>
          <w:bCs/>
          <w:sz w:val="22"/>
          <w:szCs w:val="22"/>
          <w:rFonts w:ascii="Arial" w:cs="Arial" w:eastAsia="Arial" w:hAnsi="Arial"/>
        </w:rPr>
        <w:t xml:space="preserve">Environmental Incident Response.</w:t>
      </w:r>
      <w:r>
        <w:rPr>
          <w:sz w:val="22"/>
          <w:szCs w:val="22"/>
          <w:rFonts w:ascii="Arial" w:cs="Arial" w:eastAsia="Arial" w:hAnsi="Arial"/>
        </w:rPr>
        <w:t xml:space="preserve"> Upon notification of an environmental incident (e.g., spill, release, contamination discovery) at a Company property, the Department coordinates the Company's legal response, including notification to applicable regulatory authorities, engagement of environmental counsel, preservation of indemnification and insurance claims, and communication with affected tenants and third parties.</w:t>
      </w:r>
    </w:p>
    <w:p>
      <w:pPr>
        <w:spacing w:before="80" w:after="120"/>
      </w:pPr>
      <w:r>
        <w:rPr>
          <w:sz w:val="22"/>
          <w:szCs w:val="22"/>
          <w:rFonts w:ascii="Arial" w:cs="Arial" w:eastAsia="Arial" w:hAnsi="Arial"/>
        </w:rPr>
        <w:t xml:space="preserve">The Department maintains an Environmental Risk Log as a component of the Legal Risk Tracker (Section 12) to track all properties with known or suspected environmental conditions, pending regulatory actions, and active remediation obligations.</w:t>
      </w:r>
    </w:p>
    <w:p>
      <w:pPr>
        <w:spacing w:before="80" w:after="120"/>
      </w:pPr>
      <w:r>
        <w:rPr>
          <w:b/>
          <w:bCs/>
          <w:sz w:val="22"/>
          <w:szCs w:val="22"/>
          <w:rFonts w:ascii="Arial" w:cs="Arial" w:eastAsia="Arial" w:hAnsi="Arial"/>
        </w:rPr>
        <w:t xml:space="preserve">Representations and Warranties Support</w:t>
      </w:r>
    </w:p>
    <w:p>
      <w:pPr>
        <w:spacing w:before="80" w:after="120"/>
      </w:pPr>
      <w:r>
        <w:rPr>
          <w:sz w:val="22"/>
          <w:szCs w:val="22"/>
          <w:rFonts w:ascii="Arial" w:cs="Arial" w:eastAsia="Arial" w:hAnsi="Arial"/>
        </w:rPr>
        <w:t xml:space="preserve">The Legal Department supports the Company's representations and warranties obligations in connection with acquisitions, dispositions, and financing transactions. The Department's responsibilities include:</w:t>
      </w:r>
    </w:p>
    <w:p>
      <w:pPr>
        <w:pStyle w:val="ListParagraph"/>
        <w:numPr>
          <w:ilvl w:val="0"/>
          <w:numId w:val="4"/>
        </w:numPr>
        <w:spacing w:before="40" w:after="40"/>
      </w:pPr>
      <w:r>
        <w:rPr>
          <w:b/>
          <w:bCs/>
          <w:sz w:val="22"/>
          <w:szCs w:val="22"/>
          <w:rFonts w:ascii="Arial" w:cs="Arial" w:eastAsia="Arial" w:hAnsi="Arial"/>
        </w:rPr>
        <w:t xml:space="preserve">Acquisitions.</w:t>
      </w:r>
      <w:r>
        <w:rPr>
          <w:sz w:val="22"/>
          <w:szCs w:val="22"/>
          <w:rFonts w:ascii="Arial" w:cs="Arial" w:eastAsia="Arial" w:hAnsi="Arial"/>
        </w:rPr>
        <w:t xml:space="preserve"> Reviewing and negotiating representations and warranties made by sellers in purchase and sale agreements, including representations relating to title, environmental condition, litigation, compliance with laws, leases, contracts, and financial condition. The Department coordinates with Asset Management, the Acquisitions Department, and Finance to verify the factual accuracy of seller representations and to assess the adequacy of survival periods, indemnification caps, baskets, and escrow or holdback provisions.</w:t>
      </w:r>
    </w:p>
    <w:p>
      <w:pPr>
        <w:pStyle w:val="ListParagraph"/>
        <w:numPr>
          <w:ilvl w:val="0"/>
          <w:numId w:val="4"/>
        </w:numPr>
        <w:spacing w:before="40" w:after="40"/>
      </w:pPr>
      <w:r>
        <w:rPr>
          <w:b/>
          <w:bCs/>
          <w:sz w:val="22"/>
          <w:szCs w:val="22"/>
          <w:rFonts w:ascii="Arial" w:cs="Arial" w:eastAsia="Arial" w:hAnsi="Arial"/>
        </w:rPr>
        <w:t xml:space="preserve">Dispositions.</w:t>
      </w:r>
      <w:r>
        <w:rPr>
          <w:sz w:val="22"/>
          <w:szCs w:val="22"/>
          <w:rFonts w:ascii="Arial" w:cs="Arial" w:eastAsia="Arial" w:hAnsi="Arial"/>
        </w:rPr>
        <w:t xml:space="preserve"> Drafting and reviewing representations and warranties made by the Company as seller, coordinating with internal departments to confirm the accuracy of each representation, and advising on appropriate qualifiers, knowledge limitations, disclosure schedules, and indemnification exposure. The Department ensures that the Company's representations are consistent with its actual knowledge and that appropriate carve-outs and limitations are included to manage post-closing liability.</w:t>
      </w:r>
    </w:p>
    <w:p>
      <w:pPr>
        <w:pStyle w:val="ListParagraph"/>
        <w:numPr>
          <w:ilvl w:val="0"/>
          <w:numId w:val="4"/>
        </w:numPr>
        <w:spacing w:before="40" w:after="40"/>
      </w:pPr>
      <w:r>
        <w:rPr>
          <w:b/>
          <w:bCs/>
          <w:sz w:val="22"/>
          <w:szCs w:val="22"/>
          <w:rFonts w:ascii="Arial" w:cs="Arial" w:eastAsia="Arial" w:hAnsi="Arial"/>
        </w:rPr>
        <w:t xml:space="preserve">Financing Transactions.</w:t>
      </w:r>
      <w:r>
        <w:rPr>
          <w:sz w:val="22"/>
          <w:szCs w:val="22"/>
          <w:rFonts w:ascii="Arial" w:cs="Arial" w:eastAsia="Arial" w:hAnsi="Arial"/>
        </w:rPr>
        <w:t xml:space="preserve"> Reviewing representations and warranties required by lenders in loan agreements, mortgage documents, environmental indemnity agreements, and guaranty instruments. The Department coordinates with Finance to confirm compliance with ongoing representations and covenants, including bring-down representations required at each draw or at closing, and advises on the legal implications of representation breaches.</w:t>
      </w:r>
    </w:p>
    <w:p>
      <w:pPr>
        <w:pStyle w:val="ListParagraph"/>
        <w:numPr>
          <w:ilvl w:val="0"/>
          <w:numId w:val="4"/>
        </w:numPr>
        <w:spacing w:before="40" w:after="40"/>
      </w:pPr>
      <w:r>
        <w:rPr>
          <w:b/>
          <w:bCs/>
          <w:sz w:val="22"/>
          <w:szCs w:val="22"/>
          <w:rFonts w:ascii="Arial" w:cs="Arial" w:eastAsia="Arial" w:hAnsi="Arial"/>
        </w:rPr>
        <w:t xml:space="preserve">Disclosure Schedule Preparation.</w:t>
      </w:r>
      <w:r>
        <w:rPr>
          <w:sz w:val="22"/>
          <w:szCs w:val="22"/>
          <w:rFonts w:ascii="Arial" w:cs="Arial" w:eastAsia="Arial" w:hAnsi="Arial"/>
        </w:rPr>
        <w:t xml:space="preserve"> The Department coordinates the preparation of disclosure schedules that qualify representations and warranties, working with Asset Management, Finance, Property Management, and the Acquisitions Department to ensure completeness and accuracy. Disclosure schedules must be reviewed and approved by the GC (or designee) before delivery to any counterparty.</w:t>
      </w:r>
    </w:p>
    <w:p>
      <w:pPr>
        <w:pStyle w:val="ListParagraph"/>
        <w:numPr>
          <w:ilvl w:val="0"/>
          <w:numId w:val="4"/>
        </w:numPr>
        <w:spacing w:before="40" w:after="40"/>
      </w:pPr>
      <w:r>
        <w:rPr>
          <w:b/>
          <w:bCs/>
          <w:sz w:val="22"/>
          <w:szCs w:val="22"/>
          <w:rFonts w:ascii="Arial" w:cs="Arial" w:eastAsia="Arial" w:hAnsi="Arial"/>
        </w:rPr>
        <w:t xml:space="preserve">Post-Closing Representation Compliance.</w:t>
      </w:r>
      <w:r>
        <w:rPr>
          <w:sz w:val="22"/>
          <w:szCs w:val="22"/>
          <w:rFonts w:ascii="Arial" w:cs="Arial" w:eastAsia="Arial" w:hAnsi="Arial"/>
        </w:rPr>
        <w:t xml:space="preserve"> For transactions with surviving representations and warranties, the Department maintains a log of survival periods, indemnification deadlines, and ongoing compliance obligations, and coordinates with the applicable internal department to monitor compliance through the expiration of the survival period.</w:t>
      </w:r>
    </w:p>
    <w:p>
      <w:pPr>
        <w:pStyle w:val="Heading2"/>
        <w:spacing w:before="200" w:after="120"/>
      </w:pPr>
      <w:r>
        <w:rPr>
          <w:b/>
          <w:bCs/>
          <w:sz w:val="28"/>
          <w:szCs w:val="28"/>
          <w:rFonts w:ascii="Arial" w:cs="Arial" w:eastAsia="Arial" w:hAnsi="Arial"/>
        </w:rPr>
        <w:t xml:space="preserve">Section 4.C. Matters Outside the Operational Responsibility of the Legal Department</w:t>
      </w:r>
    </w:p>
    <w:p>
      <w:pPr>
        <w:pStyle w:val="ListParagraph"/>
        <w:numPr>
          <w:ilvl w:val="0"/>
          <w:numId w:val="4"/>
        </w:numPr>
        <w:spacing w:before="40" w:after="40"/>
      </w:pPr>
      <w:r>
        <w:rPr>
          <w:sz w:val="22"/>
          <w:szCs w:val="22"/>
          <w:rFonts w:ascii="Arial" w:cs="Arial" w:eastAsia="Arial" w:hAnsi="Arial"/>
        </w:rPr>
        <w:t xml:space="preserve">Relationship management concerning tenants, vendors, contractors and third-party property management</w:t>
      </w:r>
    </w:p>
    <w:p>
      <w:pPr>
        <w:pStyle w:val="ListParagraph"/>
        <w:numPr>
          <w:ilvl w:val="0"/>
          <w:numId w:val="4"/>
        </w:numPr>
        <w:spacing w:before="40" w:after="40"/>
      </w:pPr>
      <w:r>
        <w:rPr>
          <w:sz w:val="22"/>
          <w:szCs w:val="22"/>
          <w:rFonts w:ascii="Arial" w:cs="Arial" w:eastAsia="Arial" w:hAnsi="Arial"/>
        </w:rPr>
        <w:t xml:space="preserve">Rent collection and accounts receivable</w:t>
      </w:r>
    </w:p>
    <w:p>
      <w:pPr>
        <w:pStyle w:val="ListParagraph"/>
        <w:numPr>
          <w:ilvl w:val="0"/>
          <w:numId w:val="4"/>
        </w:numPr>
        <w:spacing w:before="40" w:after="40"/>
      </w:pPr>
      <w:r>
        <w:rPr>
          <w:sz w:val="22"/>
          <w:szCs w:val="22"/>
          <w:rFonts w:ascii="Arial" w:cs="Arial" w:eastAsia="Arial" w:hAnsi="Arial"/>
        </w:rPr>
        <w:t xml:space="preserve">Property operations and maintenance</w:t>
      </w:r>
    </w:p>
    <w:p>
      <w:pPr>
        <w:pStyle w:val="ListParagraph"/>
        <w:numPr>
          <w:ilvl w:val="0"/>
          <w:numId w:val="4"/>
        </w:numPr>
        <w:spacing w:before="40" w:after="40"/>
      </w:pPr>
      <w:r>
        <w:rPr>
          <w:sz w:val="22"/>
          <w:szCs w:val="22"/>
          <w:rFonts w:ascii="Arial" w:cs="Arial" w:eastAsia="Arial" w:hAnsi="Arial"/>
        </w:rPr>
        <w:t xml:space="preserve">Leasing strategy and market positioning</w:t>
      </w:r>
    </w:p>
    <w:p>
      <w:pPr>
        <w:pStyle w:val="ListParagraph"/>
        <w:numPr>
          <w:ilvl w:val="0"/>
          <w:numId w:val="4"/>
        </w:numPr>
        <w:spacing w:before="40" w:after="40"/>
      </w:pPr>
      <w:r>
        <w:rPr>
          <w:sz w:val="22"/>
          <w:szCs w:val="22"/>
          <w:rFonts w:ascii="Arial" w:cs="Arial" w:eastAsia="Arial" w:hAnsi="Arial"/>
        </w:rPr>
        <w:t xml:space="preserve">Asset management decisions regarding tenant concessions or pricing</w:t>
      </w:r>
    </w:p>
    <w:p>
      <w:r>
        <w:br w:type="page"/>
      </w:r>
    </w:p>
    <w:p>
      <w:pPr>
        <w:pStyle w:val="Heading1"/>
        <w:spacing w:before="240" w:after="200"/>
      </w:pPr>
      <w:r>
        <w:rPr>
          <w:b/>
          <w:bCs/>
          <w:sz w:val="32"/>
          <w:szCs w:val="32"/>
          <w:rFonts w:ascii="Arial" w:cs="Arial" w:eastAsia="Arial" w:hAnsi="Arial"/>
        </w:rPr>
        <w:t xml:space="preserve">SECTION 5. LEGAL REQUEST INTAKE AND PRIORITIZATION</w:t>
      </w:r>
    </w:p>
    <w:p>
      <w:pPr>
        <w:spacing w:before="80" w:after="120"/>
      </w:pPr>
      <w:r>
        <w:rPr>
          <w:sz w:val="22"/>
          <w:szCs w:val="22"/>
          <w:rFonts w:ascii="Arial" w:cs="Arial" w:eastAsia="Arial" w:hAnsi="Arial"/>
        </w:rPr>
        <w:t xml:space="preserve">The Department receives requests from multiple internal stakeholders, including Asset Management, Property Management, Finance, and Executive Leadership. To ensure that legal matters are handled efficiently and consistently, all requests for legal services must follow the standardized intake and prioritization procedures outlined in this section.</w:t>
      </w:r>
    </w:p>
    <w:p>
      <w:pPr>
        <w:spacing w:before="80" w:after="120"/>
      </w:pPr>
      <w:r>
        <w:rPr>
          <w:sz w:val="22"/>
          <w:szCs w:val="22"/>
          <w:rFonts w:ascii="Arial" w:cs="Arial" w:eastAsia="Arial" w:hAnsi="Arial"/>
        </w:rPr>
        <w:t xml:space="preserve">The objectives of these procedures are to:</w:t>
      </w:r>
    </w:p>
    <w:p>
      <w:pPr>
        <w:pStyle w:val="ListParagraph"/>
        <w:numPr>
          <w:ilvl w:val="0"/>
          <w:numId w:val="5"/>
        </w:numPr>
        <w:spacing w:before="40" w:after="40"/>
      </w:pPr>
      <w:r>
        <w:rPr>
          <w:sz w:val="22"/>
          <w:szCs w:val="22"/>
          <w:rFonts w:ascii="Arial" w:cs="Arial" w:eastAsia="Arial" w:hAnsi="Arial"/>
        </w:rPr>
        <w:t xml:space="preserve">Ensure that legal requests are captured and tracked through a centralized system</w:t>
      </w:r>
    </w:p>
    <w:p>
      <w:pPr>
        <w:pStyle w:val="ListParagraph"/>
        <w:numPr>
          <w:ilvl w:val="0"/>
          <w:numId w:val="5"/>
        </w:numPr>
        <w:spacing w:before="40" w:after="40"/>
      </w:pPr>
      <w:r>
        <w:rPr>
          <w:sz w:val="22"/>
          <w:szCs w:val="22"/>
          <w:rFonts w:ascii="Arial" w:cs="Arial" w:eastAsia="Arial" w:hAnsi="Arial"/>
        </w:rPr>
        <w:t xml:space="preserve">Establish clear and objective criteria for prioritizing work</w:t>
      </w:r>
    </w:p>
    <w:p>
      <w:pPr>
        <w:pStyle w:val="ListParagraph"/>
        <w:numPr>
          <w:ilvl w:val="0"/>
          <w:numId w:val="5"/>
        </w:numPr>
        <w:spacing w:before="40" w:after="40"/>
      </w:pPr>
      <w:r>
        <w:rPr>
          <w:sz w:val="22"/>
          <w:szCs w:val="22"/>
          <w:rFonts w:ascii="Arial" w:cs="Arial" w:eastAsia="Arial" w:hAnsi="Arial"/>
        </w:rPr>
        <w:t xml:space="preserve">Provide visibility to leadership regarding legal workflow and capacity</w:t>
      </w:r>
    </w:p>
    <w:p>
      <w:pPr>
        <w:pStyle w:val="ListParagraph"/>
        <w:numPr>
          <w:ilvl w:val="0"/>
          <w:numId w:val="5"/>
        </w:numPr>
        <w:spacing w:before="40" w:after="40"/>
      </w:pPr>
      <w:r>
        <w:rPr>
          <w:sz w:val="22"/>
          <w:szCs w:val="22"/>
          <w:rFonts w:ascii="Arial" w:cs="Arial" w:eastAsia="Arial" w:hAnsi="Arial"/>
        </w:rPr>
        <w:t xml:space="preserve">Ensure that matters affecting revenue, deadlines, or legal rights receive timely attention</w:t>
      </w:r>
    </w:p>
    <w:p>
      <w:pPr>
        <w:pStyle w:val="Heading2"/>
        <w:spacing w:before="200" w:after="120"/>
      </w:pPr>
      <w:r>
        <w:rPr>
          <w:b/>
          <w:bCs/>
          <w:sz w:val="28"/>
          <w:szCs w:val="28"/>
          <w:rFonts w:ascii="Arial" w:cs="Arial" w:eastAsia="Arial" w:hAnsi="Arial"/>
        </w:rPr>
        <w:t xml:space="preserve">Section 5.A. Legal Request Intake</w:t>
      </w:r>
    </w:p>
    <w:p>
      <w:pPr>
        <w:spacing w:before="80" w:after="120"/>
      </w:pPr>
      <w:r>
        <w:rPr>
          <w:sz w:val="22"/>
          <w:szCs w:val="22"/>
          <w:rFonts w:ascii="Arial" w:cs="Arial" w:eastAsia="Arial" w:hAnsi="Arial"/>
        </w:rPr>
        <w:t xml:space="preserve">All requests for legal services related to leasing activities must be submitted through the Company's lease lifecycle management platform (currently Salesforce).</w:t>
      </w:r>
    </w:p>
    <w:p>
      <w:pPr>
        <w:spacing w:before="80" w:after="120"/>
      </w:pPr>
      <w:r>
        <w:rPr>
          <w:sz w:val="22"/>
          <w:szCs w:val="22"/>
          <w:rFonts w:ascii="Arial" w:cs="Arial" w:eastAsia="Arial" w:hAnsi="Arial"/>
        </w:rPr>
        <w:t xml:space="preserve">The system automatically notifies the Legal Department when Asset Management submits a request for:</w:t>
      </w:r>
    </w:p>
    <w:p>
      <w:pPr>
        <w:pStyle w:val="ListParagraph"/>
        <w:numPr>
          <w:ilvl w:val="0"/>
          <w:numId w:val="4"/>
        </w:numPr>
        <w:spacing w:before="40" w:after="40"/>
      </w:pPr>
      <w:r>
        <w:rPr>
          <w:sz w:val="22"/>
          <w:szCs w:val="22"/>
          <w:rFonts w:ascii="Arial" w:cs="Arial" w:eastAsia="Arial" w:hAnsi="Arial"/>
        </w:rPr>
        <w:t xml:space="preserve">Drafting a new lease or lease amendment</w:t>
      </w:r>
    </w:p>
    <w:p>
      <w:pPr>
        <w:pStyle w:val="ListParagraph"/>
        <w:numPr>
          <w:ilvl w:val="0"/>
          <w:numId w:val="4"/>
        </w:numPr>
        <w:spacing w:before="40" w:after="40"/>
      </w:pPr>
      <w:r>
        <w:rPr>
          <w:sz w:val="22"/>
          <w:szCs w:val="22"/>
          <w:rFonts w:ascii="Arial" w:cs="Arial" w:eastAsia="Arial" w:hAnsi="Arial"/>
        </w:rPr>
        <w:t xml:space="preserve">Reviewing a tenant-proposed lease draft or lease amendment</w:t>
      </w:r>
    </w:p>
    <w:p>
      <w:pPr>
        <w:pStyle w:val="ListParagraph"/>
        <w:numPr>
          <w:ilvl w:val="0"/>
          <w:numId w:val="4"/>
        </w:numPr>
        <w:spacing w:before="40" w:after="40"/>
      </w:pPr>
      <w:r>
        <w:rPr>
          <w:sz w:val="22"/>
          <w:szCs w:val="22"/>
          <w:rFonts w:ascii="Arial" w:cs="Arial" w:eastAsia="Arial" w:hAnsi="Arial"/>
        </w:rPr>
        <w:t xml:space="preserve">Drafting notices relating to tenant defaults</w:t>
      </w:r>
    </w:p>
    <w:p>
      <w:pPr>
        <w:pStyle w:val="ListParagraph"/>
        <w:numPr>
          <w:ilvl w:val="0"/>
          <w:numId w:val="4"/>
        </w:numPr>
        <w:spacing w:before="40" w:after="40"/>
      </w:pPr>
      <w:r>
        <w:rPr>
          <w:sz w:val="22"/>
          <w:szCs w:val="22"/>
          <w:rFonts w:ascii="Arial" w:cs="Arial" w:eastAsia="Arial" w:hAnsi="Arial"/>
        </w:rPr>
        <w:t xml:space="preserve">Reviewing other property-related legal documents</w:t>
      </w:r>
    </w:p>
    <w:p>
      <w:pPr>
        <w:spacing w:before="80" w:after="120"/>
      </w:pPr>
      <w:r>
        <w:rPr>
          <w:sz w:val="22"/>
          <w:szCs w:val="22"/>
          <w:rFonts w:ascii="Arial" w:cs="Arial" w:eastAsia="Arial" w:hAnsi="Arial"/>
        </w:rPr>
        <w:t xml:space="preserve">Using a centralized intake platform ensures that legal requests are documented, time-stamped, assigned an owner, and tracked through completion. For detailed procedures governing Legal's handling of leasing requests after intake, including drafting workflows, document collaboration, and version control, see Section 6 (Leasing Procedures &amp; Asset Management Coordination).</w:t>
      </w:r>
    </w:p>
    <w:p>
      <w:pPr>
        <w:spacing w:before="80" w:after="120"/>
      </w:pPr>
      <w:r>
        <w:rPr>
          <w:sz w:val="22"/>
          <w:szCs w:val="22"/>
          <w:rFonts w:ascii="Arial" w:cs="Arial" w:eastAsia="Arial" w:hAnsi="Arial"/>
        </w:rPr>
        <w:t xml:space="preserve">Asset Management or other requesting departments will be prompted for the following information when submitting a request:</w:t>
      </w:r>
    </w:p>
    <w:p>
      <w:pPr>
        <w:pStyle w:val="ListParagraph"/>
        <w:numPr>
          <w:ilvl w:val="0"/>
          <w:numId w:val="4"/>
        </w:numPr>
        <w:spacing w:before="40" w:after="40"/>
      </w:pPr>
      <w:r>
        <w:rPr>
          <w:sz w:val="22"/>
          <w:szCs w:val="22"/>
          <w:rFonts w:ascii="Arial" w:cs="Arial" w:eastAsia="Arial" w:hAnsi="Arial"/>
        </w:rPr>
        <w:t xml:space="preserve">Property name and address</w:t>
      </w:r>
    </w:p>
    <w:p>
      <w:pPr>
        <w:pStyle w:val="ListParagraph"/>
        <w:numPr>
          <w:ilvl w:val="0"/>
          <w:numId w:val="4"/>
        </w:numPr>
        <w:spacing w:before="40" w:after="40"/>
      </w:pPr>
      <w:r>
        <w:rPr>
          <w:sz w:val="22"/>
          <w:szCs w:val="22"/>
          <w:rFonts w:ascii="Arial" w:cs="Arial" w:eastAsia="Arial" w:hAnsi="Arial"/>
        </w:rPr>
        <w:t xml:space="preserve">Tenant name</w:t>
      </w:r>
    </w:p>
    <w:p>
      <w:pPr>
        <w:pStyle w:val="ListParagraph"/>
        <w:numPr>
          <w:ilvl w:val="0"/>
          <w:numId w:val="4"/>
        </w:numPr>
        <w:spacing w:before="40" w:after="40"/>
      </w:pPr>
      <w:r>
        <w:rPr>
          <w:sz w:val="22"/>
          <w:szCs w:val="22"/>
          <w:rFonts w:ascii="Arial" w:cs="Arial" w:eastAsia="Arial" w:hAnsi="Arial"/>
        </w:rPr>
        <w:t xml:space="preserve">Type of document requested</w:t>
      </w:r>
    </w:p>
    <w:p>
      <w:pPr>
        <w:pStyle w:val="ListParagraph"/>
        <w:numPr>
          <w:ilvl w:val="0"/>
          <w:numId w:val="4"/>
        </w:numPr>
        <w:spacing w:before="40" w:after="40"/>
      </w:pPr>
      <w:r>
        <w:rPr>
          <w:sz w:val="22"/>
          <w:szCs w:val="22"/>
          <w:rFonts w:ascii="Arial" w:cs="Arial" w:eastAsia="Arial" w:hAnsi="Arial"/>
        </w:rPr>
        <w:t xml:space="preserve">First/Tenant-revised draft</w:t>
      </w:r>
    </w:p>
    <w:p>
      <w:pPr>
        <w:pStyle w:val="ListParagraph"/>
        <w:numPr>
          <w:ilvl w:val="0"/>
          <w:numId w:val="4"/>
        </w:numPr>
        <w:spacing w:before="40" w:after="40"/>
      </w:pPr>
      <w:r>
        <w:rPr>
          <w:sz w:val="22"/>
          <w:szCs w:val="22"/>
          <w:rFonts w:ascii="Arial" w:cs="Arial" w:eastAsia="Arial" w:hAnsi="Arial"/>
        </w:rPr>
        <w:t xml:space="preserve">Lease/Renewal commencement date (if applicable)</w:t>
      </w:r>
    </w:p>
    <w:p>
      <w:pPr>
        <w:pStyle w:val="ListParagraph"/>
        <w:numPr>
          <w:ilvl w:val="0"/>
          <w:numId w:val="4"/>
        </w:numPr>
        <w:spacing w:before="40" w:after="40"/>
      </w:pPr>
      <w:r>
        <w:rPr>
          <w:sz w:val="22"/>
          <w:szCs w:val="22"/>
          <w:rFonts w:ascii="Arial" w:cs="Arial" w:eastAsia="Arial" w:hAnsi="Arial"/>
        </w:rPr>
        <w:t xml:space="preserve">Lease Rent over the Lease Term</w:t>
      </w:r>
    </w:p>
    <w:p>
      <w:pPr>
        <w:spacing w:before="80" w:after="120"/>
      </w:pPr>
      <w:r>
        <w:rPr>
          <w:sz w:val="22"/>
          <w:szCs w:val="22"/>
          <w:rFonts w:ascii="Arial" w:cs="Arial" w:eastAsia="Arial" w:hAnsi="Arial"/>
        </w:rPr>
        <w:t xml:space="preserve">Providing this information enables the Department to properly prioritize and allocate resources.</w:t>
      </w:r>
    </w:p>
    <w:p>
      <w:pPr>
        <w:pStyle w:val="Heading2"/>
        <w:spacing w:before="200" w:after="120"/>
      </w:pPr>
      <w:r>
        <w:rPr>
          <w:b/>
          <w:bCs/>
          <w:sz w:val="28"/>
          <w:szCs w:val="28"/>
          <w:rFonts w:ascii="Arial" w:cs="Arial" w:eastAsia="Arial" w:hAnsi="Arial"/>
        </w:rPr>
        <w:t xml:space="preserve">Section 5.B. Non-Leasing Legal Request Intake</w:t>
      </w:r>
    </w:p>
    <w:p>
      <w:pPr>
        <w:spacing w:before="80" w:after="120"/>
      </w:pPr>
      <w:r>
        <w:rPr>
          <w:sz w:val="22"/>
          <w:szCs w:val="22"/>
          <w:rFonts w:ascii="Arial" w:cs="Arial" w:eastAsia="Arial" w:hAnsi="Arial"/>
        </w:rPr>
        <w:t xml:space="preserve">Legal services requests that do not relate to leasing activities must be submitted to the Legal Department by email to the General Counsel (or designee) or, where available, through a designated intake channel in Salesforce. Non-leasing requests include, but are not limited to, the following categories:</w:t>
      </w:r>
    </w:p>
    <w:p>
      <w:pPr>
        <w:pStyle w:val="ListParagraph"/>
        <w:numPr>
          <w:ilvl w:val="0"/>
          <w:numId w:val="4"/>
        </w:numPr>
        <w:spacing w:before="40" w:after="40"/>
      </w:pPr>
      <w:r>
        <w:rPr>
          <w:b/>
          <w:bCs/>
          <w:sz w:val="22"/>
          <w:szCs w:val="22"/>
          <w:rFonts w:ascii="Arial" w:cs="Arial" w:eastAsia="Arial" w:hAnsi="Arial"/>
        </w:rPr>
        <w:t xml:space="preserve">Litigation and Disputes.</w:t>
      </w:r>
      <w:r>
        <w:rPr>
          <w:sz w:val="22"/>
          <w:szCs w:val="22"/>
          <w:rFonts w:ascii="Arial" w:cs="Arial" w:eastAsia="Arial" w:hAnsi="Arial"/>
        </w:rPr>
        <w:t xml:space="preserve"> Notification of actual or threatened litigation, demand letters, subpoenas, arbitration demands, or governmental investigations. These requests must be escalated in accordance with the timelines set forth in Section 11.C.</w:t>
      </w:r>
    </w:p>
    <w:p>
      <w:pPr>
        <w:pStyle w:val="ListParagraph"/>
        <w:numPr>
          <w:ilvl w:val="0"/>
          <w:numId w:val="4"/>
        </w:numPr>
        <w:spacing w:before="40" w:after="40"/>
      </w:pPr>
      <w:r>
        <w:rPr>
          <w:b/>
          <w:bCs/>
          <w:sz w:val="22"/>
          <w:szCs w:val="22"/>
          <w:rFonts w:ascii="Arial" w:cs="Arial" w:eastAsia="Arial" w:hAnsi="Arial"/>
        </w:rPr>
        <w:t xml:space="preserve">Corporate and Entity Matters.</w:t>
      </w:r>
      <w:r>
        <w:rPr>
          <w:sz w:val="22"/>
          <w:szCs w:val="22"/>
          <w:rFonts w:ascii="Arial" w:cs="Arial" w:eastAsia="Arial" w:hAnsi="Arial"/>
        </w:rPr>
        <w:t xml:space="preserve"> Requests for entity formation, dissolution, governing document amendments, officer or manager changes, or other corporate governance actions (see Section 8).</w:t>
      </w:r>
    </w:p>
    <w:p>
      <w:pPr>
        <w:pStyle w:val="ListParagraph"/>
        <w:numPr>
          <w:ilvl w:val="0"/>
          <w:numId w:val="4"/>
        </w:numPr>
        <w:spacing w:before="40" w:after="40"/>
      </w:pPr>
      <w:r>
        <w:rPr>
          <w:b/>
          <w:bCs/>
          <w:sz w:val="22"/>
          <w:szCs w:val="22"/>
          <w:rFonts w:ascii="Arial" w:cs="Arial" w:eastAsia="Arial" w:hAnsi="Arial"/>
        </w:rPr>
        <w:t xml:space="preserve">Regulatory Matters.</w:t>
      </w:r>
      <w:r>
        <w:rPr>
          <w:sz w:val="22"/>
          <w:szCs w:val="22"/>
          <w:rFonts w:ascii="Arial" w:cs="Arial" w:eastAsia="Arial" w:hAnsi="Arial"/>
        </w:rPr>
        <w:t xml:space="preserve"> Inquiries or requests for legal guidance relating to federal, state, or local regulatory compliance, including environmental, zoning, land use, ADA, or Fair Housing matters.</w:t>
      </w:r>
    </w:p>
    <w:p>
      <w:pPr>
        <w:pStyle w:val="ListParagraph"/>
        <w:numPr>
          <w:ilvl w:val="0"/>
          <w:numId w:val="4"/>
        </w:numPr>
        <w:spacing w:before="40" w:after="40"/>
      </w:pPr>
      <w:r>
        <w:rPr>
          <w:b/>
          <w:bCs/>
          <w:sz w:val="22"/>
          <w:szCs w:val="22"/>
          <w:rFonts w:ascii="Arial" w:cs="Arial" w:eastAsia="Arial" w:hAnsi="Arial"/>
        </w:rPr>
        <w:t xml:space="preserve">Employment Matters.</w:t>
      </w:r>
      <w:r>
        <w:rPr>
          <w:sz w:val="22"/>
          <w:szCs w:val="22"/>
          <w:rFonts w:ascii="Arial" w:cs="Arial" w:eastAsia="Arial" w:hAnsi="Arial"/>
        </w:rPr>
        <w:t xml:space="preserve"> Employment-related legal inquiries, including claims of discrimination, harassment, wrongful termination, wage-and-hour disputes, or requests for review of employment agreements or policies. Employment matters shall be coordinated with the Company's human resources function and, where appropriate, with outside employment counsel.</w:t>
      </w:r>
    </w:p>
    <w:p>
      <w:pPr>
        <w:pStyle w:val="ListParagraph"/>
        <w:numPr>
          <w:ilvl w:val="0"/>
          <w:numId w:val="4"/>
        </w:numPr>
        <w:spacing w:before="40" w:after="40"/>
      </w:pPr>
      <w:r>
        <w:rPr>
          <w:b/>
          <w:bCs/>
          <w:sz w:val="22"/>
          <w:szCs w:val="22"/>
          <w:rFonts w:ascii="Arial" w:cs="Arial" w:eastAsia="Arial" w:hAnsi="Arial"/>
        </w:rPr>
        <w:t xml:space="preserve">Transactional Support.</w:t>
      </w:r>
      <w:r>
        <w:rPr>
          <w:sz w:val="22"/>
          <w:szCs w:val="22"/>
          <w:rFonts w:ascii="Arial" w:cs="Arial" w:eastAsia="Arial" w:hAnsi="Arial"/>
        </w:rPr>
        <w:t xml:space="preserve"> Legal support for acquisitions, dispositions, financings, refinancings, joint ventures, and other non-leasing transactions. These requests are coordinated through the Acquisitions Department or Finance, as applicable.</w:t>
      </w:r>
    </w:p>
    <w:p>
      <w:pPr>
        <w:spacing w:before="80" w:after="120"/>
      </w:pPr>
      <w:r>
        <w:rPr>
          <w:sz w:val="22"/>
          <w:szCs w:val="22"/>
          <w:rFonts w:ascii="Arial" w:cs="Arial" w:eastAsia="Arial" w:hAnsi="Arial"/>
        </w:rPr>
        <w:t xml:space="preserve">The Legal Operations Coordinator (or GC designee) performs initial triage of all incoming legal requests -- both leasing and non-leasing -- to confirm completeness, assign a category, and route the request to the appropriate Department attorney. The GC (or designee) assigns matters within the Department based on workload, subject-matter expertise, and complexity.</w:t>
      </w:r>
    </w:p>
    <w:p>
      <w:pPr>
        <w:spacing w:before="80" w:after="120"/>
      </w:pPr>
      <w:r>
        <w:rPr>
          <w:sz w:val="22"/>
          <w:szCs w:val="22"/>
          <w:rFonts w:ascii="Arial" w:cs="Arial" w:eastAsia="Arial" w:hAnsi="Arial"/>
        </w:rPr>
        <w:t xml:space="preserve">Upon receipt of any legal request (whether leasing or non-leasing), the Department must confirm receipt to the requesting department within one (1) business day. For leasing requests submitted through Salesforce, confirmation shall be provided by updating the request status in Salesforce to "Received -- Pending Assignment." For non-leasing requests, confirmation shall be provided by email or other written communication to the requesting party.</w:t>
      </w:r>
    </w:p>
    <w:p>
      <w:pPr>
        <w:spacing w:before="80" w:after="120"/>
      </w:pPr>
      <w:r>
        <w:rPr>
          <w:sz w:val="22"/>
          <w:szCs w:val="22"/>
          <w:rFonts w:ascii="Arial" w:cs="Arial" w:eastAsia="Arial" w:hAnsi="Arial"/>
        </w:rPr>
        <w:t xml:space="preserve">Leasing-related intake procedures are described in Section 5.A above; the Salesforce workflow dashboard described in Section 5.D applies to leasing requests. Non-leasing matters are tracked through the Legal Risk Tracker (Section 12) or, for transactional matters, through the applicable deal tracking system.</w:t>
      </w:r>
    </w:p>
    <w:p>
      <w:pPr>
        <w:pStyle w:val="Heading2"/>
        <w:spacing w:before="200" w:after="120"/>
      </w:pPr>
      <w:r>
        <w:rPr>
          <w:b/>
          <w:bCs/>
          <w:sz w:val="28"/>
          <w:szCs w:val="28"/>
          <w:rFonts w:ascii="Arial" w:cs="Arial" w:eastAsia="Arial" w:hAnsi="Arial"/>
        </w:rPr>
        <w:t xml:space="preserve">Section 5.C. Guidance on Prioritization</w:t>
      </w:r>
    </w:p>
    <w:p>
      <w:pPr>
        <w:spacing w:before="80" w:after="120"/>
      </w:pPr>
      <w:r>
        <w:rPr>
          <w:sz w:val="22"/>
          <w:szCs w:val="22"/>
          <w:rFonts w:ascii="Arial" w:cs="Arial" w:eastAsia="Arial" w:hAnsi="Arial"/>
        </w:rPr>
        <w:t xml:space="preserve">The head of the Asset Management Department, and other Authorized Persons (as defined in Section 2 and Attachment A), will be given ultimate discretion for the priority of lease requests. However, the Company should aim to provide solutions that can automate these decisions based on a formula factoring in the information provided above. Using this information, the following business and operational considerations should be included in the priority analysis:</w:t>
      </w:r>
    </w:p>
    <w:p>
      <w:pPr>
        <w:pStyle w:val="ListParagraph"/>
        <w:numPr>
          <w:ilvl w:val="0"/>
          <w:numId w:val="4"/>
        </w:numPr>
        <w:spacing w:before="40" w:after="40"/>
      </w:pPr>
      <w:r>
        <w:rPr>
          <w:sz w:val="22"/>
          <w:szCs w:val="22"/>
          <w:rFonts w:ascii="Arial" w:cs="Arial" w:eastAsia="Arial" w:hAnsi="Arial"/>
        </w:rPr>
        <w:t xml:space="preserve">Requests affecting leases scheduled to commence in the Near Term (within 90 calendar days)</w:t>
      </w:r>
    </w:p>
    <w:p>
      <w:pPr>
        <w:pStyle w:val="ListParagraph"/>
        <w:numPr>
          <w:ilvl w:val="0"/>
          <w:numId w:val="4"/>
        </w:numPr>
        <w:spacing w:before="40" w:after="40"/>
      </w:pPr>
      <w:r>
        <w:rPr>
          <w:sz w:val="22"/>
          <w:szCs w:val="22"/>
          <w:rFonts w:ascii="Arial" w:cs="Arial" w:eastAsia="Arial" w:hAnsi="Arial"/>
        </w:rPr>
        <w:t xml:space="preserve">Matters involving significant rent or strategic tenants</w:t>
      </w:r>
    </w:p>
    <w:p>
      <w:pPr>
        <w:pStyle w:val="ListParagraph"/>
        <w:numPr>
          <w:ilvl w:val="0"/>
          <w:numId w:val="4"/>
        </w:numPr>
        <w:spacing w:before="40" w:after="40"/>
      </w:pPr>
      <w:r>
        <w:rPr>
          <w:sz w:val="22"/>
          <w:szCs w:val="22"/>
          <w:rFonts w:ascii="Arial" w:cs="Arial" w:eastAsia="Arial" w:hAnsi="Arial"/>
        </w:rPr>
        <w:t xml:space="preserve">Requests involving tenant revisions or active negotiations to maintain deal momentum</w:t>
      </w:r>
    </w:p>
    <w:p>
      <w:pPr>
        <w:pStyle w:val="ListParagraph"/>
        <w:numPr>
          <w:ilvl w:val="0"/>
          <w:numId w:val="4"/>
        </w:numPr>
        <w:spacing w:before="40" w:after="40"/>
      </w:pPr>
      <w:r>
        <w:rPr>
          <w:sz w:val="22"/>
          <w:szCs w:val="22"/>
          <w:rFonts w:ascii="Arial" w:cs="Arial" w:eastAsia="Arial" w:hAnsi="Arial"/>
        </w:rPr>
        <w:t xml:space="preserve">Matters involving properties that are difficult to lease or strategically important to the portfolio</w:t>
      </w:r>
    </w:p>
    <w:p>
      <w:pPr>
        <w:pStyle w:val="ListParagraph"/>
        <w:numPr>
          <w:ilvl w:val="0"/>
          <w:numId w:val="4"/>
        </w:numPr>
        <w:spacing w:before="40" w:after="40"/>
      </w:pPr>
      <w:r>
        <w:rPr>
          <w:sz w:val="22"/>
          <w:szCs w:val="22"/>
          <w:rFonts w:ascii="Arial" w:cs="Arial" w:eastAsia="Arial" w:hAnsi="Arial"/>
        </w:rPr>
        <w:t xml:space="preserve">Matters involving contractual deadlines, regulatory requirements, or litigation deadlines</w:t>
      </w:r>
    </w:p>
    <w:p>
      <w:pPr>
        <w:spacing w:before="80" w:after="120"/>
      </w:pPr>
      <w:r>
        <w:rPr>
          <w:b/>
          <w:bCs/>
          <w:sz w:val="22"/>
          <w:szCs w:val="22"/>
          <w:rFonts w:ascii="Arial" w:cs="Arial" w:eastAsia="Arial" w:hAnsi="Arial"/>
        </w:rPr>
        <w:t xml:space="preserve">High priority matters:</w:t>
      </w:r>
    </w:p>
    <w:p>
      <w:pPr>
        <w:pStyle w:val="ListParagraph"/>
        <w:numPr>
          <w:ilvl w:val="0"/>
          <w:numId w:val="4"/>
        </w:numPr>
        <w:spacing w:before="40" w:after="40"/>
      </w:pPr>
      <w:r>
        <w:rPr>
          <w:sz w:val="22"/>
          <w:szCs w:val="22"/>
          <w:rFonts w:ascii="Arial" w:cs="Arial" w:eastAsia="Arial" w:hAnsi="Arial"/>
        </w:rPr>
        <w:t xml:space="preserve">New leases tied to upcoming rent commencement</w:t>
      </w:r>
    </w:p>
    <w:p>
      <w:pPr>
        <w:pStyle w:val="ListParagraph"/>
        <w:numPr>
          <w:ilvl w:val="0"/>
          <w:numId w:val="4"/>
        </w:numPr>
        <w:spacing w:before="40" w:after="40"/>
      </w:pPr>
      <w:r>
        <w:rPr>
          <w:sz w:val="22"/>
          <w:szCs w:val="22"/>
          <w:rFonts w:ascii="Arial" w:cs="Arial" w:eastAsia="Arial" w:hAnsi="Arial"/>
        </w:rPr>
        <w:t xml:space="preserve">Tenant revisions requiring timely response</w:t>
      </w:r>
    </w:p>
    <w:p>
      <w:pPr>
        <w:pStyle w:val="ListParagraph"/>
        <w:numPr>
          <w:ilvl w:val="0"/>
          <w:numId w:val="4"/>
        </w:numPr>
        <w:spacing w:before="40" w:after="40"/>
      </w:pPr>
      <w:r>
        <w:rPr>
          <w:sz w:val="22"/>
          <w:szCs w:val="22"/>
          <w:rFonts w:ascii="Arial" w:cs="Arial" w:eastAsia="Arial" w:hAnsi="Arial"/>
        </w:rPr>
        <w:t xml:space="preserve">Matters involving significant revenue impact</w:t>
      </w:r>
    </w:p>
    <w:p>
      <w:pPr>
        <w:pStyle w:val="ListParagraph"/>
        <w:numPr>
          <w:ilvl w:val="0"/>
          <w:numId w:val="4"/>
        </w:numPr>
        <w:spacing w:before="40" w:after="40"/>
      </w:pPr>
      <w:r>
        <w:rPr>
          <w:sz w:val="22"/>
          <w:szCs w:val="22"/>
          <w:rFonts w:ascii="Arial" w:cs="Arial" w:eastAsia="Arial" w:hAnsi="Arial"/>
        </w:rPr>
        <w:t xml:space="preserve">Issues involving legal deadlines or risk of rights waiver</w:t>
      </w:r>
    </w:p>
    <w:p>
      <w:pPr>
        <w:pStyle w:val="ListParagraph"/>
        <w:numPr>
          <w:ilvl w:val="0"/>
          <w:numId w:val="4"/>
        </w:numPr>
        <w:spacing w:before="40" w:after="40"/>
      </w:pPr>
      <w:r>
        <w:rPr>
          <w:sz w:val="22"/>
          <w:szCs w:val="22"/>
          <w:rFonts w:ascii="Arial" w:cs="Arial" w:eastAsia="Arial" w:hAnsi="Arial"/>
        </w:rPr>
        <w:t xml:space="preserve">Matters escalated by Executive Leadership</w:t>
      </w:r>
    </w:p>
    <w:p>
      <w:pPr>
        <w:spacing w:before="80" w:after="120"/>
      </w:pPr>
      <w:r>
        <w:rPr>
          <w:sz w:val="22"/>
          <w:szCs w:val="22"/>
          <w:rFonts w:ascii="Arial" w:cs="Arial" w:eastAsia="Arial" w:hAnsi="Arial"/>
        </w:rPr>
        <w:t xml:space="preserve">These matters should generally receive attention within one to two business days, subject to complexity.</w:t>
      </w:r>
    </w:p>
    <w:p>
      <w:pPr>
        <w:spacing w:before="80" w:after="120"/>
      </w:pPr>
      <w:r>
        <w:rPr>
          <w:b/>
          <w:bCs/>
          <w:sz w:val="22"/>
          <w:szCs w:val="22"/>
          <w:rFonts w:ascii="Arial" w:cs="Arial" w:eastAsia="Arial" w:hAnsi="Arial"/>
        </w:rPr>
        <w:t xml:space="preserve">Medium priority matters:</w:t>
      </w:r>
    </w:p>
    <w:p>
      <w:pPr>
        <w:pStyle w:val="ListParagraph"/>
        <w:numPr>
          <w:ilvl w:val="0"/>
          <w:numId w:val="4"/>
        </w:numPr>
        <w:spacing w:before="40" w:after="40"/>
      </w:pPr>
      <w:r>
        <w:rPr>
          <w:sz w:val="22"/>
          <w:szCs w:val="22"/>
          <w:rFonts w:ascii="Arial" w:cs="Arial" w:eastAsia="Arial" w:hAnsi="Arial"/>
        </w:rPr>
        <w:t xml:space="preserve">Lease amendments that do not affect immediate rent commencement</w:t>
      </w:r>
    </w:p>
    <w:p>
      <w:pPr>
        <w:pStyle w:val="ListParagraph"/>
        <w:numPr>
          <w:ilvl w:val="0"/>
          <w:numId w:val="4"/>
        </w:numPr>
        <w:spacing w:before="40" w:after="40"/>
      </w:pPr>
      <w:r>
        <w:rPr>
          <w:sz w:val="22"/>
          <w:szCs w:val="22"/>
          <w:rFonts w:ascii="Arial" w:cs="Arial" w:eastAsia="Arial" w:hAnsi="Arial"/>
        </w:rPr>
        <w:t xml:space="preserve">Ongoing lease negotiations without immediate deadlines</w:t>
      </w:r>
    </w:p>
    <w:p>
      <w:pPr>
        <w:pStyle w:val="ListParagraph"/>
        <w:numPr>
          <w:ilvl w:val="0"/>
          <w:numId w:val="4"/>
        </w:numPr>
        <w:spacing w:before="40" w:after="40"/>
      </w:pPr>
      <w:r>
        <w:rPr>
          <w:sz w:val="22"/>
          <w:szCs w:val="22"/>
          <w:rFonts w:ascii="Arial" w:cs="Arial" w:eastAsia="Arial" w:hAnsi="Arial"/>
        </w:rPr>
        <w:t xml:space="preserve">Routine document review requests (e.g., landlord lien waivers, NDAs, collateral access agreements, SNDAs, estoppel certificates, etc.)</w:t>
      </w:r>
    </w:p>
    <w:p>
      <w:pPr>
        <w:spacing w:before="80" w:after="120"/>
      </w:pPr>
      <w:r>
        <w:rPr>
          <w:sz w:val="22"/>
          <w:szCs w:val="22"/>
          <w:rFonts w:ascii="Arial" w:cs="Arial" w:eastAsia="Arial" w:hAnsi="Arial"/>
        </w:rPr>
        <w:t xml:space="preserve">These matters are addressed in the normal legal workflow queue.</w:t>
      </w:r>
    </w:p>
    <w:p>
      <w:pPr>
        <w:spacing w:before="80" w:after="120"/>
      </w:pPr>
      <w:r>
        <w:rPr>
          <w:b/>
          <w:bCs/>
          <w:sz w:val="22"/>
          <w:szCs w:val="22"/>
          <w:rFonts w:ascii="Arial" w:cs="Arial" w:eastAsia="Arial" w:hAnsi="Arial"/>
        </w:rPr>
        <w:t xml:space="preserve">Low priority matters:</w:t>
      </w:r>
    </w:p>
    <w:p>
      <w:pPr>
        <w:pStyle w:val="ListParagraph"/>
        <w:numPr>
          <w:ilvl w:val="0"/>
          <w:numId w:val="4"/>
        </w:numPr>
        <w:spacing w:before="40" w:after="40"/>
      </w:pPr>
      <w:r>
        <w:rPr>
          <w:sz w:val="22"/>
          <w:szCs w:val="22"/>
          <w:rFonts w:ascii="Arial" w:cs="Arial" w:eastAsia="Arial" w:hAnsi="Arial"/>
        </w:rPr>
        <w:t xml:space="preserve">Housekeeping amendments</w:t>
      </w:r>
    </w:p>
    <w:p>
      <w:pPr>
        <w:pStyle w:val="ListParagraph"/>
        <w:numPr>
          <w:ilvl w:val="0"/>
          <w:numId w:val="4"/>
        </w:numPr>
        <w:spacing w:before="40" w:after="40"/>
      </w:pPr>
      <w:r>
        <w:rPr>
          <w:sz w:val="22"/>
          <w:szCs w:val="22"/>
          <w:rFonts w:ascii="Arial" w:cs="Arial" w:eastAsia="Arial" w:hAnsi="Arial"/>
        </w:rPr>
        <w:t xml:space="preserve">Internal document reviews</w:t>
      </w:r>
    </w:p>
    <w:p>
      <w:pPr>
        <w:pStyle w:val="ListParagraph"/>
        <w:numPr>
          <w:ilvl w:val="0"/>
          <w:numId w:val="4"/>
        </w:numPr>
        <w:spacing w:before="40" w:after="40"/>
      </w:pPr>
      <w:r>
        <w:rPr>
          <w:sz w:val="22"/>
          <w:szCs w:val="22"/>
          <w:rFonts w:ascii="Arial" w:cs="Arial" w:eastAsia="Arial" w:hAnsi="Arial"/>
        </w:rPr>
        <w:t xml:space="preserve">Informational requests</w:t>
      </w:r>
    </w:p>
    <w:p>
      <w:pPr>
        <w:pStyle w:val="ListParagraph"/>
        <w:numPr>
          <w:ilvl w:val="0"/>
          <w:numId w:val="4"/>
        </w:numPr>
        <w:spacing w:before="40" w:after="40"/>
      </w:pPr>
      <w:r>
        <w:rPr>
          <w:sz w:val="22"/>
          <w:szCs w:val="22"/>
          <w:rFonts w:ascii="Arial" w:cs="Arial" w:eastAsia="Arial" w:hAnsi="Arial"/>
        </w:rPr>
        <w:t xml:space="preserve">Long-term projects without time sensitivity</w:t>
      </w:r>
    </w:p>
    <w:p>
      <w:pPr>
        <w:spacing w:before="80" w:after="120"/>
      </w:pPr>
      <w:r>
        <w:rPr>
          <w:sz w:val="22"/>
          <w:szCs w:val="22"/>
          <w:rFonts w:ascii="Arial" w:cs="Arial" w:eastAsia="Arial" w:hAnsi="Arial"/>
        </w:rPr>
        <w:t xml:space="preserve">These matters are handled as capacity permits.</w:t>
      </w:r>
    </w:p>
    <w:p>
      <w:pPr>
        <w:pStyle w:val="Heading2"/>
        <w:spacing w:before="200" w:after="120"/>
      </w:pPr>
      <w:r>
        <w:rPr>
          <w:b/>
          <w:bCs/>
          <w:sz w:val="28"/>
          <w:szCs w:val="28"/>
          <w:rFonts w:ascii="Arial" w:cs="Arial" w:eastAsia="Arial" w:hAnsi="Arial"/>
        </w:rPr>
        <w:t xml:space="preserve">Section 5.D. Legal Workflow Dashboard</w:t>
      </w:r>
    </w:p>
    <w:p>
      <w:pPr>
        <w:spacing w:before="80" w:after="120"/>
      </w:pPr>
      <w:r>
        <w:rPr>
          <w:sz w:val="22"/>
          <w:szCs w:val="22"/>
          <w:rFonts w:ascii="Arial" w:cs="Arial" w:eastAsia="Arial" w:hAnsi="Arial"/>
        </w:rPr>
        <w:t xml:space="preserve">Salesforce will be programmed to compile legal requests into a centralized dashboard that provides visibility into pending legal requests, priority designations, responsible legal personnel, draft status and expected completion timelines.</w:t>
      </w:r>
    </w:p>
    <w:p>
      <w:pPr>
        <w:spacing w:before="80" w:after="120"/>
      </w:pPr>
      <w:r>
        <w:rPr>
          <w:sz w:val="22"/>
          <w:szCs w:val="22"/>
          <w:rFonts w:ascii="Arial" w:cs="Arial" w:eastAsia="Arial" w:hAnsi="Arial"/>
        </w:rPr>
        <w:t xml:space="preserve">This dashboard helps ensure transparency across the leasing pipeline and allows leadership to monitor the flow of legal work across the organization.</w:t>
      </w:r>
    </w:p>
    <w:p>
      <w:pPr>
        <w:pStyle w:val="Heading2"/>
        <w:spacing w:before="200" w:after="120"/>
      </w:pPr>
      <w:r>
        <w:rPr>
          <w:b/>
          <w:bCs/>
          <w:sz w:val="28"/>
          <w:szCs w:val="28"/>
          <w:rFonts w:ascii="Arial" w:cs="Arial" w:eastAsia="Arial" w:hAnsi="Arial"/>
        </w:rPr>
        <w:t xml:space="preserve">Section 5.E. Lease Execution Workflow</w:t>
      </w:r>
    </w:p>
    <w:p>
      <w:pPr>
        <w:spacing w:before="80" w:after="120"/>
      </w:pPr>
      <w:r>
        <w:rPr>
          <w:sz w:val="22"/>
          <w:szCs w:val="22"/>
          <w:rFonts w:ascii="Arial" w:cs="Arial" w:eastAsia="Arial" w:hAnsi="Arial"/>
        </w:rPr>
        <w:t xml:space="preserve">Upon completion of lease negotiations and finalization of the lease document, the following execution procedures apply:</w:t>
      </w:r>
    </w:p>
    <w:p>
      <w:pPr>
        <w:pStyle w:val="ListParagraph"/>
        <w:numPr>
          <w:ilvl w:val="0"/>
          <w:numId w:val="5"/>
        </w:numPr>
        <w:spacing w:before="40" w:after="40"/>
      </w:pPr>
      <w:r>
        <w:rPr>
          <w:b/>
          <w:bCs/>
          <w:sz w:val="22"/>
          <w:szCs w:val="22"/>
          <w:rFonts w:ascii="Arial" w:cs="Arial" w:eastAsia="Arial" w:hAnsi="Arial"/>
        </w:rPr>
        <w:t xml:space="preserve">Authority Verification.</w:t>
      </w:r>
      <w:r>
        <w:rPr>
          <w:sz w:val="22"/>
          <w:szCs w:val="22"/>
          <w:rFonts w:ascii="Arial" w:cs="Arial" w:eastAsia="Arial" w:hAnsi="Arial"/>
        </w:rPr>
        <w:t xml:space="preserve"> Prior to routing any lease or lease amendment for signature, the Department shall verify that the signatory has authority to execute the document under the Delegation of Authority Matrix (Attachment A). For transactions exceeding applicable DOA thresholds, the Department shall confirm that all required approvals (including, where applicable, board-level or member-level approval) have been obtained and documented.</w:t>
      </w:r>
    </w:p>
    <w:p>
      <w:pPr>
        <w:pStyle w:val="ListParagraph"/>
        <w:numPr>
          <w:ilvl w:val="0"/>
          <w:numId w:val="5"/>
        </w:numPr>
        <w:spacing w:before="40" w:after="40"/>
      </w:pPr>
      <w:r>
        <w:rPr>
          <w:b/>
          <w:bCs/>
          <w:sz w:val="22"/>
          <w:szCs w:val="22"/>
          <w:rFonts w:ascii="Arial" w:cs="Arial" w:eastAsia="Arial" w:hAnsi="Arial"/>
        </w:rPr>
        <w:t xml:space="preserve">GC Sign-Off.</w:t>
      </w:r>
      <w:r>
        <w:rPr>
          <w:sz w:val="22"/>
          <w:szCs w:val="22"/>
          <w:rFonts w:ascii="Arial" w:cs="Arial" w:eastAsia="Arial" w:hAnsi="Arial"/>
        </w:rPr>
        <w:t xml:space="preserve"> The General Counsel (or designee) must provide written sign-off (which may be by email) before any final lease, lease amendment, or other binding agreement is circulated externally for execution. Sign-off confirms that the document reflects approved terms, that all internal comments have been resolved, and that the document is in proper form for execution.</w:t>
      </w:r>
    </w:p>
    <w:p>
      <w:pPr>
        <w:pStyle w:val="ListParagraph"/>
        <w:numPr>
          <w:ilvl w:val="0"/>
          <w:numId w:val="5"/>
        </w:numPr>
        <w:spacing w:before="40" w:after="40"/>
      </w:pPr>
      <w:r>
        <w:rPr>
          <w:b/>
          <w:bCs/>
          <w:sz w:val="22"/>
          <w:szCs w:val="22"/>
          <w:rFonts w:ascii="Arial" w:cs="Arial" w:eastAsia="Arial" w:hAnsi="Arial"/>
        </w:rPr>
        <w:t xml:space="preserve">Signature Routing.</w:t>
      </w:r>
      <w:r>
        <w:rPr>
          <w:sz w:val="22"/>
          <w:szCs w:val="22"/>
          <w:rFonts w:ascii="Arial" w:cs="Arial" w:eastAsia="Arial" w:hAnsi="Arial"/>
        </w:rPr>
        <w:t xml:space="preserve"> Executed leases shall be routed for signature via DocuSign (or such other electronic signature platform as the Company may approve) or, where required by counterparty preference or applicable law, by wet signature. The applicable Leasing Administrator from Asset Management is responsible for coordinating the signature process and confirming completion.</w:t>
      </w:r>
    </w:p>
    <w:p>
      <w:pPr>
        <w:pStyle w:val="ListParagraph"/>
        <w:numPr>
          <w:ilvl w:val="0"/>
          <w:numId w:val="5"/>
        </w:numPr>
        <w:spacing w:before="40" w:after="40"/>
      </w:pPr>
      <w:r>
        <w:rPr>
          <w:b/>
          <w:bCs/>
          <w:sz w:val="22"/>
          <w:szCs w:val="22"/>
          <w:rFonts w:ascii="Arial" w:cs="Arial" w:eastAsia="Arial" w:hAnsi="Arial"/>
        </w:rPr>
        <w:t xml:space="preserve">Post-Execution Filing.</w:t>
      </w:r>
      <w:r>
        <w:rPr>
          <w:sz w:val="22"/>
          <w:szCs w:val="22"/>
          <w:rFonts w:ascii="Arial" w:cs="Arial" w:eastAsia="Arial" w:hAnsi="Arial"/>
        </w:rPr>
        <w:t xml:space="preserve"> Upon full execution, the final signed document shall be uploaded to ShareFile by the Leasing Administrator. The Salesforce record shall be updated to reflect execution status and the ShareFile document location.</w:t>
      </w:r>
    </w:p>
    <w:p>
      <w:pPr>
        <w:pStyle w:val="Heading2"/>
        <w:spacing w:before="200" w:after="120"/>
      </w:pPr>
      <w:r>
        <w:rPr>
          <w:b/>
          <w:bCs/>
          <w:sz w:val="28"/>
          <w:szCs w:val="28"/>
          <w:rFonts w:ascii="Arial" w:cs="Arial" w:eastAsia="Arial" w:hAnsi="Arial"/>
        </w:rPr>
        <w:t xml:space="preserve">Section 5.F. Monitoring and Updates</w:t>
      </w:r>
    </w:p>
    <w:p>
      <w:pPr>
        <w:spacing w:before="80" w:after="120"/>
      </w:pPr>
      <w:r>
        <w:rPr>
          <w:sz w:val="22"/>
          <w:szCs w:val="22"/>
          <w:rFonts w:ascii="Arial" w:cs="Arial" w:eastAsia="Arial" w:hAnsi="Arial"/>
        </w:rPr>
        <w:t xml:space="preserve">The Department, together with the Asset Management Department, shall review the status of open matters no less frequently than quarterly (and weekly for matters designated as high priority) to ensure that priorities remain appropriate as circumstances evolve.</w:t>
      </w:r>
    </w:p>
    <w:p>
      <w:pPr>
        <w:spacing w:before="80" w:after="120"/>
      </w:pPr>
      <w:r>
        <w:rPr>
          <w:sz w:val="22"/>
          <w:szCs w:val="22"/>
          <w:rFonts w:ascii="Arial" w:cs="Arial" w:eastAsia="Arial" w:hAnsi="Arial"/>
        </w:rPr>
        <w:t xml:space="preserve">While priority assignments are generally based on objective criteria noted above, certain matters may require adjustment based on business judgment. As previously noted, Authorized Persons (as defined in Section 2) may override the standard priority designation when necessary to reflect the Company's broader business needs and legal risk considerations.</w:t>
      </w:r>
    </w:p>
    <w:p>
      <w:r>
        <w:br w:type="page"/>
      </w:r>
    </w:p>
    <w:p>
      <w:pPr>
        <w:pStyle w:val="Heading1"/>
        <w:spacing w:before="240" w:after="200"/>
      </w:pPr>
      <w:r>
        <w:rPr>
          <w:b/>
          <w:bCs/>
          <w:sz w:val="32"/>
          <w:szCs w:val="32"/>
          <w:rFonts w:ascii="Arial" w:cs="Arial" w:eastAsia="Arial" w:hAnsi="Arial"/>
        </w:rPr>
        <w:t xml:space="preserve">SECTION 6. LEASING PROCEDURES &amp; ASSET MANAGEMENT COORDINATION</w:t>
      </w:r>
    </w:p>
    <w:p>
      <w:pPr>
        <w:spacing w:before="80" w:after="120"/>
      </w:pPr>
      <w:r>
        <w:rPr>
          <w:sz w:val="22"/>
          <w:szCs w:val="22"/>
          <w:rFonts w:ascii="Arial" w:cs="Arial" w:eastAsia="Arial" w:hAnsi="Arial"/>
        </w:rPr>
        <w:t xml:space="preserve">Leasing activity represents a core component of the Company's operations and revenue generation. The Legal Department supports Asset Management in connection with lease negotiations and documentation while ensuring that lease agreements appropriately protect the Company's legal and financial interests.</w:t>
      </w:r>
    </w:p>
    <w:p>
      <w:pPr>
        <w:spacing w:before="80" w:after="120"/>
      </w:pPr>
      <w:r>
        <w:rPr>
          <w:sz w:val="22"/>
          <w:szCs w:val="22"/>
          <w:rFonts w:ascii="Arial" w:cs="Arial" w:eastAsia="Arial" w:hAnsi="Arial"/>
        </w:rPr>
        <w:t xml:space="preserve">The procedures described in this section establish standardized workflows for:</w:t>
      </w:r>
    </w:p>
    <w:p>
      <w:pPr>
        <w:pStyle w:val="ListParagraph"/>
        <w:numPr>
          <w:ilvl w:val="0"/>
          <w:numId w:val="4"/>
        </w:numPr>
        <w:spacing w:before="40" w:after="40"/>
      </w:pPr>
      <w:r>
        <w:rPr>
          <w:sz w:val="22"/>
          <w:szCs w:val="22"/>
          <w:rFonts w:ascii="Arial" w:cs="Arial" w:eastAsia="Arial" w:hAnsi="Arial"/>
        </w:rPr>
        <w:t xml:space="preserve">Lease drafting and review</w:t>
      </w:r>
    </w:p>
    <w:p>
      <w:pPr>
        <w:pStyle w:val="ListParagraph"/>
        <w:numPr>
          <w:ilvl w:val="0"/>
          <w:numId w:val="4"/>
        </w:numPr>
        <w:spacing w:before="40" w:after="40"/>
      </w:pPr>
      <w:r>
        <w:rPr>
          <w:sz w:val="22"/>
          <w:szCs w:val="22"/>
          <w:rFonts w:ascii="Arial" w:cs="Arial" w:eastAsia="Arial" w:hAnsi="Arial"/>
        </w:rPr>
        <w:t xml:space="preserve">Document collaboration between Legal and Asset Management</w:t>
      </w:r>
    </w:p>
    <w:p>
      <w:pPr>
        <w:pStyle w:val="ListParagraph"/>
        <w:numPr>
          <w:ilvl w:val="0"/>
          <w:numId w:val="4"/>
        </w:numPr>
        <w:spacing w:before="40" w:after="40"/>
      </w:pPr>
      <w:r>
        <w:rPr>
          <w:sz w:val="22"/>
          <w:szCs w:val="22"/>
          <w:rFonts w:ascii="Arial" w:cs="Arial" w:eastAsia="Arial" w:hAnsi="Arial"/>
        </w:rPr>
        <w:t xml:space="preserve">Document version control</w:t>
      </w:r>
    </w:p>
    <w:p>
      <w:pPr>
        <w:pStyle w:val="ListParagraph"/>
        <w:numPr>
          <w:ilvl w:val="0"/>
          <w:numId w:val="4"/>
        </w:numPr>
        <w:spacing w:before="40" w:after="40"/>
      </w:pPr>
      <w:r>
        <w:rPr>
          <w:sz w:val="22"/>
          <w:szCs w:val="22"/>
          <w:rFonts w:ascii="Arial" w:cs="Arial" w:eastAsia="Arial" w:hAnsi="Arial"/>
        </w:rPr>
        <w:t xml:space="preserve">Internal and external circulation of lease drafts</w:t>
      </w:r>
    </w:p>
    <w:p>
      <w:pPr>
        <w:spacing w:before="80" w:after="120"/>
      </w:pPr>
      <w:r>
        <w:rPr>
          <w:sz w:val="22"/>
          <w:szCs w:val="22"/>
          <w:rFonts w:ascii="Arial" w:cs="Arial" w:eastAsia="Arial" w:hAnsi="Arial"/>
        </w:rPr>
        <w:t xml:space="preserve">These procedures are designed to maintain document integrity, efficient collaboration, and clear accountability throughout the leasing process. Requests for leasing-related legal services are initiated through the intake procedures described in Section 5. This section addresses the Department's procedures for handling those requests after intake.</w:t>
      </w:r>
    </w:p>
    <w:p>
      <w:pPr>
        <w:pStyle w:val="Heading2"/>
        <w:spacing w:before="200" w:after="120"/>
      </w:pPr>
      <w:r>
        <w:rPr>
          <w:b/>
          <w:bCs/>
          <w:sz w:val="28"/>
          <w:szCs w:val="28"/>
          <w:rFonts w:ascii="Arial" w:cs="Arial" w:eastAsia="Arial" w:hAnsi="Arial"/>
        </w:rPr>
        <w:t xml:space="preserve">Section 6.A. Leasing Workflow Overview</w:t>
      </w:r>
    </w:p>
    <w:p>
      <w:pPr>
        <w:spacing w:before="80" w:after="120"/>
      </w:pPr>
      <w:r>
        <w:rPr>
          <w:sz w:val="22"/>
          <w:szCs w:val="22"/>
          <w:rFonts w:ascii="Arial" w:cs="Arial" w:eastAsia="Arial" w:hAnsi="Arial"/>
        </w:rPr>
        <w:t xml:space="preserve">The leasing workflow generally involves the following steps:</w:t>
      </w:r>
    </w:p>
    <w:p>
      <w:pPr>
        <w:pStyle w:val="ListParagraph"/>
        <w:numPr>
          <w:ilvl w:val="0"/>
          <w:numId w:val="5"/>
        </w:numPr>
        <w:spacing w:before="40" w:after="40"/>
      </w:pPr>
      <w:r>
        <w:rPr>
          <w:sz w:val="22"/>
          <w:szCs w:val="22"/>
          <w:rFonts w:ascii="Arial" w:cs="Arial" w:eastAsia="Arial" w:hAnsi="Arial"/>
        </w:rPr>
        <w:t xml:space="preserve">Asset Management designates a SharePoint workspace to store draft Word documents (e.g., lease analysis, LOIs, etc.) and to allow internal review by the deal team.</w:t>
      </w:r>
    </w:p>
    <w:p>
      <w:pPr>
        <w:pStyle w:val="ListParagraph"/>
        <w:numPr>
          <w:ilvl w:val="0"/>
          <w:numId w:val="5"/>
        </w:numPr>
        <w:spacing w:before="40" w:after="40"/>
      </w:pPr>
      <w:r>
        <w:rPr>
          <w:sz w:val="22"/>
          <w:szCs w:val="22"/>
          <w:rFonts w:ascii="Arial" w:cs="Arial" w:eastAsia="Arial" w:hAnsi="Arial"/>
        </w:rPr>
        <w:t xml:space="preserve">Asset Management submits a request for legal drafting or review through Salesforce's Leasing Process system.</w:t>
      </w:r>
    </w:p>
    <w:p>
      <w:pPr>
        <w:pStyle w:val="ListParagraph"/>
        <w:numPr>
          <w:ilvl w:val="0"/>
          <w:numId w:val="5"/>
        </w:numPr>
        <w:spacing w:before="40" w:after="40"/>
      </w:pPr>
      <w:r>
        <w:rPr>
          <w:sz w:val="22"/>
          <w:szCs w:val="22"/>
          <w:rFonts w:ascii="Arial" w:cs="Arial" w:eastAsia="Arial" w:hAnsi="Arial"/>
        </w:rPr>
        <w:t xml:space="preserve">Legal prepares the initial draft or reviews the proposed form. If the request is to review a tenant-proposed or tenant-revised form, Asset Management should first provide internal comments and revisions in the document using the "Comment" and "Tracked Changes" functions. Legal will (i) revise and provide comments to Asset Management in the Word document using the "@mention" function and (ii) review and incorporate internal comments and revisions, as applicable. Drafting-related communications should be made using these functions, in lieu of e-mail. Before any draft lease or lease amendment is circulated externally for the first time, the General Counsel (or designee) must provide sign-off confirming that the document has been reviewed for legal sufficiency and is approved for external circulation. For subsequent rounds of negotiation, sign-off is required only where the Department has made substantive legal revisions or where the matter has been designated as high priority under Section 5.</w:t>
      </w:r>
    </w:p>
    <w:p>
      <w:pPr>
        <w:pStyle w:val="ListParagraph"/>
        <w:numPr>
          <w:ilvl w:val="0"/>
          <w:numId w:val="5"/>
        </w:numPr>
        <w:spacing w:before="40" w:after="40"/>
      </w:pPr>
      <w:r>
        <w:rPr>
          <w:sz w:val="22"/>
          <w:szCs w:val="22"/>
          <w:rFonts w:ascii="Arial" w:cs="Arial" w:eastAsia="Arial" w:hAnsi="Arial"/>
        </w:rPr>
        <w:t xml:space="preserve">Once internal review is completed, Asset Management will (i) generate an initial comparison using the "Compare" function in Word of the draft against the tenant-proposed form, if applicable, and Legal will review the comparison for legal sufficiency before external circulation, and (ii) download a temporary local copy of the SharePoint draft for purposes of external circulation to tenant counsel or the tenant's representative, as applicable. The local copy must be deleted from the user's device once the document has been transmitted and uploaded back to the SharePoint workspace. Documents must not be stored locally beyond the period of active editing or transmission. Asset Management will then indicate, through Salesforce's Leasing Process system, that the lease or lease amendment has proceeded to negotiation phase.</w:t>
      </w:r>
    </w:p>
    <w:p>
      <w:pPr>
        <w:pStyle w:val="ListParagraph"/>
        <w:numPr>
          <w:ilvl w:val="0"/>
          <w:numId w:val="5"/>
        </w:numPr>
        <w:spacing w:before="40" w:after="40"/>
      </w:pPr>
      <w:r>
        <w:rPr>
          <w:sz w:val="22"/>
          <w:szCs w:val="22"/>
          <w:rFonts w:ascii="Arial" w:cs="Arial" w:eastAsia="Arial" w:hAnsi="Arial"/>
        </w:rPr>
        <w:t xml:space="preserve">Lease drafts are revised as negotiations progress. Every initial and subsequent external draft will be saved as a separate Word document in accordance with applicable naming convention (see Section 6.D below).</w:t>
      </w:r>
    </w:p>
    <w:p>
      <w:pPr>
        <w:pStyle w:val="ListParagraph"/>
        <w:numPr>
          <w:ilvl w:val="0"/>
          <w:numId w:val="5"/>
        </w:numPr>
        <w:spacing w:before="40" w:after="40"/>
      </w:pPr>
      <w:r>
        <w:rPr>
          <w:sz w:val="22"/>
          <w:szCs w:val="22"/>
          <w:rFonts w:ascii="Arial" w:cs="Arial" w:eastAsia="Arial" w:hAnsi="Arial"/>
        </w:rPr>
        <w:t xml:space="preserve">Final documents are prepared for signature and distribution by the applicable Leasing Administrator from Asset Management and stored in ShareFile (not to be confused with SharePoint).</w:t>
      </w:r>
    </w:p>
    <w:p>
      <w:pPr>
        <w:pStyle w:val="Heading2"/>
        <w:spacing w:before="200" w:after="120"/>
      </w:pPr>
      <w:r>
        <w:rPr>
          <w:b/>
          <w:bCs/>
          <w:sz w:val="28"/>
          <w:szCs w:val="28"/>
          <w:rFonts w:ascii="Arial" w:cs="Arial" w:eastAsia="Arial" w:hAnsi="Arial"/>
        </w:rPr>
        <w:t xml:space="preserve">Section 6.B. Role of Asset Management</w:t>
      </w:r>
    </w:p>
    <w:p>
      <w:pPr>
        <w:spacing w:before="80" w:after="120"/>
      </w:pPr>
      <w:r>
        <w:rPr>
          <w:sz w:val="22"/>
          <w:szCs w:val="22"/>
          <w:rFonts w:ascii="Arial" w:cs="Arial" w:eastAsia="Arial" w:hAnsi="Arial"/>
        </w:rPr>
        <w:t xml:space="preserve">Asset Management is responsible for, and has final authority over, the commercial negotiation of lease terms and for maintaining the tenant (and broker, if applicable) relationship throughout the negotiation process.</w:t>
      </w:r>
    </w:p>
    <w:p>
      <w:pPr>
        <w:spacing w:before="80" w:after="120"/>
      </w:pPr>
      <w:r>
        <w:rPr>
          <w:sz w:val="22"/>
          <w:szCs w:val="22"/>
          <w:rFonts w:ascii="Arial" w:cs="Arial" w:eastAsia="Arial" w:hAnsi="Arial"/>
        </w:rPr>
        <w:t xml:space="preserve">Asset Management responsibilities include:</w:t>
      </w:r>
    </w:p>
    <w:p>
      <w:pPr>
        <w:pStyle w:val="ListParagraph"/>
        <w:numPr>
          <w:ilvl w:val="0"/>
          <w:numId w:val="4"/>
        </w:numPr>
        <w:spacing w:before="40" w:after="40"/>
      </w:pPr>
      <w:r>
        <w:rPr>
          <w:sz w:val="22"/>
          <w:szCs w:val="22"/>
          <w:rFonts w:ascii="Arial" w:cs="Arial" w:eastAsia="Arial" w:hAnsi="Arial"/>
        </w:rPr>
        <w:t xml:space="preserve">Negotiating economic terms with tenants</w:t>
      </w:r>
    </w:p>
    <w:p>
      <w:pPr>
        <w:pStyle w:val="ListParagraph"/>
        <w:numPr>
          <w:ilvl w:val="0"/>
          <w:numId w:val="4"/>
        </w:numPr>
        <w:spacing w:before="40" w:after="40"/>
      </w:pPr>
      <w:r>
        <w:rPr>
          <w:sz w:val="22"/>
          <w:szCs w:val="22"/>
          <w:rFonts w:ascii="Arial" w:cs="Arial" w:eastAsia="Arial" w:hAnsi="Arial"/>
        </w:rPr>
        <w:t xml:space="preserve">Coordinating with tenants and brokers regarding business terms</w:t>
      </w:r>
    </w:p>
    <w:p>
      <w:pPr>
        <w:pStyle w:val="ListParagraph"/>
        <w:numPr>
          <w:ilvl w:val="0"/>
          <w:numId w:val="4"/>
        </w:numPr>
        <w:spacing w:before="40" w:after="40"/>
      </w:pPr>
      <w:r>
        <w:rPr>
          <w:sz w:val="22"/>
          <w:szCs w:val="22"/>
          <w:rFonts w:ascii="Arial" w:cs="Arial" w:eastAsia="Arial" w:hAnsi="Arial"/>
        </w:rPr>
        <w:t xml:space="preserve">Routing drafts between the Legal Department, tenants and brokers</w:t>
      </w:r>
    </w:p>
    <w:p>
      <w:pPr>
        <w:pStyle w:val="ListParagraph"/>
        <w:numPr>
          <w:ilvl w:val="0"/>
          <w:numId w:val="4"/>
        </w:numPr>
        <w:spacing w:before="40" w:after="40"/>
      </w:pPr>
      <w:r>
        <w:rPr>
          <w:sz w:val="22"/>
          <w:szCs w:val="22"/>
          <w:rFonts w:ascii="Arial" w:cs="Arial" w:eastAsia="Arial" w:hAnsi="Arial"/>
        </w:rPr>
        <w:t xml:space="preserve">Confirming that negotiated business terms are accurately reflected in the lease documentation</w:t>
      </w:r>
    </w:p>
    <w:p>
      <w:pPr>
        <w:spacing w:before="80" w:after="120"/>
      </w:pPr>
      <w:r>
        <w:rPr>
          <w:sz w:val="22"/>
          <w:szCs w:val="22"/>
          <w:rFonts w:ascii="Arial" w:cs="Arial" w:eastAsia="Arial" w:hAnsi="Arial"/>
        </w:rPr>
        <w:t xml:space="preserve">On some occasions, Asset Management may be permitted to draft or document a business term in a legal document; however, the Department will have final approval of the document. If for any reason, typically due to time-sensitivity, the Department does not have the opportunity to review a document, Asset Management may be permitted to transmit provided, that, in its transmission correspondence, Asset Management expressly reserves the right for final review by the Company's Legal Department.</w:t>
      </w:r>
    </w:p>
    <w:p>
      <w:pPr>
        <w:spacing w:before="80" w:after="120"/>
      </w:pPr>
      <w:r>
        <w:rPr>
          <w:sz w:val="22"/>
          <w:szCs w:val="22"/>
          <w:rFonts w:ascii="Arial" w:cs="Arial" w:eastAsia="Arial" w:hAnsi="Arial"/>
        </w:rPr>
        <w:t xml:space="preserve">The Department supports Asset Management by ensuring that negotiated terms are properly documented and that legal risks are appropriately addressed.</w:t>
      </w:r>
    </w:p>
    <w:p>
      <w:pPr>
        <w:spacing w:before="80" w:after="120"/>
      </w:pPr>
      <w:r>
        <w:rPr>
          <w:sz w:val="22"/>
          <w:szCs w:val="22"/>
          <w:rFonts w:ascii="Arial" w:cs="Arial" w:eastAsia="Arial" w:hAnsi="Arial"/>
        </w:rPr>
        <w:t xml:space="preserve">Legal responsibilities include:</w:t>
      </w:r>
    </w:p>
    <w:p>
      <w:pPr>
        <w:pStyle w:val="ListParagraph"/>
        <w:numPr>
          <w:ilvl w:val="0"/>
          <w:numId w:val="4"/>
        </w:numPr>
        <w:spacing w:before="40" w:after="40"/>
      </w:pPr>
      <w:r>
        <w:rPr>
          <w:sz w:val="22"/>
          <w:szCs w:val="22"/>
          <w:rFonts w:ascii="Arial" w:cs="Arial" w:eastAsia="Arial" w:hAnsi="Arial"/>
        </w:rPr>
        <w:t xml:space="preserve">Drafting lease agreements and amendments</w:t>
      </w:r>
    </w:p>
    <w:p>
      <w:pPr>
        <w:pStyle w:val="ListParagraph"/>
        <w:numPr>
          <w:ilvl w:val="0"/>
          <w:numId w:val="4"/>
        </w:numPr>
        <w:spacing w:before="40" w:after="40"/>
      </w:pPr>
      <w:r>
        <w:rPr>
          <w:sz w:val="22"/>
          <w:szCs w:val="22"/>
          <w:rFonts w:ascii="Arial" w:cs="Arial" w:eastAsia="Arial" w:hAnsi="Arial"/>
        </w:rPr>
        <w:t xml:space="preserve">Reviewing tenant-proposed lease forms</w:t>
      </w:r>
    </w:p>
    <w:p>
      <w:pPr>
        <w:pStyle w:val="ListParagraph"/>
        <w:numPr>
          <w:ilvl w:val="0"/>
          <w:numId w:val="4"/>
        </w:numPr>
        <w:spacing w:before="40" w:after="40"/>
      </w:pPr>
      <w:r>
        <w:rPr>
          <w:sz w:val="22"/>
          <w:szCs w:val="22"/>
          <w:rFonts w:ascii="Arial" w:cs="Arial" w:eastAsia="Arial" w:hAnsi="Arial"/>
        </w:rPr>
        <w:t xml:space="preserve">Ensuring consistency with the Company's standard lease provisions</w:t>
      </w:r>
    </w:p>
    <w:p>
      <w:pPr>
        <w:pStyle w:val="ListParagraph"/>
        <w:numPr>
          <w:ilvl w:val="0"/>
          <w:numId w:val="4"/>
        </w:numPr>
        <w:spacing w:before="40" w:after="40"/>
      </w:pPr>
      <w:r>
        <w:rPr>
          <w:sz w:val="22"/>
          <w:szCs w:val="22"/>
          <w:rFonts w:ascii="Arial" w:cs="Arial" w:eastAsia="Arial" w:hAnsi="Arial"/>
        </w:rPr>
        <w:t xml:space="preserve">Advising Asset Management regarding legal implications of revisions made by tenant and/or Asset Management</w:t>
      </w:r>
    </w:p>
    <w:p>
      <w:pPr>
        <w:pStyle w:val="ListParagraph"/>
        <w:numPr>
          <w:ilvl w:val="0"/>
          <w:numId w:val="4"/>
        </w:numPr>
        <w:spacing w:before="40" w:after="40"/>
      </w:pPr>
      <w:r>
        <w:rPr>
          <w:sz w:val="22"/>
          <w:szCs w:val="22"/>
          <w:rFonts w:ascii="Arial" w:cs="Arial" w:eastAsia="Arial" w:hAnsi="Arial"/>
        </w:rPr>
        <w:t xml:space="preserve">Maintaining document version control</w:t>
      </w:r>
    </w:p>
    <w:p>
      <w:pPr>
        <w:pStyle w:val="ListParagraph"/>
        <w:numPr>
          <w:ilvl w:val="0"/>
          <w:numId w:val="4"/>
        </w:numPr>
        <w:spacing w:before="40" w:after="40"/>
      </w:pPr>
      <w:r>
        <w:rPr>
          <w:sz w:val="22"/>
          <w:szCs w:val="22"/>
          <w:rFonts w:ascii="Arial" w:cs="Arial" w:eastAsia="Arial" w:hAnsi="Arial"/>
        </w:rPr>
        <w:t xml:space="preserve">Coordinating the internal review process prior to external circulation</w:t>
      </w:r>
    </w:p>
    <w:p>
      <w:pPr>
        <w:pStyle w:val="Heading2"/>
        <w:spacing w:before="200" w:after="120"/>
      </w:pPr>
      <w:r>
        <w:rPr>
          <w:b/>
          <w:bCs/>
          <w:sz w:val="28"/>
          <w:szCs w:val="28"/>
          <w:rFonts w:ascii="Arial" w:cs="Arial" w:eastAsia="Arial" w:hAnsi="Arial"/>
        </w:rPr>
        <w:t xml:space="preserve">Section 6.C. SharePoint</w:t>
      </w:r>
    </w:p>
    <w:p>
      <w:pPr>
        <w:spacing w:before="80" w:after="120"/>
      </w:pPr>
      <w:r>
        <w:rPr>
          <w:sz w:val="22"/>
          <w:szCs w:val="22"/>
          <w:rFonts w:ascii="Arial" w:cs="Arial" w:eastAsia="Arial" w:hAnsi="Arial"/>
        </w:rPr>
        <w:t xml:space="preserve">All lease-related documents must be stored in the designated SharePoint workspace for the applicable transaction.</w:t>
      </w:r>
    </w:p>
    <w:p>
      <w:pPr>
        <w:spacing w:before="80" w:after="120"/>
      </w:pPr>
      <w:r>
        <w:rPr>
          <w:sz w:val="22"/>
          <w:szCs w:val="22"/>
          <w:rFonts w:ascii="Arial" w:cs="Arial" w:eastAsia="Arial" w:hAnsi="Arial"/>
        </w:rPr>
        <w:t xml:space="preserve">The SharePoint workspace enables:</w:t>
      </w:r>
    </w:p>
    <w:p>
      <w:pPr>
        <w:pStyle w:val="ListParagraph"/>
        <w:numPr>
          <w:ilvl w:val="0"/>
          <w:numId w:val="4"/>
        </w:numPr>
        <w:spacing w:before="40" w:after="40"/>
      </w:pPr>
      <w:r>
        <w:rPr>
          <w:sz w:val="22"/>
          <w:szCs w:val="22"/>
          <w:rFonts w:ascii="Arial" w:cs="Arial" w:eastAsia="Arial" w:hAnsi="Arial"/>
        </w:rPr>
        <w:t xml:space="preserve">Centralized document storage</w:t>
      </w:r>
    </w:p>
    <w:p>
      <w:pPr>
        <w:pStyle w:val="ListParagraph"/>
        <w:numPr>
          <w:ilvl w:val="0"/>
          <w:numId w:val="4"/>
        </w:numPr>
        <w:spacing w:before="40" w:after="40"/>
      </w:pPr>
      <w:r>
        <w:rPr>
          <w:sz w:val="22"/>
          <w:szCs w:val="22"/>
          <w:rFonts w:ascii="Arial" w:cs="Arial" w:eastAsia="Arial" w:hAnsi="Arial"/>
        </w:rPr>
        <w:t xml:space="preserve">Version history tracking for auditing drafting decisions</w:t>
      </w:r>
    </w:p>
    <w:p>
      <w:pPr>
        <w:pStyle w:val="ListParagraph"/>
        <w:numPr>
          <w:ilvl w:val="0"/>
          <w:numId w:val="4"/>
        </w:numPr>
        <w:spacing w:before="40" w:after="40"/>
      </w:pPr>
      <w:r>
        <w:rPr>
          <w:sz w:val="22"/>
          <w:szCs w:val="22"/>
          <w:rFonts w:ascii="Arial" w:cs="Arial" w:eastAsia="Arial" w:hAnsi="Arial"/>
        </w:rPr>
        <w:t xml:space="preserve">Internal collaboration</w:t>
      </w:r>
    </w:p>
    <w:p>
      <w:pPr>
        <w:pStyle w:val="ListParagraph"/>
        <w:numPr>
          <w:ilvl w:val="0"/>
          <w:numId w:val="4"/>
        </w:numPr>
        <w:spacing w:before="40" w:after="40"/>
      </w:pPr>
      <w:r>
        <w:rPr>
          <w:sz w:val="22"/>
          <w:szCs w:val="22"/>
          <w:rFonts w:ascii="Arial" w:cs="Arial" w:eastAsia="Arial" w:hAnsi="Arial"/>
        </w:rPr>
        <w:t xml:space="preserve">Preservation of document integrity</w:t>
      </w:r>
    </w:p>
    <w:p>
      <w:pPr>
        <w:spacing w:before="80" w:after="120"/>
      </w:pPr>
      <w:r>
        <w:rPr>
          <w:sz w:val="22"/>
          <w:szCs w:val="22"/>
          <w:rFonts w:ascii="Arial" w:cs="Arial" w:eastAsia="Arial" w:hAnsi="Arial"/>
        </w:rPr>
        <w:t xml:space="preserve">Maintaining a centralized repository ensures that all members of the deal team are working from the most current version of the document.</w:t>
      </w:r>
    </w:p>
    <w:p>
      <w:pPr>
        <w:pStyle w:val="Heading2"/>
        <w:spacing w:before="200" w:after="120"/>
      </w:pPr>
      <w:r>
        <w:rPr>
          <w:b/>
          <w:bCs/>
          <w:sz w:val="28"/>
          <w:szCs w:val="28"/>
          <w:rFonts w:ascii="Arial" w:cs="Arial" w:eastAsia="Arial" w:hAnsi="Arial"/>
        </w:rPr>
        <w:t xml:space="preserve">Section 6.D. Document Naming Convention</w:t>
      </w:r>
    </w:p>
    <w:p>
      <w:pPr>
        <w:spacing w:before="80" w:after="120"/>
      </w:pPr>
      <w:r>
        <w:rPr>
          <w:sz w:val="22"/>
          <w:szCs w:val="22"/>
          <w:rFonts w:ascii="Arial" w:cs="Arial" w:eastAsia="Arial" w:hAnsi="Arial"/>
        </w:rPr>
        <w:t xml:space="preserve">All draft lease documents must follow the Company's standardized naming convention to ensure consistency and clarity.</w:t>
      </w:r>
    </w:p>
    <w:p>
      <w:pPr>
        <w:spacing w:before="80" w:after="120"/>
      </w:pPr>
      <w:r>
        <w:rPr>
          <w:sz w:val="22"/>
          <w:szCs w:val="22"/>
          <w:rFonts w:ascii="Arial" w:cs="Arial" w:eastAsia="Arial" w:hAnsi="Arial"/>
        </w:rPr>
        <w:t xml:space="preserve">The standard naming format is:</w:t>
      </w:r>
    </w:p>
    <w:p>
      <w:pPr>
        <w:spacing w:before="80" w:after="120"/>
      </w:pPr>
      <w:r>
        <w:rPr>
          <w:b/>
          <w:bCs/>
          <w:sz w:val="22"/>
          <w:szCs w:val="22"/>
          <w:rFonts w:ascii="Arial" w:cs="Arial" w:eastAsia="Arial" w:hAnsi="Arial"/>
        </w:rPr>
        <w:t xml:space="preserve">[Document Type] -- [Tenant Name] -- [Property Address] -- PLYM Draft</w:t>
      </w:r>
    </w:p>
    <w:p>
      <w:pPr>
        <w:spacing w:before="80" w:after="120"/>
      </w:pPr>
      <w:r>
        <w:rPr>
          <w:sz w:val="22"/>
          <w:szCs w:val="22"/>
          <w:rFonts w:ascii="Arial" w:cs="Arial" w:eastAsia="Arial" w:hAnsi="Arial"/>
        </w:rPr>
        <w:t xml:space="preserve">Subsequent versions circulated externally shall be numbered sequentially beginning with "v1" for each new external circulation. Examples:</w:t>
      </w:r>
    </w:p>
    <w:p>
      <w:pPr>
        <w:spacing w:before="80" w:after="120"/>
      </w:pPr>
      <w:r>
        <w:rPr>
          <w:sz w:val="22"/>
          <w:szCs w:val="22"/>
          <w:rFonts w:ascii="Arial" w:cs="Arial" w:eastAsia="Arial" w:hAnsi="Arial"/>
        </w:rPr>
        <w:t xml:space="preserve">*Lease -- ABC Logistics -- 100 Industrial Drive -- PLYM Draft v1* *Lease -- ABC Logistics -- 100 Industrial Drive -- PLYM Draft v2*</w:t>
      </w:r>
    </w:p>
    <w:p>
      <w:pPr>
        <w:spacing w:before="80" w:after="120"/>
      </w:pPr>
      <w:r>
        <w:rPr>
          <w:b/>
          <w:bCs/>
          <w:sz w:val="22"/>
          <w:szCs w:val="22"/>
          <w:rFonts w:ascii="Arial" w:cs="Arial" w:eastAsia="Arial" w:hAnsi="Arial"/>
        </w:rPr>
        <w:t xml:space="preserve">Internal vs. External Version Tracking.</w:t>
      </w:r>
      <w:r>
        <w:rPr>
          <w:sz w:val="22"/>
          <w:szCs w:val="22"/>
          <w:rFonts w:ascii="Arial" w:cs="Arial" w:eastAsia="Arial" w:hAnsi="Arial"/>
        </w:rPr>
        <w:t xml:space="preserve"> Internal working drafts shall use non-sequential, date-based identifiers (e.g., "PLYM Internal 2026-03-15") rather than sequential version numbers. This practice prevents external parties from inferring the number of internal revisions or the existence of undisclosed internal drafts. Upon determination that a draft is ready for external circulation, the document shall be saved under the standard naming convention with a sequential external version number (v1, v2, etc.) that is independent of the internal version history.</w:t>
      </w:r>
    </w:p>
    <w:p>
      <w:pPr>
        <w:spacing w:before="80" w:after="120"/>
      </w:pPr>
      <w:r>
        <w:rPr>
          <w:b/>
          <w:bCs/>
          <w:sz w:val="22"/>
          <w:szCs w:val="22"/>
          <w:rFonts w:ascii="Arial" w:cs="Arial" w:eastAsia="Arial" w:hAnsi="Arial"/>
        </w:rPr>
        <w:t xml:space="preserve">Post-Execution Document Retention.</w:t>
      </w:r>
      <w:r>
        <w:rPr>
          <w:sz w:val="22"/>
          <w:szCs w:val="22"/>
          <w:rFonts w:ascii="Arial" w:cs="Arial" w:eastAsia="Arial" w:hAnsi="Arial"/>
        </w:rPr>
        <w:t xml:space="preserve"> After a lease is fully executed, only the final executed version and the versions that were actually circulated externally need be retained in the primary transaction folder. Internal working drafts should be moved to a separate archive subfolder within SharePoint, accessible only to the Department, and may be disposed of in accordance with the document retention schedule (Section 10.A). Only the externally circulated versions and the final executed document shall be retained in the deal team's shared workspace.</w:t>
      </w:r>
    </w:p>
    <w:p>
      <w:pPr>
        <w:spacing w:before="80" w:after="120"/>
      </w:pPr>
      <w:r>
        <w:rPr>
          <w:sz w:val="22"/>
          <w:szCs w:val="22"/>
          <w:rFonts w:ascii="Arial" w:cs="Arial" w:eastAsia="Arial" w:hAnsi="Arial"/>
        </w:rPr>
        <w:t xml:space="preserve">Consistent naming conventions help prevent confusion and allow the deal team to easily identify the most recent version of a document.</w:t>
      </w:r>
    </w:p>
    <w:p>
      <w:pPr>
        <w:pStyle w:val="Heading2"/>
        <w:spacing w:before="200" w:after="120"/>
      </w:pPr>
      <w:r>
        <w:rPr>
          <w:b/>
          <w:bCs/>
          <w:sz w:val="28"/>
          <w:szCs w:val="28"/>
          <w:rFonts w:ascii="Arial" w:cs="Arial" w:eastAsia="Arial" w:hAnsi="Arial"/>
        </w:rPr>
        <w:t xml:space="preserve">Section 6.E. Tracked Changes Protocol</w:t>
      </w:r>
    </w:p>
    <w:p>
      <w:pPr>
        <w:spacing w:before="80" w:after="120"/>
      </w:pPr>
      <w:r>
        <w:rPr>
          <w:sz w:val="22"/>
          <w:szCs w:val="22"/>
          <w:rFonts w:ascii="Arial" w:cs="Arial" w:eastAsia="Arial" w:hAnsi="Arial"/>
        </w:rPr>
        <w:t xml:space="preserve">Tracked changes must remain enabled during the lease negotiation process to preserve visibility into both internal and external revisions and maintain a clear record of document changes. Tracked changes should not be removed before internal review is completed. The Department should ensure that internal comments are resolved prior to approval of external circulation. After deleting resolved comments, the Department will generate a comparison of the initial version of a tenant-proposed form, as applicable, and the most recent version revised by the Department and the deal team.</w:t>
      </w:r>
    </w:p>
    <w:p>
      <w:pPr>
        <w:spacing w:before="80" w:after="120"/>
      </w:pPr>
      <w:r>
        <w:rPr>
          <w:b/>
          <w:bCs/>
          <w:sz w:val="22"/>
          <w:szCs w:val="22"/>
          <w:rFonts w:ascii="Arial" w:cs="Arial" w:eastAsia="Arial" w:hAnsi="Arial"/>
        </w:rPr>
        <w:t xml:space="preserve">Before external circulation, all tracked changes reflecting attorney edits must be accepted.</w:t>
      </w:r>
      <w:r>
        <w:rPr>
          <w:sz w:val="22"/>
          <w:szCs w:val="22"/>
          <w:rFonts w:ascii="Arial" w:cs="Arial" w:eastAsia="Arial" w:hAnsi="Arial"/>
        </w:rPr>
        <w:t xml:space="preserve"> The document circulated to the tenant, tenant's counsel, or any non-privileged party must be a clean document (or a document showing only those changes the Company intends to present as its revisions). Tracked changes that reveal attorney mental impressions, internal deliberative edits, or the progression of the Department's legal analysis must not be visible in any externally circulated document. The Department shall use Word's "Compare" function to generate a redline against the prior external draft, rather than circulating the Department's internal tracked-changes version.</w:t>
      </w:r>
    </w:p>
    <w:p>
      <w:pPr>
        <w:spacing w:before="80" w:after="120"/>
      </w:pPr>
      <w:r>
        <w:rPr>
          <w:sz w:val="22"/>
          <w:szCs w:val="22"/>
          <w:rFonts w:ascii="Arial" w:cs="Arial" w:eastAsia="Arial" w:hAnsi="Arial"/>
        </w:rPr>
        <w:t xml:space="preserve">Maintaining this protocol ensures transparency in negotiations while protecting the Company's privileged work product and attorney mental impressions from inadvertent disclosure.</w:t>
      </w:r>
    </w:p>
    <w:p>
      <w:pPr>
        <w:pStyle w:val="Heading2"/>
        <w:spacing w:before="200" w:after="120"/>
      </w:pPr>
      <w:r>
        <w:rPr>
          <w:b/>
          <w:bCs/>
          <w:sz w:val="28"/>
          <w:szCs w:val="28"/>
          <w:rFonts w:ascii="Arial" w:cs="Arial" w:eastAsia="Arial" w:hAnsi="Arial"/>
        </w:rPr>
        <w:t xml:space="preserve">Section 6.F. Privilege Preservation in Collaborative Drafting</w:t>
      </w:r>
    </w:p>
    <w:p>
      <w:pPr>
        <w:spacing w:before="80" w:after="120"/>
      </w:pPr>
      <w:r>
        <w:rPr>
          <w:sz w:val="22"/>
          <w:szCs w:val="22"/>
          <w:rFonts w:ascii="Arial" w:cs="Arial" w:eastAsia="Arial" w:hAnsi="Arial"/>
        </w:rPr>
        <w:t xml:space="preserve">To protect attorney-client privilege during the collaborative drafting process, the following rules apply:</w:t>
      </w:r>
    </w:p>
    <w:p>
      <w:pPr>
        <w:spacing w:before="80" w:after="120"/>
      </w:pPr>
      <w:r>
        <w:rPr>
          <w:b/>
          <w:bCs/>
          <w:sz w:val="22"/>
          <w:szCs w:val="22"/>
          <w:rFonts w:ascii="Arial" w:cs="Arial" w:eastAsia="Arial" w:hAnsi="Arial"/>
        </w:rPr>
        <w:t xml:space="preserve">Legal advice must not be provided within lease draft documents.</w:t>
      </w:r>
      <w:r>
        <w:rPr>
          <w:sz w:val="22"/>
          <w:szCs w:val="22"/>
          <w:rFonts w:ascii="Arial" w:cs="Arial" w:eastAsia="Arial" w:hAnsi="Arial"/>
        </w:rPr>
        <w:t xml:space="preserve"> Department attorneys shall not provide legal analysis, risk assessments, strategic recommendations, or other legal advice through comments, @mentions, or annotations embedded within lease drafts or other transactional documents stored in SharePoint or any other shared workspace. In-document comments by attorneys must be limited to objective drafting instructions (e.g., "insert tenant name," "confirm square footage," "update rent commencement date").</w:t>
      </w:r>
    </w:p>
    <w:p>
      <w:pPr>
        <w:spacing w:before="80" w:after="120"/>
      </w:pPr>
      <w:r>
        <w:rPr>
          <w:sz w:val="22"/>
          <w:szCs w:val="22"/>
          <w:rFonts w:ascii="Arial" w:cs="Arial" w:eastAsia="Arial" w:hAnsi="Arial"/>
        </w:rPr>
        <w:t xml:space="preserve">Legal advice -- including analysis of risk, recommendations regarding negotiating posture, assessments of enforceability, or evaluations of legal exposure -- must be communicated through separate privileged channels, including:</w:t>
      </w:r>
    </w:p>
    <w:p>
      <w:pPr>
        <w:pStyle w:val="ListParagraph"/>
        <w:numPr>
          <w:ilvl w:val="0"/>
          <w:numId w:val="4"/>
        </w:numPr>
        <w:spacing w:before="40" w:after="40"/>
      </w:pPr>
      <w:r>
        <w:rPr>
          <w:sz w:val="22"/>
          <w:szCs w:val="22"/>
          <w:rFonts w:ascii="Arial" w:cs="Arial" w:eastAsia="Arial" w:hAnsi="Arial"/>
        </w:rPr>
        <w:t xml:space="preserve">Emails clearly marked "PRIVILEGED AND CONFIDENTIAL -- ATTORNEY-CLIENT COMMUNICATION"</w:t>
      </w:r>
    </w:p>
    <w:p>
      <w:pPr>
        <w:pStyle w:val="ListParagraph"/>
        <w:numPr>
          <w:ilvl w:val="0"/>
          <w:numId w:val="4"/>
        </w:numPr>
        <w:spacing w:before="40" w:after="40"/>
      </w:pPr>
      <w:r>
        <w:rPr>
          <w:sz w:val="22"/>
          <w:szCs w:val="22"/>
          <w:rFonts w:ascii="Arial" w:cs="Arial" w:eastAsia="Arial" w:hAnsi="Arial"/>
        </w:rPr>
        <w:t xml:space="preserve">Privileged memoranda stored separately from the transactional document workspace</w:t>
      </w:r>
    </w:p>
    <w:p>
      <w:pPr>
        <w:pStyle w:val="ListParagraph"/>
        <w:numPr>
          <w:ilvl w:val="0"/>
          <w:numId w:val="4"/>
        </w:numPr>
        <w:spacing w:before="40" w:after="40"/>
      </w:pPr>
      <w:r>
        <w:rPr>
          <w:sz w:val="22"/>
          <w:szCs w:val="22"/>
          <w:rFonts w:ascii="Arial" w:cs="Arial" w:eastAsia="Arial" w:hAnsi="Arial"/>
        </w:rPr>
        <w:t xml:space="preserve">Verbal communications (with follow-up documented in a privileged writing where appropriate)</w:t>
      </w:r>
    </w:p>
    <w:p>
      <w:pPr>
        <w:spacing w:before="80" w:after="120"/>
      </w:pPr>
      <w:r>
        <w:rPr>
          <w:sz w:val="22"/>
          <w:szCs w:val="22"/>
          <w:rFonts w:ascii="Arial" w:cs="Arial" w:eastAsia="Arial" w:hAnsi="Arial"/>
        </w:rPr>
        <w:t xml:space="preserve">This separation is required because comments and @mentions embedded in shared documents are discoverable in litigation and may be deemed a waiver of privilege if they contain substantive legal advice. The Department shall include this guidance in its quarterly training for Asset Management (see Section 13).</w:t>
      </w:r>
    </w:p>
    <w:p>
      <w:pPr>
        <w:pStyle w:val="Heading2"/>
        <w:spacing w:before="200" w:after="120"/>
      </w:pPr>
      <w:r>
        <w:rPr>
          <w:b/>
          <w:bCs/>
          <w:sz w:val="28"/>
          <w:szCs w:val="28"/>
          <w:rFonts w:ascii="Arial" w:cs="Arial" w:eastAsia="Arial" w:hAnsi="Arial"/>
        </w:rPr>
        <w:t xml:space="preserve">Section 6.G. Continuous Improvement of Lease Documentation</w:t>
      </w:r>
    </w:p>
    <w:p>
      <w:pPr>
        <w:spacing w:before="80" w:after="120"/>
      </w:pPr>
      <w:r>
        <w:rPr>
          <w:sz w:val="22"/>
          <w:szCs w:val="22"/>
          <w:rFonts w:ascii="Arial" w:cs="Arial" w:eastAsia="Arial" w:hAnsi="Arial"/>
        </w:rPr>
        <w:t xml:space="preserve">The Legal Department periodically reviews leasing activity to identify opportunities to improve the Company's standard lease forms and negotiation practices.</w:t>
      </w:r>
    </w:p>
    <w:p>
      <w:pPr>
        <w:spacing w:before="80" w:after="120"/>
      </w:pPr>
      <w:r>
        <w:rPr>
          <w:sz w:val="22"/>
          <w:szCs w:val="22"/>
          <w:rFonts w:ascii="Arial" w:cs="Arial" w:eastAsia="Arial" w:hAnsi="Arial"/>
        </w:rPr>
        <w:t xml:space="preserve">Areas of review may include:</w:t>
      </w:r>
    </w:p>
    <w:p>
      <w:pPr>
        <w:pStyle w:val="ListParagraph"/>
        <w:numPr>
          <w:ilvl w:val="0"/>
          <w:numId w:val="4"/>
        </w:numPr>
        <w:spacing w:before="40" w:after="40"/>
      </w:pPr>
      <w:r>
        <w:rPr>
          <w:sz w:val="22"/>
          <w:szCs w:val="22"/>
          <w:rFonts w:ascii="Arial" w:cs="Arial" w:eastAsia="Arial" w:hAnsi="Arial"/>
        </w:rPr>
        <w:t xml:space="preserve">Frequently negotiated provisions</w:t>
      </w:r>
    </w:p>
    <w:p>
      <w:pPr>
        <w:pStyle w:val="ListParagraph"/>
        <w:numPr>
          <w:ilvl w:val="0"/>
          <w:numId w:val="4"/>
        </w:numPr>
        <w:spacing w:before="40" w:after="40"/>
      </w:pPr>
      <w:r>
        <w:rPr>
          <w:sz w:val="22"/>
          <w:szCs w:val="22"/>
          <w:rFonts w:ascii="Arial" w:cs="Arial" w:eastAsia="Arial" w:hAnsi="Arial"/>
        </w:rPr>
        <w:t xml:space="preserve">Recurring tenant concerns</w:t>
      </w:r>
    </w:p>
    <w:p>
      <w:pPr>
        <w:pStyle w:val="ListParagraph"/>
        <w:numPr>
          <w:ilvl w:val="0"/>
          <w:numId w:val="4"/>
        </w:numPr>
        <w:spacing w:before="40" w:after="40"/>
      </w:pPr>
      <w:r>
        <w:rPr>
          <w:sz w:val="22"/>
          <w:szCs w:val="22"/>
          <w:rFonts w:ascii="Arial" w:cs="Arial" w:eastAsia="Arial" w:hAnsi="Arial"/>
        </w:rPr>
        <w:t xml:space="preserve">Legal developments affecting lease provisions</w:t>
      </w:r>
    </w:p>
    <w:p>
      <w:pPr>
        <w:pStyle w:val="ListParagraph"/>
        <w:numPr>
          <w:ilvl w:val="0"/>
          <w:numId w:val="4"/>
        </w:numPr>
        <w:spacing w:before="40" w:after="40"/>
      </w:pPr>
      <w:r>
        <w:rPr>
          <w:sz w:val="22"/>
          <w:szCs w:val="22"/>
          <w:rFonts w:ascii="Arial" w:cs="Arial" w:eastAsia="Arial" w:hAnsi="Arial"/>
        </w:rPr>
        <w:t xml:space="preserve">Operational feedback from Asset Management</w:t>
      </w:r>
    </w:p>
    <w:p>
      <w:pPr>
        <w:spacing w:before="80" w:after="120"/>
      </w:pPr>
      <w:r>
        <w:rPr>
          <w:sz w:val="22"/>
          <w:szCs w:val="22"/>
          <w:rFonts w:ascii="Arial" w:cs="Arial" w:eastAsia="Arial" w:hAnsi="Arial"/>
        </w:rPr>
        <w:t xml:space="preserve">These reviews help ensure that the Company's leasing documentation evolves to reflect market conditions, operational needs, and risk management priorities.</w:t>
      </w:r>
    </w:p>
    <w:p>
      <w:r>
        <w:br w:type="page"/>
      </w:r>
    </w:p>
    <w:p>
      <w:pPr>
        <w:pStyle w:val="Heading1"/>
        <w:spacing w:before="240" w:after="200"/>
      </w:pPr>
      <w:r>
        <w:rPr>
          <w:b/>
          <w:bCs/>
          <w:sz w:val="32"/>
          <w:szCs w:val="32"/>
          <w:rFonts w:ascii="Arial" w:cs="Arial" w:eastAsia="Arial" w:hAnsi="Arial"/>
        </w:rPr>
        <w:t xml:space="preserve">SECTION 7. LITIGATION &amp; OUTSIDE COUNSEL MANAGEMENT</w:t>
      </w:r>
    </w:p>
    <w:p>
      <w:pPr>
        <w:spacing w:before="80" w:after="120"/>
      </w:pPr>
      <w:r>
        <w:rPr>
          <w:sz w:val="22"/>
          <w:szCs w:val="22"/>
          <w:rFonts w:ascii="Arial" w:cs="Arial" w:eastAsia="Arial" w:hAnsi="Arial"/>
        </w:rPr>
        <w:t xml:space="preserve">The Legal Department is responsible for overseeing all litigation and dispute-related matters involving the Company. This includes managing legal risk, coordinating with outside counsel, controlling legal expenses, and ensuring that litigation strategy aligns with the Company's business objectives.</w:t>
      </w:r>
    </w:p>
    <w:p>
      <w:pPr>
        <w:spacing w:before="80" w:after="120"/>
      </w:pPr>
      <w:r>
        <w:rPr>
          <w:sz w:val="22"/>
          <w:szCs w:val="22"/>
          <w:rFonts w:ascii="Arial" w:cs="Arial" w:eastAsia="Arial" w:hAnsi="Arial"/>
        </w:rPr>
        <w:t xml:space="preserve">The procedures set forth in this section are designed to:</w:t>
      </w:r>
    </w:p>
    <w:p>
      <w:pPr>
        <w:pStyle w:val="ListParagraph"/>
        <w:numPr>
          <w:ilvl w:val="0"/>
          <w:numId w:val="4"/>
        </w:numPr>
        <w:spacing w:before="40" w:after="40"/>
      </w:pPr>
      <w:r>
        <w:rPr>
          <w:sz w:val="22"/>
          <w:szCs w:val="22"/>
          <w:rFonts w:ascii="Arial" w:cs="Arial" w:eastAsia="Arial" w:hAnsi="Arial"/>
        </w:rPr>
        <w:t xml:space="preserve">Ensure consistent and centralized management of litigation</w:t>
      </w:r>
    </w:p>
    <w:p>
      <w:pPr>
        <w:pStyle w:val="ListParagraph"/>
        <w:numPr>
          <w:ilvl w:val="0"/>
          <w:numId w:val="4"/>
        </w:numPr>
        <w:spacing w:before="40" w:after="40"/>
      </w:pPr>
      <w:r>
        <w:rPr>
          <w:sz w:val="22"/>
          <w:szCs w:val="22"/>
          <w:rFonts w:ascii="Arial" w:cs="Arial" w:eastAsia="Arial" w:hAnsi="Arial"/>
        </w:rPr>
        <w:t xml:space="preserve">Maintain visibility into legal exposure across the portfolio</w:t>
      </w:r>
    </w:p>
    <w:p>
      <w:pPr>
        <w:pStyle w:val="ListParagraph"/>
        <w:numPr>
          <w:ilvl w:val="0"/>
          <w:numId w:val="4"/>
        </w:numPr>
        <w:spacing w:before="40" w:after="40"/>
      </w:pPr>
      <w:r>
        <w:rPr>
          <w:sz w:val="22"/>
          <w:szCs w:val="22"/>
          <w:rFonts w:ascii="Arial" w:cs="Arial" w:eastAsia="Arial" w:hAnsi="Arial"/>
        </w:rPr>
        <w:t xml:space="preserve">Promote cost-effective use of outside counsel</w:t>
      </w:r>
    </w:p>
    <w:p>
      <w:pPr>
        <w:pStyle w:val="ListParagraph"/>
        <w:numPr>
          <w:ilvl w:val="0"/>
          <w:numId w:val="4"/>
        </w:numPr>
        <w:spacing w:before="40" w:after="40"/>
      </w:pPr>
      <w:r>
        <w:rPr>
          <w:sz w:val="22"/>
          <w:szCs w:val="22"/>
          <w:rFonts w:ascii="Arial" w:cs="Arial" w:eastAsia="Arial" w:hAnsi="Arial"/>
        </w:rPr>
        <w:t xml:space="preserve">Support timely and informed decision-making by executive leadership</w:t>
      </w:r>
    </w:p>
    <w:p>
      <w:pPr>
        <w:pStyle w:val="Heading2"/>
        <w:spacing w:before="200" w:after="120"/>
      </w:pPr>
      <w:r>
        <w:rPr>
          <w:b/>
          <w:bCs/>
          <w:sz w:val="28"/>
          <w:szCs w:val="28"/>
          <w:rFonts w:ascii="Arial" w:cs="Arial" w:eastAsia="Arial" w:hAnsi="Arial"/>
        </w:rPr>
        <w:t xml:space="preserve">Section 7.A. Litigation Intake and Tracking</w:t>
      </w:r>
    </w:p>
    <w:p>
      <w:pPr>
        <w:spacing w:before="80" w:after="120"/>
      </w:pPr>
      <w:r>
        <w:rPr>
          <w:sz w:val="22"/>
          <w:szCs w:val="22"/>
          <w:rFonts w:ascii="Arial" w:cs="Arial" w:eastAsia="Arial" w:hAnsi="Arial"/>
        </w:rPr>
        <w:t xml:space="preserve">All litigation and dispute matters must be logged in the Legal Risk Tracker immediately upon receipt of a demand, complaint, or notice of claim. The Department will assign each matter a unique identifier and designate a responsible attorney or legal professional.</w:t>
      </w:r>
    </w:p>
    <w:p>
      <w:pPr>
        <w:spacing w:before="80" w:after="120"/>
      </w:pPr>
      <w:r>
        <w:rPr>
          <w:sz w:val="22"/>
          <w:szCs w:val="22"/>
          <w:rFonts w:ascii="Arial" w:cs="Arial" w:eastAsia="Arial" w:hAnsi="Arial"/>
        </w:rPr>
        <w:t xml:space="preserve">For each matter, the following information must be documented:</w:t>
      </w:r>
    </w:p>
    <w:p>
      <w:pPr>
        <w:pStyle w:val="ListParagraph"/>
        <w:numPr>
          <w:ilvl w:val="0"/>
          <w:numId w:val="4"/>
        </w:numPr>
        <w:spacing w:before="40" w:after="40"/>
      </w:pPr>
      <w:r>
        <w:rPr>
          <w:sz w:val="22"/>
          <w:szCs w:val="22"/>
          <w:rFonts w:ascii="Arial" w:cs="Arial" w:eastAsia="Arial" w:hAnsi="Arial"/>
        </w:rPr>
        <w:t xml:space="preserve">Parties involved</w:t>
      </w:r>
    </w:p>
    <w:p>
      <w:pPr>
        <w:pStyle w:val="ListParagraph"/>
        <w:numPr>
          <w:ilvl w:val="0"/>
          <w:numId w:val="4"/>
        </w:numPr>
        <w:spacing w:before="40" w:after="40"/>
      </w:pPr>
      <w:r>
        <w:rPr>
          <w:sz w:val="22"/>
          <w:szCs w:val="22"/>
          <w:rFonts w:ascii="Arial" w:cs="Arial" w:eastAsia="Arial" w:hAnsi="Arial"/>
        </w:rPr>
        <w:t xml:space="preserve">Nature of the claim or dispute</w:t>
      </w:r>
    </w:p>
    <w:p>
      <w:pPr>
        <w:pStyle w:val="ListParagraph"/>
        <w:numPr>
          <w:ilvl w:val="0"/>
          <w:numId w:val="4"/>
        </w:numPr>
        <w:spacing w:before="40" w:after="40"/>
      </w:pPr>
      <w:r>
        <w:rPr>
          <w:sz w:val="22"/>
          <w:szCs w:val="22"/>
          <w:rFonts w:ascii="Arial" w:cs="Arial" w:eastAsia="Arial" w:hAnsi="Arial"/>
        </w:rPr>
        <w:t xml:space="preserve">Property or entity affected</w:t>
      </w:r>
    </w:p>
    <w:p>
      <w:pPr>
        <w:pStyle w:val="ListParagraph"/>
        <w:numPr>
          <w:ilvl w:val="0"/>
          <w:numId w:val="4"/>
        </w:numPr>
        <w:spacing w:before="40" w:after="40"/>
      </w:pPr>
      <w:r>
        <w:rPr>
          <w:sz w:val="22"/>
          <w:szCs w:val="22"/>
          <w:rFonts w:ascii="Arial" w:cs="Arial" w:eastAsia="Arial" w:hAnsi="Arial"/>
        </w:rPr>
        <w:t xml:space="preserve">Date received and key deadlines</w:t>
      </w:r>
    </w:p>
    <w:p>
      <w:pPr>
        <w:pStyle w:val="ListParagraph"/>
        <w:numPr>
          <w:ilvl w:val="0"/>
          <w:numId w:val="4"/>
        </w:numPr>
        <w:spacing w:before="40" w:after="40"/>
      </w:pPr>
      <w:r>
        <w:rPr>
          <w:sz w:val="22"/>
          <w:szCs w:val="22"/>
          <w:rFonts w:ascii="Arial" w:cs="Arial" w:eastAsia="Arial" w:hAnsi="Arial"/>
        </w:rPr>
        <w:t xml:space="preserve">Assigned outside counsel (if applicable)</w:t>
      </w:r>
    </w:p>
    <w:p>
      <w:pPr>
        <w:pStyle w:val="ListParagraph"/>
        <w:numPr>
          <w:ilvl w:val="0"/>
          <w:numId w:val="4"/>
        </w:numPr>
        <w:spacing w:before="40" w:after="40"/>
      </w:pPr>
      <w:r>
        <w:rPr>
          <w:sz w:val="22"/>
          <w:szCs w:val="22"/>
          <w:rFonts w:ascii="Arial" w:cs="Arial" w:eastAsia="Arial" w:hAnsi="Arial"/>
        </w:rPr>
        <w:t xml:space="preserve">Estimated financial exposure</w:t>
      </w:r>
    </w:p>
    <w:p>
      <w:pPr>
        <w:pStyle w:val="ListParagraph"/>
        <w:numPr>
          <w:ilvl w:val="0"/>
          <w:numId w:val="4"/>
        </w:numPr>
        <w:spacing w:before="40" w:after="40"/>
      </w:pPr>
      <w:r>
        <w:rPr>
          <w:sz w:val="22"/>
          <w:szCs w:val="22"/>
          <w:rFonts w:ascii="Arial" w:cs="Arial" w:eastAsia="Arial" w:hAnsi="Arial"/>
        </w:rPr>
        <w:t xml:space="preserve">Litigation strategy and settlement posture</w:t>
      </w:r>
    </w:p>
    <w:p>
      <w:pPr>
        <w:pStyle w:val="Heading2"/>
        <w:spacing w:before="200" w:after="120"/>
      </w:pPr>
      <w:r>
        <w:rPr>
          <w:b/>
          <w:bCs/>
          <w:sz w:val="28"/>
          <w:szCs w:val="28"/>
          <w:rFonts w:ascii="Arial" w:cs="Arial" w:eastAsia="Arial" w:hAnsi="Arial"/>
        </w:rPr>
        <w:t xml:space="preserve">Section 7.B. Outside Counsel Selection and Engagement</w:t>
      </w:r>
    </w:p>
    <w:p>
      <w:pPr>
        <w:spacing w:before="80" w:after="120"/>
      </w:pPr>
      <w:r>
        <w:rPr>
          <w:sz w:val="22"/>
          <w:szCs w:val="22"/>
          <w:rFonts w:ascii="Arial" w:cs="Arial" w:eastAsia="Arial" w:hAnsi="Arial"/>
        </w:rPr>
        <w:t xml:space="preserve">The Department maintains a panel of approved outside counsel firms, selected based on relevant expertise, jurisdictional coverage, responsiveness, and cost efficiency. All outside counsel engagements must be initiated by the Department.</w:t>
      </w:r>
    </w:p>
    <w:p>
      <w:pPr>
        <w:spacing w:before="80" w:after="120"/>
      </w:pPr>
      <w:r>
        <w:rPr>
          <w:sz w:val="22"/>
          <w:szCs w:val="22"/>
          <w:rFonts w:ascii="Arial" w:cs="Arial" w:eastAsia="Arial" w:hAnsi="Arial"/>
        </w:rPr>
        <w:t xml:space="preserve">Prior to engagement, the Department will:</w:t>
      </w:r>
    </w:p>
    <w:p>
      <w:pPr>
        <w:pStyle w:val="ListParagraph"/>
        <w:numPr>
          <w:ilvl w:val="0"/>
          <w:numId w:val="5"/>
        </w:numPr>
        <w:spacing w:before="40" w:after="40"/>
      </w:pPr>
      <w:r>
        <w:rPr>
          <w:sz w:val="22"/>
          <w:szCs w:val="22"/>
          <w:rFonts w:ascii="Arial" w:cs="Arial" w:eastAsia="Arial" w:hAnsi="Arial"/>
        </w:rPr>
        <w:t xml:space="preserve">Define the scope of work and expected deliverables</w:t>
      </w:r>
    </w:p>
    <w:p>
      <w:pPr>
        <w:pStyle w:val="ListParagraph"/>
        <w:numPr>
          <w:ilvl w:val="0"/>
          <w:numId w:val="5"/>
        </w:numPr>
        <w:spacing w:before="40" w:after="40"/>
      </w:pPr>
      <w:r>
        <w:rPr>
          <w:sz w:val="22"/>
          <w:szCs w:val="22"/>
          <w:rFonts w:ascii="Arial" w:cs="Arial" w:eastAsia="Arial" w:hAnsi="Arial"/>
        </w:rPr>
        <w:t xml:space="preserve">Confirm applicable billing rates and rate caps (see Attachment C: Outside Counsel Billing Guidelines)</w:t>
      </w:r>
    </w:p>
    <w:p>
      <w:pPr>
        <w:pStyle w:val="ListParagraph"/>
        <w:numPr>
          <w:ilvl w:val="0"/>
          <w:numId w:val="5"/>
        </w:numPr>
        <w:spacing w:before="40" w:after="40"/>
      </w:pPr>
      <w:r>
        <w:rPr>
          <w:sz w:val="22"/>
          <w:szCs w:val="22"/>
          <w:rFonts w:ascii="Arial" w:cs="Arial" w:eastAsia="Arial" w:hAnsi="Arial"/>
        </w:rPr>
        <w:t xml:space="preserve">Establish a matter budget and obtain required approvals for engagements exceeding established thresholds (see Attachment A: Delegation of Authority Matrix)</w:t>
      </w:r>
    </w:p>
    <w:p>
      <w:pPr>
        <w:pStyle w:val="ListParagraph"/>
        <w:numPr>
          <w:ilvl w:val="0"/>
          <w:numId w:val="5"/>
        </w:numPr>
        <w:spacing w:before="40" w:after="40"/>
      </w:pPr>
      <w:r>
        <w:rPr>
          <w:sz w:val="22"/>
          <w:szCs w:val="22"/>
          <w:rFonts w:ascii="Arial" w:cs="Arial" w:eastAsia="Arial" w:hAnsi="Arial"/>
        </w:rPr>
        <w:t xml:space="preserve">Issue a written engagement letter specifying terms, staffing expectations, and reporting requirements</w:t>
      </w:r>
    </w:p>
    <w:p>
      <w:pPr>
        <w:pStyle w:val="Heading2"/>
        <w:spacing w:before="200" w:after="120"/>
      </w:pPr>
      <w:r>
        <w:rPr>
          <w:b/>
          <w:bCs/>
          <w:sz w:val="28"/>
          <w:szCs w:val="28"/>
          <w:rFonts w:ascii="Arial" w:cs="Arial" w:eastAsia="Arial" w:hAnsi="Arial"/>
        </w:rPr>
        <w:t xml:space="preserve">Section 7.C. Litigation Budget and Spend Management</w:t>
      </w:r>
    </w:p>
    <w:p>
      <w:pPr>
        <w:spacing w:before="80" w:after="120"/>
      </w:pPr>
      <w:r>
        <w:rPr>
          <w:sz w:val="22"/>
          <w:szCs w:val="22"/>
          <w:rFonts w:ascii="Arial" w:cs="Arial" w:eastAsia="Arial" w:hAnsi="Arial"/>
        </w:rPr>
        <w:t xml:space="preserve">Outside counsel must submit matter budgets at the outset of each engagement. The Department monitors actual spend against budgets on a monthly basis.</w:t>
      </w:r>
    </w:p>
    <w:p>
      <w:pPr>
        <w:spacing w:before="80" w:after="120"/>
      </w:pPr>
      <w:r>
        <w:rPr>
          <w:sz w:val="22"/>
          <w:szCs w:val="22"/>
          <w:rFonts w:ascii="Arial" w:cs="Arial" w:eastAsia="Arial" w:hAnsi="Arial"/>
        </w:rPr>
        <w:t xml:space="preserve">Budget oversight procedures include:</w:t>
      </w:r>
    </w:p>
    <w:p>
      <w:pPr>
        <w:pStyle w:val="ListParagraph"/>
        <w:numPr>
          <w:ilvl w:val="0"/>
          <w:numId w:val="4"/>
        </w:numPr>
        <w:spacing w:before="40" w:after="40"/>
      </w:pPr>
      <w:r>
        <w:rPr>
          <w:sz w:val="22"/>
          <w:szCs w:val="22"/>
          <w:rFonts w:ascii="Arial" w:cs="Arial" w:eastAsia="Arial" w:hAnsi="Arial"/>
        </w:rPr>
        <w:t xml:space="preserve">Monthly invoice review and approval by the responsible Department attorney</w:t>
      </w:r>
    </w:p>
    <w:p>
      <w:pPr>
        <w:pStyle w:val="ListParagraph"/>
        <w:numPr>
          <w:ilvl w:val="0"/>
          <w:numId w:val="4"/>
        </w:numPr>
        <w:spacing w:before="40" w:after="40"/>
      </w:pPr>
      <w:r>
        <w:rPr>
          <w:sz w:val="22"/>
          <w:szCs w:val="22"/>
          <w:rFonts w:ascii="Arial" w:cs="Arial" w:eastAsia="Arial" w:hAnsi="Arial"/>
        </w:rPr>
        <w:t xml:space="preserve">Comparison of actual spend to approved budget with variance analysis</w:t>
      </w:r>
    </w:p>
    <w:p>
      <w:pPr>
        <w:pStyle w:val="ListParagraph"/>
        <w:numPr>
          <w:ilvl w:val="0"/>
          <w:numId w:val="4"/>
        </w:numPr>
        <w:spacing w:before="40" w:after="40"/>
      </w:pPr>
      <w:r>
        <w:rPr>
          <w:sz w:val="22"/>
          <w:szCs w:val="22"/>
          <w:rFonts w:ascii="Arial" w:cs="Arial" w:eastAsia="Arial" w:hAnsi="Arial"/>
        </w:rPr>
        <w:t xml:space="preserve">Quarterly reporting of aggregate legal spend to the CFO</w:t>
      </w:r>
    </w:p>
    <w:p>
      <w:pPr>
        <w:pStyle w:val="ListParagraph"/>
        <w:numPr>
          <w:ilvl w:val="0"/>
          <w:numId w:val="4"/>
        </w:numPr>
        <w:spacing w:before="40" w:after="40"/>
      </w:pPr>
      <w:r>
        <w:rPr>
          <w:sz w:val="22"/>
          <w:szCs w:val="22"/>
          <w:rFonts w:ascii="Arial" w:cs="Arial" w:eastAsia="Arial" w:hAnsi="Arial"/>
        </w:rPr>
        <w:t xml:space="preserve">Pre-approval required for expenditures exceeding the original matter budget by more than 15%</w:t>
      </w:r>
    </w:p>
    <w:p>
      <w:pPr>
        <w:pStyle w:val="Heading2"/>
        <w:spacing w:before="200" w:after="120"/>
      </w:pPr>
      <w:r>
        <w:rPr>
          <w:b/>
          <w:bCs/>
          <w:sz w:val="28"/>
          <w:szCs w:val="28"/>
          <w:rFonts w:ascii="Arial" w:cs="Arial" w:eastAsia="Arial" w:hAnsi="Arial"/>
        </w:rPr>
        <w:t xml:space="preserve">Section 7.D. Litigation Strategy and Settlement Authority</w:t>
      </w:r>
    </w:p>
    <w:p>
      <w:pPr>
        <w:spacing w:before="80" w:after="120"/>
      </w:pPr>
      <w:r>
        <w:rPr>
          <w:sz w:val="22"/>
          <w:szCs w:val="22"/>
          <w:rFonts w:ascii="Arial" w:cs="Arial" w:eastAsia="Arial" w:hAnsi="Arial"/>
        </w:rPr>
        <w:t xml:space="preserve">The Department develops litigation strategy in consultation with executive leadership. Settlement authority is governed by the Delegation of Authority Matrix (Attachment A). All settlement proposals must be documented in writing and include an analysis of the financial and strategic implications of the proposed resolution.</w:t>
      </w:r>
    </w:p>
    <w:p>
      <w:pPr>
        <w:pStyle w:val="Heading2"/>
        <w:spacing w:before="200" w:after="120"/>
      </w:pPr>
      <w:r>
        <w:rPr>
          <w:b/>
          <w:bCs/>
          <w:sz w:val="28"/>
          <w:szCs w:val="28"/>
          <w:rFonts w:ascii="Arial" w:cs="Arial" w:eastAsia="Arial" w:hAnsi="Arial"/>
        </w:rPr>
        <w:t xml:space="preserve">Section 7.E. Litigation Reporting</w:t>
      </w:r>
    </w:p>
    <w:p>
      <w:pPr>
        <w:spacing w:before="80" w:after="120"/>
      </w:pPr>
      <w:r>
        <w:rPr>
          <w:sz w:val="22"/>
          <w:szCs w:val="22"/>
          <w:rFonts w:ascii="Arial" w:cs="Arial" w:eastAsia="Arial" w:hAnsi="Arial"/>
        </w:rPr>
        <w:t xml:space="preserve">The Department provides periodic litigation updates to executive leadership, including:</w:t>
      </w:r>
    </w:p>
    <w:p>
      <w:pPr>
        <w:pStyle w:val="ListParagraph"/>
        <w:numPr>
          <w:ilvl w:val="0"/>
          <w:numId w:val="4"/>
        </w:numPr>
        <w:spacing w:before="40" w:after="40"/>
      </w:pPr>
      <w:r>
        <w:rPr>
          <w:sz w:val="22"/>
          <w:szCs w:val="22"/>
          <w:rFonts w:ascii="Arial" w:cs="Arial" w:eastAsia="Arial" w:hAnsi="Arial"/>
        </w:rPr>
        <w:t xml:space="preserve">Status of all active matters</w:t>
      </w:r>
    </w:p>
    <w:p>
      <w:pPr>
        <w:pStyle w:val="ListParagraph"/>
        <w:numPr>
          <w:ilvl w:val="0"/>
          <w:numId w:val="4"/>
        </w:numPr>
        <w:spacing w:before="40" w:after="40"/>
      </w:pPr>
      <w:r>
        <w:rPr>
          <w:sz w:val="22"/>
          <w:szCs w:val="22"/>
          <w:rFonts w:ascii="Arial" w:cs="Arial" w:eastAsia="Arial" w:hAnsi="Arial"/>
        </w:rPr>
        <w:t xml:space="preserve">Changes in estimated exposure</w:t>
      </w:r>
    </w:p>
    <w:p>
      <w:pPr>
        <w:pStyle w:val="ListParagraph"/>
        <w:numPr>
          <w:ilvl w:val="0"/>
          <w:numId w:val="4"/>
        </w:numPr>
        <w:spacing w:before="40" w:after="40"/>
      </w:pPr>
      <w:r>
        <w:rPr>
          <w:sz w:val="22"/>
          <w:szCs w:val="22"/>
          <w:rFonts w:ascii="Arial" w:cs="Arial" w:eastAsia="Arial" w:hAnsi="Arial"/>
        </w:rPr>
        <w:t xml:space="preserve">Key developments and upcoming deadlines</w:t>
      </w:r>
    </w:p>
    <w:p>
      <w:pPr>
        <w:pStyle w:val="ListParagraph"/>
        <w:numPr>
          <w:ilvl w:val="0"/>
          <w:numId w:val="4"/>
        </w:numPr>
        <w:spacing w:before="40" w:after="40"/>
      </w:pPr>
      <w:r>
        <w:rPr>
          <w:sz w:val="22"/>
          <w:szCs w:val="22"/>
          <w:rFonts w:ascii="Arial" w:cs="Arial" w:eastAsia="Arial" w:hAnsi="Arial"/>
        </w:rPr>
        <w:t xml:space="preserve">Budget vs. actual spend analysis</w:t>
      </w:r>
    </w:p>
    <w:p>
      <w:pPr>
        <w:pStyle w:val="ListParagraph"/>
        <w:numPr>
          <w:ilvl w:val="0"/>
          <w:numId w:val="4"/>
        </w:numPr>
        <w:spacing w:before="40" w:after="40"/>
      </w:pPr>
      <w:r>
        <w:rPr>
          <w:sz w:val="22"/>
          <w:szCs w:val="22"/>
          <w:rFonts w:ascii="Arial" w:cs="Arial" w:eastAsia="Arial" w:hAnsi="Arial"/>
        </w:rPr>
        <w:t xml:space="preserve">Recommended actions or strategic decisions required</w:t>
      </w:r>
    </w:p>
    <w:p>
      <w:pPr>
        <w:spacing w:before="80" w:after="120"/>
      </w:pPr>
      <w:r>
        <w:rPr>
          <w:sz w:val="22"/>
          <w:szCs w:val="22"/>
          <w:rFonts w:ascii="Arial" w:cs="Arial" w:eastAsia="Arial" w:hAnsi="Arial"/>
        </w:rPr>
        <w:t xml:space="preserve">Litigation reporting is integrated with the Legal Risk Tracker and the Legal Risk Dashboard (see Section 12 and Attachment B).</w:t>
      </w:r>
    </w:p>
    <w:p>
      <w:pPr>
        <w:pStyle w:val="Heading2"/>
        <w:spacing w:before="200" w:after="120"/>
      </w:pPr>
      <w:r>
        <w:rPr>
          <w:b/>
          <w:bCs/>
          <w:sz w:val="28"/>
          <w:szCs w:val="28"/>
          <w:rFonts w:ascii="Arial" w:cs="Arial" w:eastAsia="Arial" w:hAnsi="Arial"/>
        </w:rPr>
        <w:t xml:space="preserve">Section 7.F. Post-Litigation Review</w:t>
      </w:r>
    </w:p>
    <w:p>
      <w:pPr>
        <w:spacing w:before="80" w:after="120"/>
      </w:pPr>
      <w:r>
        <w:rPr>
          <w:sz w:val="22"/>
          <w:szCs w:val="22"/>
          <w:rFonts w:ascii="Arial" w:cs="Arial" w:eastAsia="Arial" w:hAnsi="Arial"/>
        </w:rPr>
        <w:t xml:space="preserve">Upon resolution of significant matters, the Department conducts a post-litigation review to identify lessons learned and opportunities for process improvement. This review may include evaluation of outside counsel performance, assessment of litigation outcomes relative to initial exposure estimates, and identification of recurring issues that may warrant changes to lease forms, operational procedures, or risk management practices.</w:t>
      </w:r>
    </w:p>
    <w:p>
      <w:r>
        <w:br w:type="page"/>
      </w:r>
    </w:p>
    <w:p>
      <w:pPr>
        <w:pStyle w:val="Heading1"/>
        <w:spacing w:before="240" w:after="200"/>
      </w:pPr>
      <w:r>
        <w:rPr>
          <w:b/>
          <w:bCs/>
          <w:sz w:val="32"/>
          <w:szCs w:val="32"/>
          <w:rFonts w:ascii="Arial" w:cs="Arial" w:eastAsia="Arial" w:hAnsi="Arial"/>
        </w:rPr>
        <w:t xml:space="preserve">SECTION 8. CORPORATE GOVERNANCE &amp; ENTITY MANAGEMENT</w:t>
      </w:r>
    </w:p>
    <w:p>
      <w:pPr>
        <w:spacing w:before="80" w:after="120"/>
      </w:pPr>
      <w:r>
        <w:rPr>
          <w:sz w:val="22"/>
          <w:szCs w:val="22"/>
          <w:rFonts w:ascii="Arial" w:cs="Arial" w:eastAsia="Arial" w:hAnsi="Arial"/>
        </w:rPr>
        <w:t xml:space="preserve">The Legal Department is responsible for overseeing the Company's corporate governance framework, maintaining accurate and complete records for all legal entities within the Company's organizational structure, ensuring continuous compliance with the Internal Revenue Code ("IRC") requirements for real estate investment trust ("REIT") qualification under IRC Sections 856 through 860, and coordinating with Finance and external advisors on all SEC reporting obligations. These procedures are designed to satisfy the governance, compliance, and reporting standards expected by the Company's credit facility lenders, joint venture partners, and regulatory authorities.</w:t>
      </w:r>
    </w:p>
    <w:p>
      <w:pPr>
        <w:spacing w:before="80" w:after="120"/>
      </w:pPr>
      <w:r>
        <w:rPr>
          <w:sz w:val="22"/>
          <w:szCs w:val="22"/>
          <w:rFonts w:ascii="Arial" w:cs="Arial" w:eastAsia="Arial" w:hAnsi="Arial"/>
        </w:rPr>
        <w:t xml:space="preserve">These procedures are intended to:</w:t>
      </w:r>
    </w:p>
    <w:p>
      <w:pPr>
        <w:pStyle w:val="ListParagraph"/>
        <w:numPr>
          <w:ilvl w:val="0"/>
          <w:numId w:val="4"/>
        </w:numPr>
        <w:spacing w:before="40" w:after="40"/>
      </w:pPr>
      <w:r>
        <w:rPr>
          <w:sz w:val="22"/>
          <w:szCs w:val="22"/>
          <w:rFonts w:ascii="Arial" w:cs="Arial" w:eastAsia="Arial" w:hAnsi="Arial"/>
        </w:rPr>
        <w:t xml:space="preserve">Ensure continuous compliance with REIT qualification requirements under IRC Sections 856-860</w:t>
      </w:r>
    </w:p>
    <w:p>
      <w:pPr>
        <w:pStyle w:val="ListParagraph"/>
        <w:numPr>
          <w:ilvl w:val="0"/>
          <w:numId w:val="4"/>
        </w:numPr>
        <w:spacing w:before="40" w:after="40"/>
      </w:pPr>
      <w:r>
        <w:rPr>
          <w:sz w:val="22"/>
          <w:szCs w:val="22"/>
          <w:rFonts w:ascii="Arial" w:cs="Arial" w:eastAsia="Arial" w:hAnsi="Arial"/>
        </w:rPr>
        <w:t xml:space="preserve">Maintain accurate records of entity structure, authority, and ownership across all jurisdictions</w:t>
      </w:r>
    </w:p>
    <w:p>
      <w:pPr>
        <w:pStyle w:val="ListParagraph"/>
        <w:numPr>
          <w:ilvl w:val="0"/>
          <w:numId w:val="4"/>
        </w:numPr>
        <w:spacing w:before="40" w:after="40"/>
      </w:pPr>
      <w:r>
        <w:rPr>
          <w:sz w:val="22"/>
          <w:szCs w:val="22"/>
          <w:rFonts w:ascii="Arial" w:cs="Arial" w:eastAsia="Arial" w:hAnsi="Arial"/>
        </w:rPr>
        <w:t xml:space="preserve">Support financing, transactional, and operational needs, including credit facility covenant compliance</w:t>
      </w:r>
    </w:p>
    <w:p>
      <w:pPr>
        <w:pStyle w:val="ListParagraph"/>
        <w:numPr>
          <w:ilvl w:val="0"/>
          <w:numId w:val="4"/>
        </w:numPr>
        <w:spacing w:before="40" w:after="40"/>
      </w:pPr>
      <w:r>
        <w:rPr>
          <w:sz w:val="22"/>
          <w:szCs w:val="22"/>
          <w:rFonts w:ascii="Arial" w:cs="Arial" w:eastAsia="Arial" w:hAnsi="Arial"/>
        </w:rPr>
        <w:t xml:space="preserve">Preserve institutional knowledge of the Company's legal structure</w:t>
      </w:r>
    </w:p>
    <w:p>
      <w:pPr>
        <w:pStyle w:val="ListParagraph"/>
        <w:numPr>
          <w:ilvl w:val="0"/>
          <w:numId w:val="4"/>
        </w:numPr>
        <w:spacing w:before="40" w:after="40"/>
      </w:pPr>
      <w:r>
        <w:rPr>
          <w:sz w:val="22"/>
          <w:szCs w:val="22"/>
          <w:rFonts w:ascii="Arial" w:cs="Arial" w:eastAsia="Arial" w:hAnsi="Arial"/>
        </w:rPr>
        <w:t xml:space="preserve">Coordinate with Finance on SEC periodic reporting obligations (Forms 10-K, 10-Q, and 8-K)</w:t>
      </w:r>
    </w:p>
    <w:p>
      <w:pPr>
        <w:pStyle w:val="ListParagraph"/>
        <w:numPr>
          <w:ilvl w:val="0"/>
          <w:numId w:val="4"/>
        </w:numPr>
        <w:spacing w:before="40" w:after="40"/>
      </w:pPr>
      <w:r>
        <w:rPr>
          <w:sz w:val="22"/>
          <w:szCs w:val="22"/>
          <w:rFonts w:ascii="Arial" w:cs="Arial" w:eastAsia="Arial" w:hAnsi="Arial"/>
        </w:rPr>
        <w:t xml:space="preserve">Provide a framework for internal reporting of compliance concerns, including whistleblower protections</w:t>
      </w:r>
    </w:p>
    <w:p>
      <w:pPr>
        <w:pStyle w:val="Heading2"/>
        <w:spacing w:before="200" w:after="120"/>
      </w:pPr>
      <w:r>
        <w:rPr>
          <w:b/>
          <w:bCs/>
          <w:sz w:val="28"/>
          <w:szCs w:val="28"/>
          <w:rFonts w:ascii="Arial" w:cs="Arial" w:eastAsia="Arial" w:hAnsi="Arial"/>
        </w:rPr>
        <w:t xml:space="preserve">Section 8.A. Entity Management</w:t>
      </w:r>
    </w:p>
    <w:p>
      <w:pPr>
        <w:spacing w:before="80" w:after="120"/>
      </w:pPr>
      <w:r>
        <w:rPr>
          <w:sz w:val="22"/>
          <w:szCs w:val="22"/>
          <w:rFonts w:ascii="Arial" w:cs="Arial" w:eastAsia="Arial" w:hAnsi="Arial"/>
        </w:rPr>
        <w:t xml:space="preserve">The Legal Department maintains a centralized record of all Company entities in the Company's dedicated entity management system ("Entity Management System"). The Entity Management System shall be a purpose-built platform (e.g., Diligent Entities, CSC Entity Management, or equivalent) designated as the single authoritative source for entity-related data. The Entity Management System must, at a minimum, capture and maintain current records for each entity, including:</w:t>
      </w:r>
    </w:p>
    <w:p>
      <w:pPr>
        <w:pStyle w:val="ListParagraph"/>
        <w:numPr>
          <w:ilvl w:val="0"/>
          <w:numId w:val="4"/>
        </w:numPr>
        <w:spacing w:before="40" w:after="40"/>
      </w:pPr>
      <w:r>
        <w:rPr>
          <w:sz w:val="22"/>
          <w:szCs w:val="22"/>
          <w:rFonts w:ascii="Arial" w:cs="Arial" w:eastAsia="Arial" w:hAnsi="Arial"/>
        </w:rPr>
        <w:t xml:space="preserve">Legal name and any d/b/a names</w:t>
      </w:r>
    </w:p>
    <w:p>
      <w:pPr>
        <w:pStyle w:val="ListParagraph"/>
        <w:numPr>
          <w:ilvl w:val="0"/>
          <w:numId w:val="4"/>
        </w:numPr>
        <w:spacing w:before="40" w:after="40"/>
      </w:pPr>
      <w:r>
        <w:rPr>
          <w:sz w:val="22"/>
          <w:szCs w:val="22"/>
          <w:rFonts w:ascii="Arial" w:cs="Arial" w:eastAsia="Arial" w:hAnsi="Arial"/>
        </w:rPr>
        <w:t xml:space="preserve">Jurisdiction of formation and date of formation</w:t>
      </w:r>
    </w:p>
    <w:p>
      <w:pPr>
        <w:pStyle w:val="ListParagraph"/>
        <w:numPr>
          <w:ilvl w:val="0"/>
          <w:numId w:val="4"/>
        </w:numPr>
        <w:spacing w:before="40" w:after="40"/>
      </w:pPr>
      <w:r>
        <w:rPr>
          <w:sz w:val="22"/>
          <w:szCs w:val="22"/>
          <w:rFonts w:ascii="Arial" w:cs="Arial" w:eastAsia="Arial" w:hAnsi="Arial"/>
        </w:rPr>
        <w:t xml:space="preserve">Entity type (LLC, LP, corporation, statutory trust, etc.)</w:t>
      </w:r>
    </w:p>
    <w:p>
      <w:pPr>
        <w:pStyle w:val="ListParagraph"/>
        <w:numPr>
          <w:ilvl w:val="0"/>
          <w:numId w:val="4"/>
        </w:numPr>
        <w:spacing w:before="40" w:after="40"/>
      </w:pPr>
      <w:r>
        <w:rPr>
          <w:sz w:val="22"/>
          <w:szCs w:val="22"/>
          <w:rFonts w:ascii="Arial" w:cs="Arial" w:eastAsia="Arial" w:hAnsi="Arial"/>
        </w:rPr>
        <w:t xml:space="preserve">Current registered agent and registered office address in each jurisdiction of formation and qualification</w:t>
      </w:r>
    </w:p>
    <w:p>
      <w:pPr>
        <w:pStyle w:val="ListParagraph"/>
        <w:numPr>
          <w:ilvl w:val="0"/>
          <w:numId w:val="4"/>
        </w:numPr>
        <w:spacing w:before="40" w:after="40"/>
      </w:pPr>
      <w:r>
        <w:rPr>
          <w:sz w:val="22"/>
          <w:szCs w:val="22"/>
          <w:rFonts w:ascii="Arial" w:cs="Arial" w:eastAsia="Arial" w:hAnsi="Arial"/>
        </w:rPr>
        <w:t xml:space="preserve">Good standing status in each jurisdiction of formation and qualification</w:t>
      </w:r>
    </w:p>
    <w:p>
      <w:pPr>
        <w:pStyle w:val="ListParagraph"/>
        <w:numPr>
          <w:ilvl w:val="0"/>
          <w:numId w:val="4"/>
        </w:numPr>
        <w:spacing w:before="40" w:after="40"/>
      </w:pPr>
      <w:r>
        <w:rPr>
          <w:sz w:val="22"/>
          <w:szCs w:val="22"/>
          <w:rFonts w:ascii="Arial" w:cs="Arial" w:eastAsia="Arial" w:hAnsi="Arial"/>
        </w:rPr>
        <w:t xml:space="preserve">Jurisdictions in which the entity is qualified to do business (foreign qualifications)</w:t>
      </w:r>
    </w:p>
    <w:p>
      <w:pPr>
        <w:pStyle w:val="ListParagraph"/>
        <w:numPr>
          <w:ilvl w:val="0"/>
          <w:numId w:val="4"/>
        </w:numPr>
        <w:spacing w:before="40" w:after="40"/>
      </w:pPr>
      <w:r>
        <w:rPr>
          <w:sz w:val="22"/>
          <w:szCs w:val="22"/>
          <w:rFonts w:ascii="Arial" w:cs="Arial" w:eastAsia="Arial" w:hAnsi="Arial"/>
        </w:rPr>
        <w:t xml:space="preserve">Current managers, officers, directors, or other governing persons, with effective dates</w:t>
      </w:r>
    </w:p>
    <w:p>
      <w:pPr>
        <w:pStyle w:val="ListParagraph"/>
        <w:numPr>
          <w:ilvl w:val="0"/>
          <w:numId w:val="4"/>
        </w:numPr>
        <w:spacing w:before="40" w:after="40"/>
      </w:pPr>
      <w:r>
        <w:rPr>
          <w:sz w:val="22"/>
          <w:szCs w:val="22"/>
          <w:rFonts w:ascii="Arial" w:cs="Arial" w:eastAsia="Arial" w:hAnsi="Arial"/>
        </w:rPr>
        <w:t xml:space="preserve">Ownership structure, including all equity holders, membership interests, partnership interests, or share ownership, with percentage interests</w:t>
      </w:r>
    </w:p>
    <w:p>
      <w:pPr>
        <w:pStyle w:val="ListParagraph"/>
        <w:numPr>
          <w:ilvl w:val="0"/>
          <w:numId w:val="4"/>
        </w:numPr>
        <w:spacing w:before="40" w:after="40"/>
      </w:pPr>
      <w:r>
        <w:rPr>
          <w:sz w:val="22"/>
          <w:szCs w:val="22"/>
          <w:rFonts w:ascii="Arial" w:cs="Arial" w:eastAsia="Arial" w:hAnsi="Arial"/>
        </w:rPr>
        <w:t xml:space="preserve">Governing documents (operating agreements, partnership agreements, bylaws, certificates of formation/incorporation, amendments) with version history</w:t>
      </w:r>
    </w:p>
    <w:p>
      <w:pPr>
        <w:pStyle w:val="ListParagraph"/>
        <w:numPr>
          <w:ilvl w:val="0"/>
          <w:numId w:val="4"/>
        </w:numPr>
        <w:spacing w:before="40" w:after="40"/>
      </w:pPr>
      <w:r>
        <w:rPr>
          <w:sz w:val="22"/>
          <w:szCs w:val="22"/>
          <w:rFonts w:ascii="Arial" w:cs="Arial" w:eastAsia="Arial" w:hAnsi="Arial"/>
        </w:rPr>
        <w:t xml:space="preserve">Taxpayer identification number (EIN)</w:t>
      </w:r>
    </w:p>
    <w:p>
      <w:pPr>
        <w:pStyle w:val="ListParagraph"/>
        <w:numPr>
          <w:ilvl w:val="0"/>
          <w:numId w:val="4"/>
        </w:numPr>
        <w:spacing w:before="40" w:after="40"/>
      </w:pPr>
      <w:r>
        <w:rPr>
          <w:sz w:val="22"/>
          <w:szCs w:val="22"/>
          <w:rFonts w:ascii="Arial" w:cs="Arial" w:eastAsia="Arial" w:hAnsi="Arial"/>
        </w:rPr>
        <w:t xml:space="preserve">Fiscal year end</w:t>
      </w:r>
    </w:p>
    <w:p>
      <w:pPr>
        <w:spacing w:before="80" w:after="120"/>
      </w:pPr>
      <w:r>
        <w:rPr>
          <w:sz w:val="22"/>
          <w:szCs w:val="22"/>
          <w:rFonts w:ascii="Arial" w:cs="Arial" w:eastAsia="Arial" w:hAnsi="Arial"/>
        </w:rPr>
        <w:t xml:space="preserve">The Legal Department conducts a comprehensive annual review of all entity records in the Entity Management System no later than the end of the first quarter of each calendar year. The annual review must confirm the accuracy of all data fields listed above and identify any entities that require dissolution, withdrawal, or restructuring. The results of the annual review are documented in a written memorandum from the GC to the CEO and CFO, identifying any discrepancies corrected and any recommended actions.</w:t>
      </w:r>
    </w:p>
    <w:p>
      <w:pPr>
        <w:pStyle w:val="Heading2"/>
        <w:spacing w:before="200" w:after="120"/>
      </w:pPr>
      <w:r>
        <w:rPr>
          <w:b/>
          <w:bCs/>
          <w:sz w:val="28"/>
          <w:szCs w:val="28"/>
          <w:rFonts w:ascii="Arial" w:cs="Arial" w:eastAsia="Arial" w:hAnsi="Arial"/>
        </w:rPr>
        <w:t xml:space="preserve">Section 8.B. State Filing Compliance</w:t>
      </w:r>
    </w:p>
    <w:p>
      <w:pPr>
        <w:spacing w:before="80" w:after="120"/>
      </w:pPr>
      <w:r>
        <w:rPr>
          <w:sz w:val="22"/>
          <w:szCs w:val="22"/>
          <w:rFonts w:ascii="Arial" w:cs="Arial" w:eastAsia="Arial" w:hAnsi="Arial"/>
        </w:rPr>
        <w:t xml:space="preserve">The Legal Department, in coordination with the Company's registered agent service provider, is responsible for monitoring and ensuring timely compliance with all state filing obligations for each Company entity, including:</w:t>
      </w:r>
    </w:p>
    <w:p>
      <w:pPr>
        <w:pStyle w:val="ListParagraph"/>
        <w:numPr>
          <w:ilvl w:val="0"/>
          <w:numId w:val="4"/>
        </w:numPr>
        <w:spacing w:before="40" w:after="40"/>
      </w:pPr>
      <w:r>
        <w:rPr>
          <w:sz w:val="22"/>
          <w:szCs w:val="22"/>
          <w:rFonts w:ascii="Arial" w:cs="Arial" w:eastAsia="Arial" w:hAnsi="Arial"/>
        </w:rPr>
        <w:t xml:space="preserve">Annual reports and statements of information required by each jurisdiction of formation and qualification</w:t>
      </w:r>
    </w:p>
    <w:p>
      <w:pPr>
        <w:pStyle w:val="ListParagraph"/>
        <w:numPr>
          <w:ilvl w:val="0"/>
          <w:numId w:val="4"/>
        </w:numPr>
        <w:spacing w:before="40" w:after="40"/>
      </w:pPr>
      <w:r>
        <w:rPr>
          <w:sz w:val="22"/>
          <w:szCs w:val="22"/>
          <w:rFonts w:ascii="Arial" w:cs="Arial" w:eastAsia="Arial" w:hAnsi="Arial"/>
        </w:rPr>
        <w:t xml:space="preserve">Franchise tax filings and payments</w:t>
      </w:r>
    </w:p>
    <w:p>
      <w:pPr>
        <w:pStyle w:val="ListParagraph"/>
        <w:numPr>
          <w:ilvl w:val="0"/>
          <w:numId w:val="4"/>
        </w:numPr>
        <w:spacing w:before="40" w:after="40"/>
      </w:pPr>
      <w:r>
        <w:rPr>
          <w:sz w:val="22"/>
          <w:szCs w:val="22"/>
          <w:rFonts w:ascii="Arial" w:cs="Arial" w:eastAsia="Arial" w:hAnsi="Arial"/>
        </w:rPr>
        <w:t xml:space="preserve">Foreign qualification filings for entities conducting business in new jurisdictions</w:t>
      </w:r>
    </w:p>
    <w:p>
      <w:pPr>
        <w:pStyle w:val="ListParagraph"/>
        <w:numPr>
          <w:ilvl w:val="0"/>
          <w:numId w:val="4"/>
        </w:numPr>
        <w:spacing w:before="40" w:after="40"/>
      </w:pPr>
      <w:r>
        <w:rPr>
          <w:sz w:val="22"/>
          <w:szCs w:val="22"/>
          <w:rFonts w:ascii="Arial" w:cs="Arial" w:eastAsia="Arial" w:hAnsi="Arial"/>
        </w:rPr>
        <w:t xml:space="preserve">Amendments to formation documents filed with the applicable Secretary of State or equivalent authority</w:t>
      </w:r>
    </w:p>
    <w:p>
      <w:pPr>
        <w:pStyle w:val="ListParagraph"/>
        <w:numPr>
          <w:ilvl w:val="0"/>
          <w:numId w:val="4"/>
        </w:numPr>
        <w:spacing w:before="40" w:after="40"/>
      </w:pPr>
      <w:r>
        <w:rPr>
          <w:sz w:val="22"/>
          <w:szCs w:val="22"/>
          <w:rFonts w:ascii="Arial" w:cs="Arial" w:eastAsia="Arial" w:hAnsi="Arial"/>
        </w:rPr>
        <w:t xml:space="preserve">Registered agent and registered office changes</w:t>
      </w:r>
    </w:p>
    <w:p>
      <w:pPr>
        <w:pStyle w:val="ListParagraph"/>
        <w:numPr>
          <w:ilvl w:val="0"/>
          <w:numId w:val="4"/>
        </w:numPr>
        <w:spacing w:before="40" w:after="40"/>
      </w:pPr>
      <w:r>
        <w:rPr>
          <w:sz w:val="22"/>
          <w:szCs w:val="22"/>
          <w:rFonts w:ascii="Arial" w:cs="Arial" w:eastAsia="Arial" w:hAnsi="Arial"/>
        </w:rPr>
        <w:t xml:space="preserve">Withdrawal filings for entities no longer conducting business in a jurisdiction</w:t>
      </w:r>
    </w:p>
    <w:p>
      <w:pPr>
        <w:spacing w:before="80" w:after="120"/>
      </w:pPr>
      <w:r>
        <w:rPr>
          <w:sz w:val="22"/>
          <w:szCs w:val="22"/>
          <w:rFonts w:ascii="Arial" w:cs="Arial" w:eastAsia="Arial" w:hAnsi="Arial"/>
        </w:rPr>
        <w:t xml:space="preserve">The Department maintains a State Filing Calendar in the Entity Management System (or, if the Entity Management System does not support calendar functionality, in a dedicated compliance calendar maintained in SharePoint). The State Filing Calendar tracks all filing deadlines, responsible persons, and completion status. The GC reviews the State Filing Calendar no less frequently than monthly.</w:t>
      </w:r>
    </w:p>
    <w:p>
      <w:pPr>
        <w:spacing w:before="80" w:after="120"/>
      </w:pPr>
      <w:r>
        <w:rPr>
          <w:sz w:val="22"/>
          <w:szCs w:val="22"/>
          <w:rFonts w:ascii="Arial" w:cs="Arial" w:eastAsia="Arial" w:hAnsi="Arial"/>
        </w:rPr>
        <w:t xml:space="preserve">Missed or late state filings must be escalated to the GC within one (1) business day of discovery. The GC determines the appropriate remedial action, which may include expedited filing, reinstatement, or engagement of outside counsel in the applicable jurisdiction.</w:t>
      </w:r>
    </w:p>
    <w:p>
      <w:pPr>
        <w:pStyle w:val="Heading2"/>
        <w:spacing w:before="200" w:after="120"/>
      </w:pPr>
      <w:r>
        <w:rPr>
          <w:b/>
          <w:bCs/>
          <w:sz w:val="28"/>
          <w:szCs w:val="28"/>
          <w:rFonts w:ascii="Arial" w:cs="Arial" w:eastAsia="Arial" w:hAnsi="Arial"/>
        </w:rPr>
        <w:t xml:space="preserve">Section 8.C. REIT Compliance Monitoring</w:t>
      </w:r>
    </w:p>
    <w:p>
      <w:pPr>
        <w:spacing w:before="80" w:after="120"/>
      </w:pPr>
      <w:r>
        <w:rPr>
          <w:sz w:val="22"/>
          <w:szCs w:val="22"/>
          <w:rFonts w:ascii="Arial" w:cs="Arial" w:eastAsia="Arial" w:hAnsi="Arial"/>
        </w:rPr>
        <w:t xml:space="preserve">The Company has elected to be treated as a real estate investment trust ("REIT") under IRC Sections 856 through 860. Continuous compliance with REIT qualification requirements is essential to the Company's tax-advantaged structure. The Legal Department, in coordination with Finance and the Company's outside tax counsel and auditors, is responsible for monitoring and supporting compliance with the following REIT requirements:</w:t>
      </w:r>
    </w:p>
    <w:p>
      <w:pPr>
        <w:spacing w:before="80" w:after="120"/>
      </w:pPr>
      <w:r>
        <w:rPr>
          <w:b/>
          <w:bCs/>
          <w:sz w:val="22"/>
          <w:szCs w:val="22"/>
          <w:rFonts w:ascii="Arial" w:cs="Arial" w:eastAsia="Arial" w:hAnsi="Arial"/>
        </w:rPr>
        <w:t xml:space="preserve">Asset Tests (IRC Section 856(c)(4)).</w:t>
      </w:r>
      <w:r>
        <w:rPr>
          <w:sz w:val="22"/>
          <w:szCs w:val="22"/>
          <w:rFonts w:ascii="Arial" w:cs="Arial" w:eastAsia="Arial" w:hAnsi="Arial"/>
        </w:rPr>
        <w:t xml:space="preserve"> The Legal Department shall coordinate with Finance to monitor compliance with the REIT asset tests on a quarterly basis, including: (i) at least 75% of total assets must be real estate assets, cash, cash items, and government securities; (ii) not more than 25% of total assets may be securities other than those qualifying under clause (i); (iii) not more than 5% of total assets may consist of securities of any one issuer (other than a TRS or qualifying REIT); and (iv) the Company may not hold more than 10% of the outstanding voting securities or 10% of the total value of the outstanding securities of any one issuer (other than a TRS or qualifying REIT).</w:t>
      </w:r>
    </w:p>
    <w:p>
      <w:pPr>
        <w:spacing w:before="80" w:after="120"/>
      </w:pPr>
      <w:r>
        <w:rPr>
          <w:b/>
          <w:bCs/>
          <w:sz w:val="22"/>
          <w:szCs w:val="22"/>
          <w:rFonts w:ascii="Arial" w:cs="Arial" w:eastAsia="Arial" w:hAnsi="Arial"/>
        </w:rPr>
        <w:t xml:space="preserve">Gross Income Tests (IRC Section 856(c)(2) and (3)).</w:t>
      </w:r>
      <w:r>
        <w:rPr>
          <w:sz w:val="22"/>
          <w:szCs w:val="22"/>
          <w:rFonts w:ascii="Arial" w:cs="Arial" w:eastAsia="Arial" w:hAnsi="Arial"/>
        </w:rPr>
        <w:t xml:space="preserve"> The Legal Department shall coordinate with Finance to monitor compliance with the REIT gross income tests on a quarterly basis, including: (i) at least 75% of gross income must be derived from rents from real property, interest on obligations secured by mortgages on real property, and other qualifying real estate income; and (ii) at least 95% of gross income must be derived from qualifying real estate income plus dividends, interest, and gain from the sale or disposition of stock or securities.</w:t>
      </w:r>
    </w:p>
    <w:p>
      <w:pPr>
        <w:spacing w:before="80" w:after="120"/>
      </w:pPr>
      <w:r>
        <w:rPr>
          <w:sz w:val="22"/>
          <w:szCs w:val="22"/>
          <w:rFonts w:ascii="Arial" w:cs="Arial" w:eastAsia="Arial" w:hAnsi="Arial"/>
        </w:rPr>
        <w:t xml:space="preserve">The Legal Department shall coordinate with Finance to ensure that rents from real property satisfy the requirements of IRC Section 856(d), including limitations on impermissible tenant services, related-party rents, and personal property rent components exceeding 15% of total rent.</w:t>
      </w:r>
    </w:p>
    <w:p>
      <w:pPr>
        <w:spacing w:before="80" w:after="120"/>
      </w:pPr>
      <w:r>
        <w:rPr>
          <w:b/>
          <w:bCs/>
          <w:sz w:val="22"/>
          <w:szCs w:val="22"/>
          <w:rFonts w:ascii="Arial" w:cs="Arial" w:eastAsia="Arial" w:hAnsi="Arial"/>
        </w:rPr>
        <w:t xml:space="preserve">Distribution Requirements (IRC Section 857(a)).</w:t>
      </w:r>
      <w:r>
        <w:rPr>
          <w:sz w:val="22"/>
          <w:szCs w:val="22"/>
          <w:rFonts w:ascii="Arial" w:cs="Arial" w:eastAsia="Arial" w:hAnsi="Arial"/>
        </w:rPr>
        <w:t xml:space="preserve"> The Legal Department shall coordinate with Finance to monitor compliance with the REIT distribution requirement, which requires the Company to distribute annually at least 90% of its REIT taxable income (determined without regard to the dividends paid deduction and excluding net capital gains).</w:t>
      </w:r>
    </w:p>
    <w:p>
      <w:pPr>
        <w:spacing w:before="80" w:after="120"/>
      </w:pPr>
      <w:r>
        <w:rPr>
          <w:sz w:val="22"/>
          <w:szCs w:val="22"/>
          <w:rFonts w:ascii="Arial" w:cs="Arial" w:eastAsia="Arial" w:hAnsi="Arial"/>
        </w:rPr>
        <w:t xml:space="preserve">The Legal Department shall coordinate with Finance to verify that distribution calculations are completed no later than sixty (60) days after the close of each taxable year and that required distributions are declared and paid within the time limits prescribed by IRC Section 857.</w:t>
      </w:r>
    </w:p>
    <w:p>
      <w:pPr>
        <w:spacing w:before="80" w:after="120"/>
      </w:pPr>
      <w:r>
        <w:rPr>
          <w:b/>
          <w:bCs/>
          <w:sz w:val="22"/>
          <w:szCs w:val="22"/>
          <w:rFonts w:ascii="Arial" w:cs="Arial" w:eastAsia="Arial" w:hAnsi="Arial"/>
        </w:rPr>
        <w:t xml:space="preserve">Organizational Requirements (IRC Section 856(a) and (b)).</w:t>
      </w:r>
      <w:r>
        <w:rPr>
          <w:sz w:val="22"/>
          <w:szCs w:val="22"/>
          <w:rFonts w:ascii="Arial" w:cs="Arial" w:eastAsia="Arial" w:hAnsi="Arial"/>
        </w:rPr>
        <w:t xml:space="preserve"> The Legal Department shall verify, on an annual basis, that the Company continues to satisfy the REIT organizational requirements, including: (i) the Company is managed by one or more trustees or directors; (ii) beneficial ownership is evidenced by transferable shares or certificates; (iii) the Company would be taxable as a domestic corporation but for Sections 856-860; (iv) the Company is not a financial institution or insurance company; and (v) the Company satisfies the 100-shareholders test and the closely-held prohibition (5/50 rule) under IRC Section 856(a)(5) and (6).</w:t>
      </w:r>
    </w:p>
    <w:p>
      <w:pPr>
        <w:pStyle w:val="Heading2"/>
        <w:spacing w:before="200" w:after="120"/>
      </w:pPr>
      <w:r>
        <w:rPr>
          <w:b/>
          <w:bCs/>
          <w:sz w:val="28"/>
          <w:szCs w:val="28"/>
          <w:rFonts w:ascii="Arial" w:cs="Arial" w:eastAsia="Arial" w:hAnsi="Arial"/>
        </w:rPr>
        <w:t xml:space="preserve">Section 8.D. SEC Reporting Coordination</w:t>
      </w:r>
    </w:p>
    <w:p>
      <w:pPr>
        <w:spacing w:before="80" w:after="120"/>
      </w:pPr>
      <w:r>
        <w:rPr>
          <w:sz w:val="22"/>
          <w:szCs w:val="22"/>
          <w:rFonts w:ascii="Arial" w:cs="Arial" w:eastAsia="Arial" w:hAnsi="Arial"/>
        </w:rPr>
        <w:t xml:space="preserve">The Legal Department coordinates with Finance and outside securities counsel on all SEC periodic reporting obligations, including Forms 10-K, 10-Q, and 8-K. The Department's responsibilities include:</w:t>
      </w:r>
    </w:p>
    <w:p>
      <w:pPr>
        <w:pStyle w:val="ListParagraph"/>
        <w:numPr>
          <w:ilvl w:val="0"/>
          <w:numId w:val="4"/>
        </w:numPr>
        <w:spacing w:before="40" w:after="40"/>
      </w:pPr>
      <w:r>
        <w:rPr>
          <w:sz w:val="22"/>
          <w:szCs w:val="22"/>
          <w:rFonts w:ascii="Arial" w:cs="Arial" w:eastAsia="Arial" w:hAnsi="Arial"/>
        </w:rPr>
        <w:t xml:space="preserve">Reviewing and providing legal sign-off on all SEC filings before submission</w:t>
      </w:r>
    </w:p>
    <w:p>
      <w:pPr>
        <w:pStyle w:val="ListParagraph"/>
        <w:numPr>
          <w:ilvl w:val="0"/>
          <w:numId w:val="4"/>
        </w:numPr>
        <w:spacing w:before="40" w:after="40"/>
      </w:pPr>
      <w:r>
        <w:rPr>
          <w:sz w:val="22"/>
          <w:szCs w:val="22"/>
          <w:rFonts w:ascii="Arial" w:cs="Arial" w:eastAsia="Arial" w:hAnsi="Arial"/>
        </w:rPr>
        <w:t xml:space="preserve">Coordinating with outside securities counsel on disclosure obligations</w:t>
      </w:r>
    </w:p>
    <w:p>
      <w:pPr>
        <w:pStyle w:val="ListParagraph"/>
        <w:numPr>
          <w:ilvl w:val="0"/>
          <w:numId w:val="4"/>
        </w:numPr>
        <w:spacing w:before="40" w:after="40"/>
      </w:pPr>
      <w:r>
        <w:rPr>
          <w:sz w:val="22"/>
          <w:szCs w:val="22"/>
          <w:rFonts w:ascii="Arial" w:cs="Arial" w:eastAsia="Arial" w:hAnsi="Arial"/>
        </w:rPr>
        <w:t xml:space="preserve">Monitoring SEC rule changes and their impact on the Company's reporting obligations</w:t>
      </w:r>
    </w:p>
    <w:p>
      <w:pPr>
        <w:pStyle w:val="ListParagraph"/>
        <w:numPr>
          <w:ilvl w:val="0"/>
          <w:numId w:val="4"/>
        </w:numPr>
        <w:spacing w:before="40" w:after="40"/>
      </w:pPr>
      <w:r>
        <w:rPr>
          <w:sz w:val="22"/>
          <w:szCs w:val="22"/>
          <w:rFonts w:ascii="Arial" w:cs="Arial" w:eastAsia="Arial" w:hAnsi="Arial"/>
        </w:rPr>
        <w:t xml:space="preserve">Supporting the preparation of the Management's Discussion and Analysis section of periodic reports</w:t>
      </w:r>
    </w:p>
    <w:p>
      <w:pPr>
        <w:pStyle w:val="ListParagraph"/>
        <w:numPr>
          <w:ilvl w:val="0"/>
          <w:numId w:val="4"/>
        </w:numPr>
        <w:spacing w:before="40" w:after="40"/>
      </w:pPr>
      <w:r>
        <w:rPr>
          <w:sz w:val="22"/>
          <w:szCs w:val="22"/>
          <w:rFonts w:ascii="Arial" w:cs="Arial" w:eastAsia="Arial" w:hAnsi="Arial"/>
        </w:rPr>
        <w:t xml:space="preserve">Coordinating with Finance on internal controls over financial reporting (ICFR) disclosures</w:t>
      </w:r>
    </w:p>
    <w:p>
      <w:pPr>
        <w:pStyle w:val="Heading2"/>
        <w:spacing w:before="200" w:after="120"/>
      </w:pPr>
      <w:r>
        <w:rPr>
          <w:b/>
          <w:bCs/>
          <w:sz w:val="28"/>
          <w:szCs w:val="28"/>
          <w:rFonts w:ascii="Arial" w:cs="Arial" w:eastAsia="Arial" w:hAnsi="Arial"/>
        </w:rPr>
        <w:t xml:space="preserve">Section 8.E. Whistleblower and Internal Reporting</w:t>
      </w:r>
    </w:p>
    <w:p>
      <w:pPr>
        <w:spacing w:before="80" w:after="120"/>
      </w:pPr>
      <w:r>
        <w:rPr>
          <w:sz w:val="22"/>
          <w:szCs w:val="22"/>
          <w:rFonts w:ascii="Arial" w:cs="Arial" w:eastAsia="Arial" w:hAnsi="Arial"/>
        </w:rPr>
        <w:t xml:space="preserve">The Company maintains a mechanism for internal reporting of compliance concerns, including potential violations of law, regulation, or Company policy. The Legal Department is responsible for:</w:t>
      </w:r>
    </w:p>
    <w:p>
      <w:pPr>
        <w:pStyle w:val="ListParagraph"/>
        <w:numPr>
          <w:ilvl w:val="0"/>
          <w:numId w:val="4"/>
        </w:numPr>
        <w:spacing w:before="40" w:after="40"/>
      </w:pPr>
      <w:r>
        <w:rPr>
          <w:sz w:val="22"/>
          <w:szCs w:val="22"/>
          <w:rFonts w:ascii="Arial" w:cs="Arial" w:eastAsia="Arial" w:hAnsi="Arial"/>
        </w:rPr>
        <w:t xml:space="preserve">Maintaining a confidential reporting channel (hotline or web-based portal) for employees and stakeholders</w:t>
      </w:r>
    </w:p>
    <w:p>
      <w:pPr>
        <w:pStyle w:val="ListParagraph"/>
        <w:numPr>
          <w:ilvl w:val="0"/>
          <w:numId w:val="4"/>
        </w:numPr>
        <w:spacing w:before="40" w:after="40"/>
      </w:pPr>
      <w:r>
        <w:rPr>
          <w:sz w:val="22"/>
          <w:szCs w:val="22"/>
          <w:rFonts w:ascii="Arial" w:cs="Arial" w:eastAsia="Arial" w:hAnsi="Arial"/>
        </w:rPr>
        <w:t xml:space="preserve">Investigating reports of compliance concerns in coordination with Human Resources and, where appropriate, outside counsel</w:t>
      </w:r>
    </w:p>
    <w:p>
      <w:pPr>
        <w:pStyle w:val="ListParagraph"/>
        <w:numPr>
          <w:ilvl w:val="0"/>
          <w:numId w:val="4"/>
        </w:numPr>
        <w:spacing w:before="40" w:after="40"/>
      </w:pPr>
      <w:r>
        <w:rPr>
          <w:sz w:val="22"/>
          <w:szCs w:val="22"/>
          <w:rFonts w:ascii="Arial" w:cs="Arial" w:eastAsia="Arial" w:hAnsi="Arial"/>
        </w:rPr>
        <w:t xml:space="preserve">Protecting reporters from retaliation in accordance with applicable whistleblower protection statutes (including SOX Section 806, if applicable)</w:t>
      </w:r>
    </w:p>
    <w:p>
      <w:pPr>
        <w:pStyle w:val="ListParagraph"/>
        <w:numPr>
          <w:ilvl w:val="0"/>
          <w:numId w:val="4"/>
        </w:numPr>
        <w:spacing w:before="40" w:after="40"/>
      </w:pPr>
      <w:r>
        <w:rPr>
          <w:sz w:val="22"/>
          <w:szCs w:val="22"/>
          <w:rFonts w:ascii="Arial" w:cs="Arial" w:eastAsia="Arial" w:hAnsi="Arial"/>
        </w:rPr>
        <w:t xml:space="preserve">Documenting all reports, investigations, and outcomes in a confidential log maintained in the Privileged Legal Site</w:t>
      </w:r>
    </w:p>
    <w:p>
      <w:pPr>
        <w:pStyle w:val="ListParagraph"/>
        <w:numPr>
          <w:ilvl w:val="0"/>
          <w:numId w:val="4"/>
        </w:numPr>
        <w:spacing w:before="40" w:after="40"/>
      </w:pPr>
      <w:r>
        <w:rPr>
          <w:sz w:val="22"/>
          <w:szCs w:val="22"/>
          <w:rFonts w:ascii="Arial" w:cs="Arial" w:eastAsia="Arial" w:hAnsi="Arial"/>
        </w:rPr>
        <w:t xml:space="preserve">Reporting aggregated whistleblower data (number of reports, categories, resolution status) to the Audit Committee on a quarterly basis (or to the Board if no Audit Committee exists), without identifying individual reporters unless required by law</w:t>
      </w:r>
    </w:p>
    <w:p>
      <w:pPr>
        <w:pStyle w:val="Heading2"/>
        <w:spacing w:before="200" w:after="120"/>
      </w:pPr>
      <w:r>
        <w:rPr>
          <w:b/>
          <w:bCs/>
          <w:sz w:val="28"/>
          <w:szCs w:val="28"/>
          <w:rFonts w:ascii="Arial" w:cs="Arial" w:eastAsia="Arial" w:hAnsi="Arial"/>
        </w:rPr>
        <w:t xml:space="preserve">Section 8.F. Governance Calendar</w:t>
      </w:r>
    </w:p>
    <w:p>
      <w:pPr>
        <w:spacing w:before="80" w:after="120"/>
      </w:pPr>
      <w:r>
        <w:rPr>
          <w:sz w:val="22"/>
          <w:szCs w:val="22"/>
          <w:rFonts w:ascii="Arial" w:cs="Arial" w:eastAsia="Arial" w:hAnsi="Arial"/>
        </w:rPr>
        <w:t xml:space="preserve">The Department maintains a Governance Calendar to track all governance-related deadlines and recurring obligations, including:</w:t>
      </w:r>
    </w:p>
    <w:p>
      <w:pPr>
        <w:pStyle w:val="ListParagraph"/>
        <w:numPr>
          <w:ilvl w:val="0"/>
          <w:numId w:val="4"/>
        </w:numPr>
        <w:spacing w:before="40" w:after="40"/>
      </w:pPr>
      <w:r>
        <w:rPr>
          <w:sz w:val="22"/>
          <w:szCs w:val="22"/>
          <w:rFonts w:ascii="Arial" w:cs="Arial" w:eastAsia="Arial" w:hAnsi="Arial"/>
        </w:rPr>
        <w:t xml:space="preserve">Board and committee meeting schedules</w:t>
      </w:r>
    </w:p>
    <w:p>
      <w:pPr>
        <w:pStyle w:val="ListParagraph"/>
        <w:numPr>
          <w:ilvl w:val="0"/>
          <w:numId w:val="4"/>
        </w:numPr>
        <w:spacing w:before="40" w:after="40"/>
      </w:pPr>
      <w:r>
        <w:rPr>
          <w:sz w:val="22"/>
          <w:szCs w:val="22"/>
          <w:rFonts w:ascii="Arial" w:cs="Arial" w:eastAsia="Arial" w:hAnsi="Arial"/>
        </w:rPr>
        <w:t xml:space="preserve">State filing deadlines (annual reports, franchise taxes, foreign qualifications)</w:t>
      </w:r>
    </w:p>
    <w:p>
      <w:pPr>
        <w:pStyle w:val="ListParagraph"/>
        <w:numPr>
          <w:ilvl w:val="0"/>
          <w:numId w:val="4"/>
        </w:numPr>
        <w:spacing w:before="40" w:after="40"/>
      </w:pPr>
      <w:r>
        <w:rPr>
          <w:sz w:val="22"/>
          <w:szCs w:val="22"/>
          <w:rFonts w:ascii="Arial" w:cs="Arial" w:eastAsia="Arial" w:hAnsi="Arial"/>
        </w:rPr>
        <w:t xml:space="preserve">REIT compliance testing deadlines (quarterly asset tests, income tests, distribution calculations)</w:t>
      </w:r>
    </w:p>
    <w:p>
      <w:pPr>
        <w:pStyle w:val="ListParagraph"/>
        <w:numPr>
          <w:ilvl w:val="0"/>
          <w:numId w:val="4"/>
        </w:numPr>
        <w:spacing w:before="40" w:after="40"/>
      </w:pPr>
      <w:r>
        <w:rPr>
          <w:sz w:val="22"/>
          <w:szCs w:val="22"/>
          <w:rFonts w:ascii="Arial" w:cs="Arial" w:eastAsia="Arial" w:hAnsi="Arial"/>
        </w:rPr>
        <w:t xml:space="preserve">SEC filing deadlines (10-K, 10-Q, 8-K)</w:t>
      </w:r>
    </w:p>
    <w:p>
      <w:pPr>
        <w:pStyle w:val="ListParagraph"/>
        <w:numPr>
          <w:ilvl w:val="0"/>
          <w:numId w:val="4"/>
        </w:numPr>
        <w:spacing w:before="40" w:after="40"/>
      </w:pPr>
      <w:r>
        <w:rPr>
          <w:sz w:val="22"/>
          <w:szCs w:val="22"/>
          <w:rFonts w:ascii="Arial" w:cs="Arial" w:eastAsia="Arial" w:hAnsi="Arial"/>
        </w:rPr>
        <w:t xml:space="preserve">Entity management annual review</w:t>
      </w:r>
    </w:p>
    <w:p>
      <w:pPr>
        <w:pStyle w:val="ListParagraph"/>
        <w:numPr>
          <w:ilvl w:val="0"/>
          <w:numId w:val="4"/>
        </w:numPr>
        <w:spacing w:before="40" w:after="40"/>
      </w:pPr>
      <w:r>
        <w:rPr>
          <w:sz w:val="22"/>
          <w:szCs w:val="22"/>
          <w:rFonts w:ascii="Arial" w:cs="Arial" w:eastAsia="Arial" w:hAnsi="Arial"/>
        </w:rPr>
        <w:t xml:space="preserve">Insurance policy renewal dates</w:t>
      </w:r>
    </w:p>
    <w:p>
      <w:pPr>
        <w:pStyle w:val="ListParagraph"/>
        <w:numPr>
          <w:ilvl w:val="0"/>
          <w:numId w:val="4"/>
        </w:numPr>
        <w:spacing w:before="40" w:after="40"/>
      </w:pPr>
      <w:r>
        <w:rPr>
          <w:sz w:val="22"/>
          <w:szCs w:val="22"/>
          <w:rFonts w:ascii="Arial" w:cs="Arial" w:eastAsia="Arial" w:hAnsi="Arial"/>
        </w:rPr>
        <w:t xml:space="preserve">Credit facility covenant compliance dates</w:t>
      </w:r>
    </w:p>
    <w:p>
      <w:pPr>
        <w:pStyle w:val="ListParagraph"/>
        <w:numPr>
          <w:ilvl w:val="0"/>
          <w:numId w:val="4"/>
        </w:numPr>
        <w:spacing w:before="40" w:after="40"/>
      </w:pPr>
      <w:r>
        <w:rPr>
          <w:sz w:val="22"/>
          <w:szCs w:val="22"/>
          <w:rFonts w:ascii="Arial" w:cs="Arial" w:eastAsia="Arial" w:hAnsi="Arial"/>
        </w:rPr>
        <w:t xml:space="preserve">Registered agent renewals</w:t>
      </w:r>
    </w:p>
    <w:p>
      <w:pPr>
        <w:spacing w:before="80" w:after="120"/>
      </w:pPr>
      <w:r>
        <w:rPr>
          <w:sz w:val="22"/>
          <w:szCs w:val="22"/>
          <w:rFonts w:ascii="Arial" w:cs="Arial" w:eastAsia="Arial" w:hAnsi="Arial"/>
        </w:rPr>
        <w:t xml:space="preserve">The Governance Calendar is maintained in the Entity Management System or SharePoint and reviewed by the GC monthly.</w:t>
      </w:r>
    </w:p>
    <w:p>
      <w:pPr>
        <w:pStyle w:val="Heading2"/>
        <w:spacing w:before="200" w:after="120"/>
      </w:pPr>
      <w:r>
        <w:rPr>
          <w:b/>
          <w:bCs/>
          <w:sz w:val="28"/>
          <w:szCs w:val="28"/>
          <w:rFonts w:ascii="Arial" w:cs="Arial" w:eastAsia="Arial" w:hAnsi="Arial"/>
        </w:rPr>
        <w:t xml:space="preserve">Section 8.G. Organizational Chart</w:t>
      </w:r>
    </w:p>
    <w:p>
      <w:pPr>
        <w:spacing w:before="80" w:after="120"/>
      </w:pPr>
      <w:r>
        <w:rPr>
          <w:sz w:val="22"/>
          <w:szCs w:val="22"/>
          <w:rFonts w:ascii="Arial" w:cs="Arial" w:eastAsia="Arial" w:hAnsi="Arial"/>
        </w:rPr>
        <w:t xml:space="preserve">The Department maintains a current organizational chart reflecting the Company's entity structure, ownership percentages, and governing relationships. The organizational chart is updated within ten (10) business days of any change in entity structure and is stored in the Entity Management System and SharePoint. A current copy is provided to Finance, outside auditors, and credit facility lenders upon request.</w:t>
      </w:r>
    </w:p>
    <w:p>
      <w:pPr>
        <w:pStyle w:val="Heading2"/>
        <w:spacing w:before="200" w:after="120"/>
      </w:pPr>
      <w:r>
        <w:rPr>
          <w:b/>
          <w:bCs/>
          <w:sz w:val="28"/>
          <w:szCs w:val="28"/>
          <w:rFonts w:ascii="Arial" w:cs="Arial" w:eastAsia="Arial" w:hAnsi="Arial"/>
        </w:rPr>
        <w:t xml:space="preserve">Section 8.H. REIT Compliance Calendar</w:t>
      </w:r>
    </w:p>
    <w:p>
      <w:pPr>
        <w:spacing w:before="80" w:after="120"/>
      </w:pPr>
      <w:r>
        <w:rPr>
          <w:sz w:val="22"/>
          <w:szCs w:val="22"/>
          <w:rFonts w:ascii="Arial" w:cs="Arial" w:eastAsia="Arial" w:hAnsi="Arial"/>
        </w:rPr>
        <w:t xml:space="preserve">The Department, in coordination with Finance and outside tax counsel, maintains a REIT Compliance Calendar that tracks all REIT-related compliance testing deadlines, distribution deadlines, and filing dates. The REIT Compliance Calendar includes, at a minimum:</w:t>
      </w:r>
    </w:p>
    <w:p>
      <w:pPr>
        <w:pStyle w:val="ListParagraph"/>
        <w:numPr>
          <w:ilvl w:val="0"/>
          <w:numId w:val="4"/>
        </w:numPr>
        <w:spacing w:before="40" w:after="40"/>
      </w:pPr>
      <w:r>
        <w:rPr>
          <w:sz w:val="22"/>
          <w:szCs w:val="22"/>
          <w:rFonts w:ascii="Arial" w:cs="Arial" w:eastAsia="Arial" w:hAnsi="Arial"/>
        </w:rPr>
        <w:t xml:space="preserve">Quarterly asset test dates (last day of each calendar quarter)</w:t>
      </w:r>
    </w:p>
    <w:p>
      <w:pPr>
        <w:pStyle w:val="ListParagraph"/>
        <w:numPr>
          <w:ilvl w:val="0"/>
          <w:numId w:val="4"/>
        </w:numPr>
        <w:spacing w:before="40" w:after="40"/>
      </w:pPr>
      <w:r>
        <w:rPr>
          <w:sz w:val="22"/>
          <w:szCs w:val="22"/>
          <w:rFonts w:ascii="Arial" w:cs="Arial" w:eastAsia="Arial" w:hAnsi="Arial"/>
        </w:rPr>
        <w:t xml:space="preserve">Quarterly income test review dates</w:t>
      </w:r>
    </w:p>
    <w:p>
      <w:pPr>
        <w:pStyle w:val="ListParagraph"/>
        <w:numPr>
          <w:ilvl w:val="0"/>
          <w:numId w:val="4"/>
        </w:numPr>
        <w:spacing w:before="40" w:after="40"/>
      </w:pPr>
      <w:r>
        <w:rPr>
          <w:sz w:val="22"/>
          <w:szCs w:val="22"/>
          <w:rFonts w:ascii="Arial" w:cs="Arial" w:eastAsia="Arial" w:hAnsi="Arial"/>
        </w:rPr>
        <w:t xml:space="preserve">Annual distribution calculation and payment dates</w:t>
      </w:r>
    </w:p>
    <w:p>
      <w:pPr>
        <w:pStyle w:val="ListParagraph"/>
        <w:numPr>
          <w:ilvl w:val="0"/>
          <w:numId w:val="4"/>
        </w:numPr>
        <w:spacing w:before="40" w:after="40"/>
      </w:pPr>
      <w:r>
        <w:rPr>
          <w:sz w:val="22"/>
          <w:szCs w:val="22"/>
          <w:rFonts w:ascii="Arial" w:cs="Arial" w:eastAsia="Arial" w:hAnsi="Arial"/>
        </w:rPr>
        <w:t xml:space="preserve">TRS election and compliance review dates</w:t>
      </w:r>
    </w:p>
    <w:p>
      <w:pPr>
        <w:pStyle w:val="ListParagraph"/>
        <w:numPr>
          <w:ilvl w:val="0"/>
          <w:numId w:val="4"/>
        </w:numPr>
        <w:spacing w:before="40" w:after="40"/>
      </w:pPr>
      <w:r>
        <w:rPr>
          <w:sz w:val="22"/>
          <w:szCs w:val="22"/>
          <w:rFonts w:ascii="Arial" w:cs="Arial" w:eastAsia="Arial" w:hAnsi="Arial"/>
        </w:rPr>
        <w:t xml:space="preserve">Annual REIT organizational requirement verification date</w:t>
      </w:r>
    </w:p>
    <w:p>
      <w:pPr>
        <w:pStyle w:val="ListParagraph"/>
        <w:numPr>
          <w:ilvl w:val="0"/>
          <w:numId w:val="4"/>
        </w:numPr>
        <w:spacing w:before="40" w:after="40"/>
      </w:pPr>
      <w:r>
        <w:rPr>
          <w:sz w:val="22"/>
          <w:szCs w:val="22"/>
          <w:rFonts w:ascii="Arial" w:cs="Arial" w:eastAsia="Arial" w:hAnsi="Arial"/>
        </w:rPr>
        <w:t xml:space="preserve">Prohibited transaction review dates</w:t>
      </w:r>
    </w:p>
    <w:p>
      <w:pPr>
        <w:pStyle w:val="ListParagraph"/>
        <w:numPr>
          <w:ilvl w:val="0"/>
          <w:numId w:val="4"/>
        </w:numPr>
        <w:spacing w:before="40" w:after="40"/>
      </w:pPr>
      <w:r>
        <w:rPr>
          <w:sz w:val="22"/>
          <w:szCs w:val="22"/>
          <w:rFonts w:ascii="Arial" w:cs="Arial" w:eastAsia="Arial" w:hAnsi="Arial"/>
        </w:rPr>
        <w:t xml:space="preserve">Related-party rent review dates</w:t>
      </w:r>
    </w:p>
    <w:p>
      <w:r>
        <w:br w:type="page"/>
      </w:r>
    </w:p>
    <w:p>
      <w:pPr>
        <w:pStyle w:val="Heading1"/>
        <w:spacing w:before="240" w:after="200"/>
      </w:pPr>
      <w:r>
        <w:rPr>
          <w:b/>
          <w:bCs/>
          <w:sz w:val="32"/>
          <w:szCs w:val="32"/>
          <w:rFonts w:ascii="Arial" w:cs="Arial" w:eastAsia="Arial" w:hAnsi="Arial"/>
        </w:rPr>
        <w:t xml:space="preserve">SECTION 9. CONFIDENTIALITY &amp; INFORMATION HANDLING</w:t>
      </w:r>
    </w:p>
    <w:p>
      <w:pPr>
        <w:spacing w:before="80" w:after="120"/>
      </w:pPr>
      <w:r>
        <w:rPr>
          <w:sz w:val="22"/>
          <w:szCs w:val="22"/>
          <w:rFonts w:ascii="Arial" w:cs="Arial" w:eastAsia="Arial" w:hAnsi="Arial"/>
        </w:rPr>
        <w:t xml:space="preserve">The Legal Department handles sensitive and privileged information across multiple workstreams. This Section establishes the confidentiality standards, privilege preservation requirements, and information handling procedures that apply to all Department personnel and to any non-Department personnel who access or receive confidential legal information.</w:t>
      </w:r>
    </w:p>
    <w:p>
      <w:pPr>
        <w:pStyle w:val="Heading2"/>
        <w:spacing w:before="200" w:after="120"/>
      </w:pPr>
      <w:r>
        <w:rPr>
          <w:b/>
          <w:bCs/>
          <w:sz w:val="28"/>
          <w:szCs w:val="28"/>
          <w:rFonts w:ascii="Arial" w:cs="Arial" w:eastAsia="Arial" w:hAnsi="Arial"/>
        </w:rPr>
        <w:t xml:space="preserve">Section 9.A. Classification of Confidential Information</w:t>
      </w:r>
    </w:p>
    <w:p>
      <w:pPr>
        <w:spacing w:before="80" w:after="120"/>
      </w:pPr>
      <w:r>
        <w:rPr>
          <w:sz w:val="22"/>
          <w:szCs w:val="22"/>
          <w:rFonts w:ascii="Arial" w:cs="Arial" w:eastAsia="Arial" w:hAnsi="Arial"/>
        </w:rPr>
        <w:t xml:space="preserve">All information handled by the Department is classified into the following categories:</w:t>
      </w:r>
    </w:p>
    <w:p>
      <w:pPr>
        <w:pStyle w:val="ListParagraph"/>
        <w:numPr>
          <w:ilvl w:val="0"/>
          <w:numId w:val="4"/>
        </w:numPr>
        <w:spacing w:before="40" w:after="40"/>
      </w:pPr>
      <w:r>
        <w:rPr>
          <w:b/>
          <w:bCs/>
          <w:sz w:val="22"/>
          <w:szCs w:val="22"/>
          <w:rFonts w:ascii="Arial" w:cs="Arial" w:eastAsia="Arial" w:hAnsi="Arial"/>
        </w:rPr>
        <w:t xml:space="preserve">Privileged (Attorney-Client / Work Product):</w:t>
      </w:r>
      <w:r>
        <w:rPr>
          <w:sz w:val="22"/>
          <w:szCs w:val="22"/>
          <w:rFonts w:ascii="Arial" w:cs="Arial" w:eastAsia="Arial" w:hAnsi="Arial"/>
        </w:rPr>
        <w:t xml:space="preserve"> Communications made for the purpose of seeking or providing legal advice, and materials prepared in anticipation of litigation or at the direction of counsel. These materials must bear the designation: "PRIVILEGED AND CONFIDENTIAL -- ATTORNEY-CLIENT COMMUNICATION" or "PRIVILEGED AND CONFIDENTIAL -- ATTORNEY WORK PRODUCT."</w:t>
      </w:r>
    </w:p>
    <w:p>
      <w:pPr>
        <w:pStyle w:val="ListParagraph"/>
        <w:numPr>
          <w:ilvl w:val="0"/>
          <w:numId w:val="4"/>
        </w:numPr>
        <w:spacing w:before="40" w:after="40"/>
      </w:pPr>
      <w:r>
        <w:rPr>
          <w:b/>
          <w:bCs/>
          <w:sz w:val="22"/>
          <w:szCs w:val="22"/>
          <w:rFonts w:ascii="Arial" w:cs="Arial" w:eastAsia="Arial" w:hAnsi="Arial"/>
        </w:rPr>
        <w:t xml:space="preserve">Confidential -- Business Sensitive:</w:t>
      </w:r>
      <w:r>
        <w:rPr>
          <w:sz w:val="22"/>
          <w:szCs w:val="22"/>
          <w:rFonts w:ascii="Arial" w:cs="Arial" w:eastAsia="Arial" w:hAnsi="Arial"/>
        </w:rPr>
        <w:t xml:space="preserve"> Non-privileged information that is proprietary, commercially sensitive, or subject to contractual confidentiality obligations.</w:t>
      </w:r>
    </w:p>
    <w:p>
      <w:pPr>
        <w:pStyle w:val="ListParagraph"/>
        <w:numPr>
          <w:ilvl w:val="0"/>
          <w:numId w:val="4"/>
        </w:numPr>
        <w:spacing w:before="40" w:after="40"/>
      </w:pPr>
      <w:r>
        <w:rPr>
          <w:b/>
          <w:bCs/>
          <w:sz w:val="22"/>
          <w:szCs w:val="22"/>
          <w:rFonts w:ascii="Arial" w:cs="Arial" w:eastAsia="Arial" w:hAnsi="Arial"/>
        </w:rPr>
        <w:t xml:space="preserve">Internal Use Only:</w:t>
      </w:r>
      <w:r>
        <w:rPr>
          <w:sz w:val="22"/>
          <w:szCs w:val="22"/>
          <w:rFonts w:ascii="Arial" w:cs="Arial" w:eastAsia="Arial" w:hAnsi="Arial"/>
        </w:rPr>
        <w:t xml:space="preserve"> Information intended for Company personnel but not subject to heightened confidentiality protections.</w:t>
      </w:r>
    </w:p>
    <w:p>
      <w:pPr>
        <w:pStyle w:val="Heading2"/>
        <w:spacing w:before="200" w:after="120"/>
      </w:pPr>
      <w:r>
        <w:rPr>
          <w:b/>
          <w:bCs/>
          <w:sz w:val="28"/>
          <w:szCs w:val="28"/>
          <w:rFonts w:ascii="Arial" w:cs="Arial" w:eastAsia="Arial" w:hAnsi="Arial"/>
        </w:rPr>
        <w:t xml:space="preserve">Section 9.B. Privilege Preservation Requirements</w:t>
      </w:r>
    </w:p>
    <w:p>
      <w:pPr>
        <w:spacing w:before="80" w:after="120"/>
      </w:pPr>
      <w:r>
        <w:rPr>
          <w:sz w:val="22"/>
          <w:szCs w:val="22"/>
          <w:rFonts w:ascii="Arial" w:cs="Arial" w:eastAsia="Arial" w:hAnsi="Arial"/>
        </w:rPr>
        <w:t xml:space="preserve">All Department personnel must comply with the following privilege preservation requirements:</w:t>
      </w:r>
    </w:p>
    <w:p>
      <w:pPr>
        <w:pStyle w:val="ListParagraph"/>
        <w:numPr>
          <w:ilvl w:val="0"/>
          <w:numId w:val="4"/>
        </w:numPr>
        <w:spacing w:before="40" w:after="40"/>
      </w:pPr>
      <w:r>
        <w:rPr>
          <w:sz w:val="22"/>
          <w:szCs w:val="22"/>
          <w:rFonts w:ascii="Arial" w:cs="Arial" w:eastAsia="Arial" w:hAnsi="Arial"/>
        </w:rPr>
        <w:t xml:space="preserve">Privileged communications must be clearly marked with the applicable privilege designation. Privilege designations are mandatory, not optional.</w:t>
      </w:r>
    </w:p>
    <w:p>
      <w:pPr>
        <w:pStyle w:val="ListParagraph"/>
        <w:numPr>
          <w:ilvl w:val="0"/>
          <w:numId w:val="4"/>
        </w:numPr>
        <w:spacing w:before="40" w:after="40"/>
      </w:pPr>
      <w:r>
        <w:rPr>
          <w:sz w:val="22"/>
          <w:szCs w:val="22"/>
          <w:rFonts w:ascii="Arial" w:cs="Arial" w:eastAsia="Arial" w:hAnsi="Arial"/>
        </w:rPr>
        <w:t xml:space="preserve">Privileged materials must be stored in the Privileged Legal Site within SharePoint (see Section 10.H for SharePoint segmentation requirements).</w:t>
      </w:r>
    </w:p>
    <w:p>
      <w:pPr>
        <w:pStyle w:val="ListParagraph"/>
        <w:numPr>
          <w:ilvl w:val="0"/>
          <w:numId w:val="4"/>
        </w:numPr>
        <w:spacing w:before="40" w:after="40"/>
      </w:pPr>
      <w:r>
        <w:rPr>
          <w:sz w:val="22"/>
          <w:szCs w:val="22"/>
          <w:rFonts w:ascii="Arial" w:cs="Arial" w:eastAsia="Arial" w:hAnsi="Arial"/>
        </w:rPr>
        <w:t xml:space="preserve">Distribution of privileged materials must be limited to individuals with a need to know: Department personnel, the GC, specifically authorized executive leadership, and engaged outside counsel.</w:t>
      </w:r>
    </w:p>
    <w:p>
      <w:pPr>
        <w:pStyle w:val="ListParagraph"/>
        <w:numPr>
          <w:ilvl w:val="0"/>
          <w:numId w:val="4"/>
        </w:numPr>
        <w:spacing w:before="40" w:after="40"/>
      </w:pPr>
      <w:r>
        <w:rPr>
          <w:sz w:val="22"/>
          <w:szCs w:val="22"/>
          <w:rFonts w:ascii="Arial" w:cs="Arial" w:eastAsia="Arial" w:hAnsi="Arial"/>
        </w:rPr>
        <w:t xml:space="preserve">Inadvertent disclosure of privileged materials must be reported to the GC immediately upon discovery for assessment of remedial measures (including clawback demands under FRE 502(b) or equivalent state rules).</w:t>
      </w:r>
    </w:p>
    <w:p>
      <w:pPr>
        <w:pStyle w:val="Heading2"/>
        <w:spacing w:before="200" w:after="120"/>
      </w:pPr>
      <w:r>
        <w:rPr>
          <w:b/>
          <w:bCs/>
          <w:sz w:val="28"/>
          <w:szCs w:val="28"/>
          <w:rFonts w:ascii="Arial" w:cs="Arial" w:eastAsia="Arial" w:hAnsi="Arial"/>
        </w:rPr>
        <w:t xml:space="preserve">Section 9.C. Confidentiality Obligations</w:t>
      </w:r>
    </w:p>
    <w:p>
      <w:pPr>
        <w:spacing w:before="80" w:after="120"/>
      </w:pPr>
      <w:r>
        <w:rPr>
          <w:sz w:val="22"/>
          <w:szCs w:val="22"/>
          <w:rFonts w:ascii="Arial" w:cs="Arial" w:eastAsia="Arial" w:hAnsi="Arial"/>
        </w:rPr>
        <w:t xml:space="preserve">All Company personnel who receive or access confidential legal information are subject to confidentiality obligations. The Department enforces these obligations through:</w:t>
      </w:r>
    </w:p>
    <w:p>
      <w:pPr>
        <w:pStyle w:val="ListParagraph"/>
        <w:numPr>
          <w:ilvl w:val="0"/>
          <w:numId w:val="4"/>
        </w:numPr>
        <w:spacing w:before="40" w:after="40"/>
      </w:pPr>
      <w:r>
        <w:rPr>
          <w:sz w:val="22"/>
          <w:szCs w:val="22"/>
          <w:rFonts w:ascii="Arial" w:cs="Arial" w:eastAsia="Arial" w:hAnsi="Arial"/>
        </w:rPr>
        <w:t xml:space="preserve">Confidentiality acknowledgments signed by all Department personnel upon hire and annually thereafter</w:t>
      </w:r>
    </w:p>
    <w:p>
      <w:pPr>
        <w:pStyle w:val="ListParagraph"/>
        <w:numPr>
          <w:ilvl w:val="0"/>
          <w:numId w:val="4"/>
        </w:numPr>
        <w:spacing w:before="40" w:after="40"/>
      </w:pPr>
      <w:r>
        <w:rPr>
          <w:sz w:val="22"/>
          <w:szCs w:val="22"/>
          <w:rFonts w:ascii="Arial" w:cs="Arial" w:eastAsia="Arial" w:hAnsi="Arial"/>
        </w:rPr>
        <w:t xml:space="preserve">Confidentiality provisions in engagement letters with outside counsel</w:t>
      </w:r>
    </w:p>
    <w:p>
      <w:pPr>
        <w:pStyle w:val="ListParagraph"/>
        <w:numPr>
          <w:ilvl w:val="0"/>
          <w:numId w:val="4"/>
        </w:numPr>
        <w:spacing w:before="40" w:after="40"/>
      </w:pPr>
      <w:r>
        <w:rPr>
          <w:sz w:val="22"/>
          <w:szCs w:val="22"/>
          <w:rFonts w:ascii="Arial" w:cs="Arial" w:eastAsia="Arial" w:hAnsi="Arial"/>
        </w:rPr>
        <w:t xml:space="preserve">Confidentiality provisions in vendor agreements for any vendor with access to legal information</w:t>
      </w:r>
    </w:p>
    <w:p>
      <w:pPr>
        <w:pStyle w:val="ListParagraph"/>
        <w:numPr>
          <w:ilvl w:val="0"/>
          <w:numId w:val="4"/>
        </w:numPr>
        <w:spacing w:before="40" w:after="40"/>
      </w:pPr>
      <w:r>
        <w:rPr>
          <w:sz w:val="22"/>
          <w:szCs w:val="22"/>
          <w:rFonts w:ascii="Arial" w:cs="Arial" w:eastAsia="Arial" w:hAnsi="Arial"/>
        </w:rPr>
        <w:t xml:space="preserve">Training on confidentiality obligations as part of the Department's training program (Section 13)</w:t>
      </w:r>
    </w:p>
    <w:p>
      <w:pPr>
        <w:spacing w:before="80" w:after="120"/>
      </w:pPr>
      <w:r>
        <w:rPr>
          <w:sz w:val="22"/>
          <w:szCs w:val="22"/>
          <w:rFonts w:ascii="Arial" w:cs="Arial" w:eastAsia="Arial" w:hAnsi="Arial"/>
        </w:rPr>
        <w:t xml:space="preserve">Document retention periods and destruction procedures are governed by Section 10 of this Manual. All personnel must comply with applicable litigation holds, which supersede any retention schedule (see Section 10.C).</w:t>
      </w:r>
    </w:p>
    <w:p>
      <w:pPr>
        <w:pStyle w:val="Heading2"/>
        <w:spacing w:before="200" w:after="120"/>
      </w:pPr>
      <w:r>
        <w:rPr>
          <w:b/>
          <w:bCs/>
          <w:sz w:val="28"/>
          <w:szCs w:val="28"/>
          <w:rFonts w:ascii="Arial" w:cs="Arial" w:eastAsia="Arial" w:hAnsi="Arial"/>
        </w:rPr>
        <w:t xml:space="preserve">Section 9.D. Fair Housing and ADA Compliance Records</w:t>
      </w:r>
    </w:p>
    <w:p>
      <w:pPr>
        <w:spacing w:before="80" w:after="120"/>
      </w:pPr>
      <w:r>
        <w:rPr>
          <w:sz w:val="22"/>
          <w:szCs w:val="22"/>
          <w:rFonts w:ascii="Arial" w:cs="Arial" w:eastAsia="Arial" w:hAnsi="Arial"/>
        </w:rPr>
        <w:t xml:space="preserve">The Department maintains appropriate confidentiality protections for records related to Fair Housing Act and Americans with Disabilities Act compliance, including:</w:t>
      </w:r>
    </w:p>
    <w:p>
      <w:pPr>
        <w:pStyle w:val="ListParagraph"/>
        <w:numPr>
          <w:ilvl w:val="0"/>
          <w:numId w:val="4"/>
        </w:numPr>
        <w:spacing w:before="40" w:after="40"/>
      </w:pPr>
      <w:r>
        <w:rPr>
          <w:sz w:val="22"/>
          <w:szCs w:val="22"/>
          <w:rFonts w:ascii="Arial" w:cs="Arial" w:eastAsia="Arial" w:hAnsi="Arial"/>
        </w:rPr>
        <w:t xml:space="preserve">Maintaining records of all fair housing and ADA complaints, investigations, and resolutions</w:t>
      </w:r>
    </w:p>
    <w:p>
      <w:pPr>
        <w:pStyle w:val="ListParagraph"/>
        <w:numPr>
          <w:ilvl w:val="0"/>
          <w:numId w:val="4"/>
        </w:numPr>
        <w:spacing w:before="40" w:after="40"/>
      </w:pPr>
      <w:r>
        <w:rPr>
          <w:sz w:val="22"/>
          <w:szCs w:val="22"/>
          <w:rFonts w:ascii="Arial" w:cs="Arial" w:eastAsia="Arial" w:hAnsi="Arial"/>
        </w:rPr>
        <w:t xml:space="preserve">Ensuring that all fair housing and ADA complaint records are retained in accordance with the retention schedule in Section 10.A and are stored in access-restricted SharePoint folders</w:t>
      </w:r>
    </w:p>
    <w:p>
      <w:pPr>
        <w:pStyle w:val="ListParagraph"/>
        <w:numPr>
          <w:ilvl w:val="0"/>
          <w:numId w:val="4"/>
        </w:numPr>
        <w:spacing w:before="40" w:after="40"/>
      </w:pPr>
      <w:r>
        <w:rPr>
          <w:sz w:val="22"/>
          <w:szCs w:val="22"/>
          <w:rFonts w:ascii="Arial" w:cs="Arial" w:eastAsia="Arial" w:hAnsi="Arial"/>
        </w:rPr>
        <w:t xml:space="preserve">Coordinating with Property Management and Human Resources on fair housing and ADA training requirements</w:t>
      </w:r>
    </w:p>
    <w:p>
      <w:r>
        <w:br w:type="page"/>
      </w:r>
    </w:p>
    <w:p>
      <w:pPr>
        <w:pStyle w:val="Heading1"/>
        <w:spacing w:before="240" w:after="200"/>
      </w:pPr>
      <w:r>
        <w:rPr>
          <w:b/>
          <w:bCs/>
          <w:sz w:val="32"/>
          <w:szCs w:val="32"/>
          <w:rFonts w:ascii="Arial" w:cs="Arial" w:eastAsia="Arial" w:hAnsi="Arial"/>
        </w:rPr>
        <w:t xml:space="preserve">SECTION 10. DOCUMENT RETENTION &amp; LITIGATION HOLD PROCEDURES</w:t>
      </w:r>
    </w:p>
    <w:p>
      <w:pPr>
        <w:spacing w:before="80" w:after="120"/>
      </w:pPr>
      <w:r>
        <w:rPr>
          <w:sz w:val="22"/>
          <w:szCs w:val="22"/>
          <w:rFonts w:ascii="Arial" w:cs="Arial" w:eastAsia="Arial" w:hAnsi="Arial"/>
        </w:rPr>
        <w:t xml:space="preserve">This section establishes the Company's comprehensive document retention schedule, litigation hold procedures, electronic records management requirements, and destruction protocols. These procedures are designed to ensure compliance with applicable legal and regulatory obligations, to preserve the Company's ability to defend its interests in litigation, and to protect against spoliation claims.</w:t>
      </w:r>
    </w:p>
    <w:p>
      <w:pPr>
        <w:pStyle w:val="Heading2"/>
        <w:spacing w:before="200" w:after="120"/>
      </w:pPr>
      <w:r>
        <w:rPr>
          <w:b/>
          <w:bCs/>
          <w:sz w:val="28"/>
          <w:szCs w:val="28"/>
          <w:rFonts w:ascii="Arial" w:cs="Arial" w:eastAsia="Arial" w:hAnsi="Arial"/>
        </w:rPr>
        <w:t xml:space="preserve">Section 10.A. Document Retention Schedule</w:t>
      </w:r>
    </w:p>
    <w:p>
      <w:pPr>
        <w:spacing w:before="80" w:after="120"/>
      </w:pPr>
      <w:r>
        <w:rPr>
          <w:sz w:val="22"/>
          <w:szCs w:val="22"/>
          <w:rFonts w:ascii="Arial" w:cs="Arial" w:eastAsia="Arial" w:hAnsi="Arial"/>
        </w:rPr>
        <w:t xml:space="preserve">The following retention schedule applies to all Company records, regardless of format (paper, electronic, or other media). Retention periods are measured from the applicable trigger date specified below. Where multiple retention periods may apply to a single document, the longest applicable period governs.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Document Category</w:t>
            </w:r>
          </w:p>
        </w:tc>
        <w:tc>
          <w:tcPr>
            <w:tcW w:type="dxa" w:w="1872"/>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Retention Period</w:t>
            </w:r>
          </w:p>
        </w:tc>
        <w:tc>
          <w:tcPr>
            <w:tcW w:type="dxa" w:w="1872"/>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Trigger Date</w:t>
            </w:r>
          </w:p>
        </w:tc>
        <w:tc>
          <w:tcPr>
            <w:tcW w:type="dxa" w:w="1872"/>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Regulatory Basis</w:t>
            </w:r>
          </w:p>
        </w:tc>
        <w:tc>
          <w:tcPr>
            <w:tcW w:type="dxa" w:w="1872"/>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Storage Location</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Executed Leases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Life of lease + 7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Lease expiration or termination</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State statutes of limitation; IRS record requirements (26 CFR 1.6001-1)</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ShareFile</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Lease Drafts and Negotiation Files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Until final version is executed, then destroy</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Execution of final lease</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Privilege preservation; work product protection</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 (Privileged Legal Site)</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Litigation Files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Life of matter + 10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Final resolution (judgment, settlement, or dismissal)</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State statutes of limitation for malpractice; insurance policy requirements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 (Privileged Legal Site)</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Corporate Governance Records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Permanent</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State corporate/LLC statutes; IRS requirements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Board Minutes and Consents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Permanent</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State corporate governance requirements; fiduciary obligations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Tax Records and Returns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7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Date of filing or payment, whichever is later</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26 U.S.C. 6501 (IRS statute of limitations); state equivalents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 / Finance</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Outside Counsel Invoices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7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Date of payment</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IRS record requirements; audit support</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 / Finance</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General Business Correspondence</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5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Date of correspondence</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Business records retention best practices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Email Communications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5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Date of email</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Business records retention; ESI management obligations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Exchange / Archive System</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Microsoft Teams Messages and Channels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3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Date of message</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ESI management; informal communications preservation obligations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Teams Compliance Archive</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Slack Messages (if applicable)</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3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Date of message</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ESI management; informal communications preservation obligations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Slack Enterprise Archive</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Text Messages (SMS/iMessage) -- Business-Related</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3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Date of message</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ESI management; BYOD policy compliance</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Mobile Archive Solution</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Voicemail Recordings -- Business-Related</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1 year</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Date of recording</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Business records retention</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Voicemail Archive</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Regulatory Filings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Permanent</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Regulatory compliance requirements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REIT Compliance Records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Permanent</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IRC 856 et seq.; state REIT statutes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SEC Filings and Support</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Permanent</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Securities Exchange Act of 1934; SEC rules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Insurance Policies and Certificates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Life of policy + 10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Policy expiration</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Long-tail liability coverage; occurrence-based claims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Environmental Records and Assessments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Permanent</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CERCLA; state environmental statutes (no statute of limitations for some claims)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Employment Records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Termination + 7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Date of termination</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Title VII (EEOC); ADEA; state employment laws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HR System / SharePoint</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Fair Housing / ADA Complaint Files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Resolution + 7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Date of final resolution</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Fair Housing Act; ADA; state human rights laws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 (restricted access)</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Whistleblower Reports and Investigation Files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Resolution + 7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Date of final resolution</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SOX (if applicable); state whistleblower statutes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 (restricted access)</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Contracts (non-lease)</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Expiration + 7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Contract expiration or termination</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State statutes of limitation for contract claims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Real Property Records (deeds, title policies, surveys)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Permanent</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Real property law; title defense</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 / Physical Vault</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Financial Statements and Audit Reports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Permanent</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SEC requirements (if applicable); lender covenants; investor obligations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Finance System / SharePoint</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Incident Reports and Safety Records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Event + 7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Date of incident</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OSHA requirements; state workers' compensation statutes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 / Property Mgmt</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Entity Formation and Qualification Documents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Life of entity + 7 years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Entity dissolution or withdrawal</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State corporate/LLC statutes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Entity Mgmt System / SharePoint</w:t>
            </w:r>
          </w:p>
        </w:tc>
      </w:tr>
    </w:tbl>
    <w:p>
      <w:pPr>
        <w:spacing w:after="200"/>
      </w:pPr>
    </w:p>
    <w:p>
      <w:pPr>
        <w:spacing w:before="80" w:after="120"/>
      </w:pPr>
      <w:r>
        <w:rPr>
          <w:sz w:val="22"/>
          <w:szCs w:val="22"/>
          <w:rFonts w:ascii="Arial" w:cs="Arial" w:eastAsia="Arial" w:hAnsi="Arial"/>
        </w:rPr>
        <w:t xml:space="preserve">Records not specifically listed above must be retained for a minimum of five (5) years from the date of creation unless a shorter or longer period is required by applicable law or regulation. The General Counsel must approve the retention period for any unlisted record category.</w:t>
      </w:r>
    </w:p>
    <w:p>
      <w:pPr>
        <w:pStyle w:val="Heading2"/>
        <w:spacing w:before="200" w:after="120"/>
      </w:pPr>
      <w:r>
        <w:rPr>
          <w:b/>
          <w:bCs/>
          <w:sz w:val="28"/>
          <w:szCs w:val="28"/>
          <w:rFonts w:ascii="Arial" w:cs="Arial" w:eastAsia="Arial" w:hAnsi="Arial"/>
        </w:rPr>
        <w:t xml:space="preserve">Section 10.B. Electronic Records Management</w:t>
      </w:r>
    </w:p>
    <w:p>
      <w:pPr>
        <w:spacing w:before="80" w:after="120"/>
      </w:pPr>
      <w:r>
        <w:rPr>
          <w:sz w:val="22"/>
          <w:szCs w:val="22"/>
          <w:rFonts w:ascii="Arial" w:cs="Arial" w:eastAsia="Arial" w:hAnsi="Arial"/>
        </w:rPr>
        <w:t xml:space="preserve">The Company generates and receives electronic records across multiple platforms. The following requirements apply to the management of all electronically stored information ("ESI"):</w:t>
      </w:r>
    </w:p>
    <w:p>
      <w:pPr>
        <w:pStyle w:val="ListParagraph"/>
        <w:numPr>
          <w:ilvl w:val="0"/>
          <w:numId w:val="4"/>
        </w:numPr>
        <w:spacing w:before="40" w:after="40"/>
      </w:pPr>
      <w:r>
        <w:rPr>
          <w:b/>
          <w:bCs/>
          <w:sz w:val="22"/>
          <w:szCs w:val="22"/>
          <w:rFonts w:ascii="Arial" w:cs="Arial" w:eastAsia="Arial" w:hAnsi="Arial"/>
        </w:rPr>
        <w:t xml:space="preserve">Email.</w:t>
      </w:r>
      <w:r>
        <w:rPr>
          <w:sz w:val="22"/>
          <w:szCs w:val="22"/>
          <w:rFonts w:ascii="Arial" w:cs="Arial" w:eastAsia="Arial" w:hAnsi="Arial"/>
        </w:rPr>
        <w:t xml:space="preserve"> All business email is retained in the Company's email archiving system for the retention period specified in Section 10.A. Employees must not delete emails from the archive system. Personal email accounts must not be used for Company business.</w:t>
      </w:r>
    </w:p>
    <w:p>
      <w:pPr>
        <w:pStyle w:val="ListParagraph"/>
        <w:numPr>
          <w:ilvl w:val="0"/>
          <w:numId w:val="4"/>
        </w:numPr>
        <w:spacing w:before="40" w:after="40"/>
      </w:pPr>
      <w:r>
        <w:rPr>
          <w:b/>
          <w:bCs/>
          <w:sz w:val="22"/>
          <w:szCs w:val="22"/>
          <w:rFonts w:ascii="Arial" w:cs="Arial" w:eastAsia="Arial" w:hAnsi="Arial"/>
        </w:rPr>
        <w:t xml:space="preserve">Microsoft Teams.</w:t>
      </w:r>
      <w:r>
        <w:rPr>
          <w:sz w:val="22"/>
          <w:szCs w:val="22"/>
          <w:rFonts w:ascii="Arial" w:cs="Arial" w:eastAsia="Arial" w:hAnsi="Arial"/>
        </w:rPr>
        <w:t xml:space="preserve"> All Teams messages, including direct messages and channel conversations, are captured by the Company's compliance archiving solution and retained per the schedule in Section 10.A. Employees must not use personal messaging applications for Company business communications.</w:t>
      </w:r>
    </w:p>
    <w:p>
      <w:pPr>
        <w:pStyle w:val="ListParagraph"/>
        <w:numPr>
          <w:ilvl w:val="0"/>
          <w:numId w:val="4"/>
        </w:numPr>
        <w:spacing w:before="40" w:after="40"/>
      </w:pPr>
      <w:r>
        <w:rPr>
          <w:b/>
          <w:bCs/>
          <w:sz w:val="22"/>
          <w:szCs w:val="22"/>
          <w:rFonts w:ascii="Arial" w:cs="Arial" w:eastAsia="Arial" w:hAnsi="Arial"/>
        </w:rPr>
        <w:t xml:space="preserve">Text Messages (SMS/iMessage).</w:t>
      </w:r>
      <w:r>
        <w:rPr>
          <w:sz w:val="22"/>
          <w:szCs w:val="22"/>
          <w:rFonts w:ascii="Arial" w:cs="Arial" w:eastAsia="Arial" w:hAnsi="Arial"/>
        </w:rPr>
        <w:t xml:space="preserve"> Business-related text messages must be captured using the Company's approved mobile archiving solution. Employees who use personal devices for Company business must enroll in the Company's mobile device management (MDM) program or approved archiving application. Pending deployment of the Company's mobile archiving solution, employees must forward all business-related text messages to their Company email account within 24 hours of receipt or transmission.</w:t>
      </w:r>
    </w:p>
    <w:p>
      <w:pPr>
        <w:pStyle w:val="ListParagraph"/>
        <w:numPr>
          <w:ilvl w:val="0"/>
          <w:numId w:val="4"/>
        </w:numPr>
        <w:spacing w:before="40" w:after="40"/>
      </w:pPr>
      <w:r>
        <w:rPr>
          <w:b/>
          <w:bCs/>
          <w:sz w:val="22"/>
          <w:szCs w:val="22"/>
          <w:rFonts w:ascii="Arial" w:cs="Arial" w:eastAsia="Arial" w:hAnsi="Arial"/>
        </w:rPr>
        <w:t xml:space="preserve">Cloud Storage.</w:t>
      </w:r>
      <w:r>
        <w:rPr>
          <w:sz w:val="22"/>
          <w:szCs w:val="22"/>
          <w:rFonts w:ascii="Arial" w:cs="Arial" w:eastAsia="Arial" w:hAnsi="Arial"/>
        </w:rPr>
        <w:t xml:space="preserve"> Company documents must be stored only in approved cloud platforms (SharePoint, ShareFile). Use of personal cloud storage (Dropbox, Google Drive, iCloud, OneDrive personal) for Company business is prohibited.</w:t>
      </w:r>
    </w:p>
    <w:p>
      <w:pPr>
        <w:pStyle w:val="ListParagraph"/>
        <w:numPr>
          <w:ilvl w:val="0"/>
          <w:numId w:val="4"/>
        </w:numPr>
        <w:spacing w:before="40" w:after="40"/>
      </w:pPr>
      <w:r>
        <w:rPr>
          <w:b/>
          <w:bCs/>
          <w:sz w:val="22"/>
          <w:szCs w:val="22"/>
          <w:rFonts w:ascii="Arial" w:cs="Arial" w:eastAsia="Arial" w:hAnsi="Arial"/>
        </w:rPr>
        <w:t xml:space="preserve">Voicemail.</w:t>
      </w:r>
      <w:r>
        <w:rPr>
          <w:sz w:val="22"/>
          <w:szCs w:val="22"/>
          <w:rFonts w:ascii="Arial" w:cs="Arial" w:eastAsia="Arial" w:hAnsi="Arial"/>
        </w:rPr>
        <w:t xml:space="preserve"> Business voicemails are retained per the schedule in Section 10.A. The IT Department is responsible for configuring voicemail retention settings in accordance with this policy.</w:t>
      </w:r>
    </w:p>
    <w:p>
      <w:pPr>
        <w:spacing w:before="80" w:after="120"/>
      </w:pPr>
      <w:r>
        <w:rPr>
          <w:sz w:val="22"/>
          <w:szCs w:val="22"/>
          <w:rFonts w:ascii="Arial" w:cs="Arial" w:eastAsia="Arial" w:hAnsi="Arial"/>
        </w:rPr>
        <w:t xml:space="preserve">The Legal Department, in coordination with IT, must conduct an annual audit of electronic records management compliance to verify that archiving systems are functioning as required and that retention settings are properly configured.</w:t>
      </w:r>
    </w:p>
    <w:p>
      <w:pPr>
        <w:pStyle w:val="Heading2"/>
        <w:spacing w:before="200" w:after="120"/>
      </w:pPr>
      <w:r>
        <w:rPr>
          <w:b/>
          <w:bCs/>
          <w:sz w:val="28"/>
          <w:szCs w:val="28"/>
          <w:rFonts w:ascii="Arial" w:cs="Arial" w:eastAsia="Arial" w:hAnsi="Arial"/>
        </w:rPr>
        <w:t xml:space="preserve">Section 10.C. Litigation Hold Procedures</w:t>
      </w:r>
    </w:p>
    <w:p>
      <w:pPr>
        <w:spacing w:before="80" w:after="120"/>
      </w:pPr>
      <w:r>
        <w:rPr>
          <w:sz w:val="22"/>
          <w:szCs w:val="22"/>
          <w:rFonts w:ascii="Arial" w:cs="Arial" w:eastAsia="Arial" w:hAnsi="Arial"/>
        </w:rPr>
        <w:t xml:space="preserve">Upon identification of a matter that reasonably may result in litigation, arbitration, governmental investigation, or regulatory inquiry, the Legal Department must implement a litigation hold to preserve all potentially relevant documents, communications, and ESI. A litigation hold supersedes all retention schedules and destruction protocols set forth in this Manual.</w:t>
      </w:r>
    </w:p>
    <w:p>
      <w:pPr>
        <w:spacing w:before="80" w:after="120"/>
      </w:pPr>
      <w:r>
        <w:rPr>
          <w:b/>
          <w:bCs/>
          <w:sz w:val="22"/>
          <w:szCs w:val="22"/>
          <w:rFonts w:ascii="Arial" w:cs="Arial" w:eastAsia="Arial" w:hAnsi="Arial"/>
        </w:rPr>
        <w:t xml:space="preserve">Section 10.C.1. First 48 Hours -- Litigation Response Checklist.</w:t>
      </w:r>
      <w:r>
        <w:rPr>
          <w:sz w:val="22"/>
          <w:szCs w:val="22"/>
          <w:rFonts w:ascii="Arial" w:cs="Arial" w:eastAsia="Arial" w:hAnsi="Arial"/>
        </w:rPr>
        <w:t xml:space="preserve"> Upon identification of a litigation trigger event, the following actions must be completed within forty-eight (48) hours:</w:t>
      </w:r>
    </w:p>
    <w:p>
      <w:pPr>
        <w:pStyle w:val="ListParagraph"/>
        <w:numPr>
          <w:ilvl w:val="0"/>
          <w:numId w:val="5"/>
        </w:numPr>
        <w:spacing w:before="40" w:after="40"/>
      </w:pPr>
      <w:r>
        <w:rPr>
          <w:sz w:val="22"/>
          <w:szCs w:val="22"/>
          <w:rFonts w:ascii="Arial" w:cs="Arial" w:eastAsia="Arial" w:hAnsi="Arial"/>
        </w:rPr>
        <w:t xml:space="preserve">The General Counsel (or designee) identifies all potentially relevant custodians, data sources, and document repositories.</w:t>
      </w:r>
    </w:p>
    <w:p>
      <w:pPr>
        <w:pStyle w:val="ListParagraph"/>
        <w:numPr>
          <w:ilvl w:val="0"/>
          <w:numId w:val="5"/>
        </w:numPr>
        <w:spacing w:before="40" w:after="40"/>
      </w:pPr>
      <w:r>
        <w:rPr>
          <w:sz w:val="22"/>
          <w:szCs w:val="22"/>
          <w:rFonts w:ascii="Arial" w:cs="Arial" w:eastAsia="Arial" w:hAnsi="Arial"/>
        </w:rPr>
        <w:t xml:space="preserve">The General Counsel (or designee) drafts and issues a written Litigation Hold Notice to all identified custodians, specifying: (a) the matter giving rise to the hold; (b) the categories of documents and ESI to be preserved; (c) the custodian's obligation to preserve all potentially relevant materials, including materials on personal devices and in personal cloud storage; and (d) the prohibition on destruction, alteration, or deletion of any potentially relevant materials.</w:t>
      </w:r>
    </w:p>
    <w:p>
      <w:pPr>
        <w:pStyle w:val="ListParagraph"/>
        <w:numPr>
          <w:ilvl w:val="0"/>
          <w:numId w:val="5"/>
        </w:numPr>
        <w:spacing w:before="40" w:after="40"/>
      </w:pPr>
      <w:r>
        <w:rPr>
          <w:sz w:val="22"/>
          <w:szCs w:val="22"/>
          <w:rFonts w:ascii="Arial" w:cs="Arial" w:eastAsia="Arial" w:hAnsi="Arial"/>
        </w:rPr>
        <w:t xml:space="preserve">The Legal Department submits a Litigation Hold -- IT Coordination Form (see Section 10.F) to the IT Department, requesting suspension of all automated deletion, archiving, or overwrite processes for data within the scope of the hold.</w:t>
      </w:r>
    </w:p>
    <w:p>
      <w:pPr>
        <w:pStyle w:val="ListParagraph"/>
        <w:numPr>
          <w:ilvl w:val="0"/>
          <w:numId w:val="5"/>
        </w:numPr>
        <w:spacing w:before="40" w:after="40"/>
      </w:pPr>
      <w:r>
        <w:rPr>
          <w:sz w:val="22"/>
          <w:szCs w:val="22"/>
          <w:rFonts w:ascii="Arial" w:cs="Arial" w:eastAsia="Arial" w:hAnsi="Arial"/>
        </w:rPr>
        <w:t xml:space="preserve">The Legal Department notifies engaged outside counsel (if any) of the hold and coordinates on preservation scope.</w:t>
      </w:r>
    </w:p>
    <w:p>
      <w:pPr>
        <w:pStyle w:val="ListParagraph"/>
        <w:numPr>
          <w:ilvl w:val="0"/>
          <w:numId w:val="5"/>
        </w:numPr>
        <w:spacing w:before="40" w:after="40"/>
      </w:pPr>
      <w:r>
        <w:rPr>
          <w:sz w:val="22"/>
          <w:szCs w:val="22"/>
          <w:rFonts w:ascii="Arial" w:cs="Arial" w:eastAsia="Arial" w:hAnsi="Arial"/>
        </w:rPr>
        <w:t xml:space="preserve">The General Counsel notifies executive leadership as required by Section 11 (Communication &amp; Escalation Protocols).</w:t>
      </w:r>
    </w:p>
    <w:p>
      <w:pPr>
        <w:pStyle w:val="ListParagraph"/>
        <w:numPr>
          <w:ilvl w:val="0"/>
          <w:numId w:val="5"/>
        </w:numPr>
        <w:spacing w:before="40" w:after="40"/>
      </w:pPr>
      <w:r>
        <w:rPr>
          <w:sz w:val="22"/>
          <w:szCs w:val="22"/>
          <w:rFonts w:ascii="Arial" w:cs="Arial" w:eastAsia="Arial" w:hAnsi="Arial"/>
        </w:rPr>
        <w:t xml:space="preserve">The Legal Department opens an entry in the Litigation Hold Log (see Section 10.G), recording: hold identification number, matter name, date of issuance, custodian list, and scope of preservation.</w:t>
      </w:r>
    </w:p>
    <w:p>
      <w:pPr>
        <w:spacing w:before="80" w:after="120"/>
      </w:pPr>
      <w:r>
        <w:rPr>
          <w:b/>
          <w:bCs/>
          <w:sz w:val="22"/>
          <w:szCs w:val="22"/>
          <w:rFonts w:ascii="Arial" w:cs="Arial" w:eastAsia="Arial" w:hAnsi="Arial"/>
        </w:rPr>
        <w:t xml:space="preserve">Section 10.C.2. Custodian Acknowledgment.</w:t>
      </w:r>
      <w:r>
        <w:rPr>
          <w:sz w:val="22"/>
          <w:szCs w:val="22"/>
          <w:rFonts w:ascii="Arial" w:cs="Arial" w:eastAsia="Arial" w:hAnsi="Arial"/>
        </w:rPr>
        <w:t xml:space="preserve"> Each custodian who receives a Litigation Hold Notice must acknowledge receipt in writing (email acknowledgment is sufficient) within seventy-two (72) hours of issuance.</w:t>
      </w:r>
    </w:p>
    <w:p>
      <w:pPr>
        <w:spacing w:before="80" w:after="120"/>
      </w:pPr>
      <w:r>
        <w:rPr>
          <w:b/>
          <w:bCs/>
          <w:sz w:val="22"/>
          <w:szCs w:val="22"/>
          <w:rFonts w:ascii="Arial" w:cs="Arial" w:eastAsia="Arial" w:hAnsi="Arial"/>
        </w:rPr>
        <w:t xml:space="preserve">Section 10.C.3. Escalation for Non-Acknowledgment.</w:t>
      </w:r>
      <w:r>
        <w:rPr>
          <w:sz w:val="22"/>
          <w:szCs w:val="22"/>
          <w:rFonts w:ascii="Arial" w:cs="Arial" w:eastAsia="Arial" w:hAnsi="Arial"/>
        </w:rPr>
        <w:t xml:space="preserve"> If a custodian does not acknowledge within seventy-two (72) hours:</w:t>
      </w:r>
    </w:p>
    <w:p>
      <w:pPr>
        <w:pStyle w:val="ListParagraph"/>
        <w:numPr>
          <w:ilvl w:val="0"/>
          <w:numId w:val="5"/>
        </w:numPr>
        <w:spacing w:before="40" w:after="40"/>
      </w:pPr>
      <w:r>
        <w:rPr>
          <w:sz w:val="22"/>
          <w:szCs w:val="22"/>
          <w:rFonts w:ascii="Arial" w:cs="Arial" w:eastAsia="Arial" w:hAnsi="Arial"/>
        </w:rPr>
        <w:t xml:space="preserve">The Legal Department issues a second written notice to the custodian, copying the custodian's direct supervisor.</w:t>
      </w:r>
    </w:p>
    <w:p>
      <w:pPr>
        <w:pStyle w:val="ListParagraph"/>
        <w:numPr>
          <w:ilvl w:val="0"/>
          <w:numId w:val="5"/>
        </w:numPr>
        <w:spacing w:before="40" w:after="40"/>
      </w:pPr>
      <w:r>
        <w:rPr>
          <w:sz w:val="22"/>
          <w:szCs w:val="22"/>
          <w:rFonts w:ascii="Arial" w:cs="Arial" w:eastAsia="Arial" w:hAnsi="Arial"/>
        </w:rPr>
        <w:t xml:space="preserve">If no acknowledgment is received within an additional forty-eight (48) hours, the Legal Department escalates to the custodian's department head and Human Resources.</w:t>
      </w:r>
    </w:p>
    <w:p>
      <w:pPr>
        <w:pStyle w:val="ListParagraph"/>
        <w:numPr>
          <w:ilvl w:val="0"/>
          <w:numId w:val="5"/>
        </w:numPr>
        <w:spacing w:before="40" w:after="40"/>
      </w:pPr>
      <w:r>
        <w:rPr>
          <w:sz w:val="22"/>
          <w:szCs w:val="22"/>
          <w:rFonts w:ascii="Arial" w:cs="Arial" w:eastAsia="Arial" w:hAnsi="Arial"/>
        </w:rPr>
        <w:t xml:space="preserve">If the custodian remains non-responsive, the General Counsel directs IT to implement technical preservation measures (e.g., imaging the custodian's devices, placing a hold on the custodian's email account) and documents the non-compliance for potential disciplinary action.</w:t>
      </w:r>
    </w:p>
    <w:p>
      <w:pPr>
        <w:spacing w:before="80" w:after="120"/>
      </w:pPr>
      <w:r>
        <w:rPr>
          <w:b/>
          <w:bCs/>
          <w:sz w:val="22"/>
          <w:szCs w:val="22"/>
          <w:rFonts w:ascii="Arial" w:cs="Arial" w:eastAsia="Arial" w:hAnsi="Arial"/>
        </w:rPr>
        <w:t xml:space="preserve">Section 10.C.4. Quarterly Re-Certification.</w:t>
      </w:r>
      <w:r>
        <w:rPr>
          <w:sz w:val="22"/>
          <w:szCs w:val="22"/>
          <w:rFonts w:ascii="Arial" w:cs="Arial" w:eastAsia="Arial" w:hAnsi="Arial"/>
        </w:rPr>
        <w:t xml:space="preserve"> For all active litigation holds, the Legal Department must conduct a quarterly re-certification process, issuing Re-Certification Notices to all custodians and documenting compliance status in the Litigation Hold Log.</w:t>
      </w:r>
    </w:p>
    <w:p>
      <w:pPr>
        <w:spacing w:before="80" w:after="120"/>
      </w:pPr>
      <w:r>
        <w:rPr>
          <w:b/>
          <w:bCs/>
          <w:sz w:val="22"/>
          <w:szCs w:val="22"/>
          <w:rFonts w:ascii="Arial" w:cs="Arial" w:eastAsia="Arial" w:hAnsi="Arial"/>
        </w:rPr>
        <w:t xml:space="preserve">Section 10.C.5. Scope of Preservation -- Personal Devices and Cloud Storage.</w:t>
      </w:r>
      <w:r>
        <w:rPr>
          <w:sz w:val="22"/>
          <w:szCs w:val="22"/>
          <w:rFonts w:ascii="Arial" w:cs="Arial" w:eastAsia="Arial" w:hAnsi="Arial"/>
        </w:rPr>
        <w:t xml:space="preserve"> Litigation holds must encompass all potentially relevant materials regardless of storage location, including Company systems, Company-issued devices, personal devices used for Company business, personal cloud storage accounts, hard-copy documents, and backup tapes.</w:t>
      </w:r>
    </w:p>
    <w:p>
      <w:pPr>
        <w:spacing w:before="80" w:after="120"/>
      </w:pPr>
      <w:r>
        <w:rPr>
          <w:b/>
          <w:bCs/>
          <w:sz w:val="22"/>
          <w:szCs w:val="22"/>
          <w:rFonts w:ascii="Arial" w:cs="Arial" w:eastAsia="Arial" w:hAnsi="Arial"/>
        </w:rPr>
        <w:t xml:space="preserve">Section 10.C.6. Integration with Retention Schedule.</w:t>
      </w:r>
      <w:r>
        <w:rPr>
          <w:sz w:val="22"/>
          <w:szCs w:val="22"/>
          <w:rFonts w:ascii="Arial" w:cs="Arial" w:eastAsia="Arial" w:hAnsi="Arial"/>
        </w:rPr>
        <w:t xml:space="preserve"> An active litigation hold supersedes all retention schedule provisions for documents within the scope of the hold. The Legal Department must cross-reference the Litigation Hold Log against the retention schedule before authorizing any document destruction.</w:t>
      </w:r>
    </w:p>
    <w:p>
      <w:pPr>
        <w:pStyle w:val="Heading2"/>
        <w:spacing w:before="200" w:after="120"/>
      </w:pPr>
      <w:r>
        <w:rPr>
          <w:b/>
          <w:bCs/>
          <w:sz w:val="28"/>
          <w:szCs w:val="28"/>
          <w:rFonts w:ascii="Arial" w:cs="Arial" w:eastAsia="Arial" w:hAnsi="Arial"/>
        </w:rPr>
        <w:t xml:space="preserve">Section 10.D. Hold Release and Document Destruction</w:t>
      </w:r>
    </w:p>
    <w:p>
      <w:pPr>
        <w:spacing w:before="80" w:after="120"/>
      </w:pPr>
      <w:r>
        <w:rPr>
          <w:b/>
          <w:bCs/>
          <w:sz w:val="22"/>
          <w:szCs w:val="22"/>
          <w:rFonts w:ascii="Arial" w:cs="Arial" w:eastAsia="Arial" w:hAnsi="Arial"/>
        </w:rPr>
        <w:t xml:space="preserve">Section 10.D.1. Hold Release.</w:t>
      </w:r>
      <w:r>
        <w:rPr>
          <w:sz w:val="22"/>
          <w:szCs w:val="22"/>
          <w:rFonts w:ascii="Arial" w:cs="Arial" w:eastAsia="Arial" w:hAnsi="Arial"/>
        </w:rPr>
        <w:t xml:space="preserve"> A litigation hold may be released only upon written authorization of the General Counsel, following confirmation that the underlying matter has been fully resolved and all applicable appeal periods have expired.</w:t>
      </w:r>
    </w:p>
    <w:p>
      <w:pPr>
        <w:spacing w:before="80" w:after="120"/>
      </w:pPr>
      <w:r>
        <w:rPr>
          <w:b/>
          <w:bCs/>
          <w:sz w:val="22"/>
          <w:szCs w:val="22"/>
          <w:rFonts w:ascii="Arial" w:cs="Arial" w:eastAsia="Arial" w:hAnsi="Arial"/>
        </w:rPr>
        <w:t xml:space="preserve">Section 10.D.2. Document Destruction Procedures.</w:t>
      </w:r>
      <w:r>
        <w:rPr>
          <w:sz w:val="22"/>
          <w:szCs w:val="22"/>
          <w:rFonts w:ascii="Arial" w:cs="Arial" w:eastAsia="Arial" w:hAnsi="Arial"/>
        </w:rPr>
        <w:t xml:space="preserve"> Documents that have reached the end of their applicable retention period (and are not subject to any active litigation hold) must be destroyed in accordance with documented procedures, including GC-approved Destruction Authorization Memoranda and Certificates of Destruction.</w:t>
      </w:r>
    </w:p>
    <w:p>
      <w:pPr>
        <w:pStyle w:val="Heading2"/>
        <w:spacing w:before="200" w:after="120"/>
      </w:pPr>
      <w:r>
        <w:rPr>
          <w:b/>
          <w:bCs/>
          <w:sz w:val="28"/>
          <w:szCs w:val="28"/>
          <w:rFonts w:ascii="Arial" w:cs="Arial" w:eastAsia="Arial" w:hAnsi="Arial"/>
        </w:rPr>
        <w:t xml:space="preserve">Section 10.E. Privacy and Data Protection</w:t>
      </w:r>
    </w:p>
    <w:p>
      <w:pPr>
        <w:spacing w:before="80" w:after="120"/>
      </w:pPr>
      <w:r>
        <w:rPr>
          <w:sz w:val="22"/>
          <w:szCs w:val="22"/>
          <w:rFonts w:ascii="Arial" w:cs="Arial" w:eastAsia="Arial" w:hAnsi="Arial"/>
        </w:rPr>
        <w:t xml:space="preserve">The Company's document retention and destruction practices must comply with all applicable federal, state, and local privacy and data protection laws, including CCPA/CPRA, state data breach notification laws, state data disposal laws, HIPAA (to the extent applicable), and FCRA (to the extent applicable). These thresholds apply both on a per-matter basis and on an aggregate quarterly basis.</w:t>
      </w:r>
    </w:p>
    <w:p>
      <w:pPr>
        <w:pStyle w:val="Heading2"/>
        <w:spacing w:before="200" w:after="120"/>
      </w:pPr>
      <w:r>
        <w:rPr>
          <w:b/>
          <w:bCs/>
          <w:sz w:val="28"/>
          <w:szCs w:val="28"/>
          <w:rFonts w:ascii="Arial" w:cs="Arial" w:eastAsia="Arial" w:hAnsi="Arial"/>
        </w:rPr>
        <w:t xml:space="preserve">Section 10.F. Legal-to-IT Litigation Hold Coordination</w:t>
      </w:r>
    </w:p>
    <w:p>
      <w:pPr>
        <w:spacing w:before="80" w:after="120"/>
      </w:pPr>
      <w:r>
        <w:rPr>
          <w:sz w:val="22"/>
          <w:szCs w:val="22"/>
          <w:rFonts w:ascii="Arial" w:cs="Arial" w:eastAsia="Arial" w:hAnsi="Arial"/>
        </w:rPr>
        <w:t xml:space="preserve">All litigation hold implementation and release actions requiring IT support must be submitted via the Litigation Hold -- IT Coordination Form, with defined SLAs (4 business hours for acknowledgment, 24 hours for Urgent requests, 48 hours for Standard requests).</w:t>
      </w:r>
    </w:p>
    <w:p>
      <w:pPr>
        <w:pStyle w:val="Heading2"/>
        <w:spacing w:before="200" w:after="120"/>
      </w:pPr>
      <w:r>
        <w:rPr>
          <w:b/>
          <w:bCs/>
          <w:sz w:val="28"/>
          <w:szCs w:val="28"/>
          <w:rFonts w:ascii="Arial" w:cs="Arial" w:eastAsia="Arial" w:hAnsi="Arial"/>
        </w:rPr>
        <w:t xml:space="preserve">Section 10.G. Litigation Hold Audit Trail</w:t>
      </w:r>
    </w:p>
    <w:p>
      <w:pPr>
        <w:spacing w:before="80" w:after="120"/>
      </w:pPr>
      <w:r>
        <w:rPr>
          <w:sz w:val="22"/>
          <w:szCs w:val="22"/>
          <w:rFonts w:ascii="Arial" w:cs="Arial" w:eastAsia="Arial" w:hAnsi="Arial"/>
        </w:rPr>
        <w:t xml:space="preserve">The Legal Department must maintain a comprehensive Litigation Hold Log in a secure, access-restricted location within the Privileged Legal Site.</w:t>
      </w:r>
    </w:p>
    <w:p>
      <w:pPr>
        <w:pStyle w:val="Heading2"/>
        <w:spacing w:before="200" w:after="120"/>
      </w:pPr>
      <w:r>
        <w:rPr>
          <w:b/>
          <w:bCs/>
          <w:sz w:val="28"/>
          <w:szCs w:val="28"/>
          <w:rFonts w:ascii="Arial" w:cs="Arial" w:eastAsia="Arial" w:hAnsi="Arial"/>
        </w:rPr>
        <w:t xml:space="preserve">Section 10.H. SharePoint Segmentation for Privileged Materials</w:t>
      </w:r>
    </w:p>
    <w:p>
      <w:pPr>
        <w:spacing w:before="80" w:after="120"/>
      </w:pPr>
      <w:r>
        <w:rPr>
          <w:sz w:val="22"/>
          <w:szCs w:val="22"/>
          <w:rFonts w:ascii="Arial" w:cs="Arial" w:eastAsia="Arial" w:hAnsi="Arial"/>
        </w:rPr>
        <w:t xml:space="preserve">All privileged, litigation-related, and attorney work product materials must be stored in a segregated SharePoint site collection ("Privileged Legal Site") that is separate from the Company's general SharePoint environment. Access is restricted to Legal Department personnel, the GC, and specifically authorized executive leadership on a documented need-to-know basis. Outside counsel access is limited to matter-specific document libraries with time-limited permissions.</w:t>
      </w:r>
    </w:p>
    <w:p>
      <w:pPr>
        <w:pStyle w:val="Heading2"/>
        <w:spacing w:before="200" w:after="120"/>
      </w:pPr>
      <w:r>
        <w:rPr>
          <w:b/>
          <w:bCs/>
          <w:sz w:val="28"/>
          <w:szCs w:val="28"/>
          <w:rFonts w:ascii="Arial" w:cs="Arial" w:eastAsia="Arial" w:hAnsi="Arial"/>
        </w:rPr>
        <w:t xml:space="preserve">Section 10.I. Outside Counsel Access Controls</w:t>
      </w:r>
    </w:p>
    <w:p>
      <w:pPr>
        <w:spacing w:before="80" w:after="120"/>
      </w:pPr>
      <w:r>
        <w:rPr>
          <w:sz w:val="22"/>
          <w:szCs w:val="22"/>
          <w:rFonts w:ascii="Arial" w:cs="Arial" w:eastAsia="Arial" w:hAnsi="Arial"/>
        </w:rPr>
        <w:t xml:space="preserve">Outside counsel may be granted access to relevant documents stored in the Privileged Legal Site, subject to matter-specific, time-limited, GC-approved permissions. Upon conclusion of the engagement, all access must be revoked within five (5) business days.</w:t>
      </w:r>
    </w:p>
    <w:p>
      <w:r>
        <w:br w:type="page"/>
      </w:r>
    </w:p>
    <w:p>
      <w:pPr>
        <w:pStyle w:val="Heading1"/>
        <w:spacing w:before="240" w:after="200"/>
      </w:pPr>
      <w:r>
        <w:rPr>
          <w:b/>
          <w:bCs/>
          <w:sz w:val="32"/>
          <w:szCs w:val="32"/>
          <w:rFonts w:ascii="Arial" w:cs="Arial" w:eastAsia="Arial" w:hAnsi="Arial"/>
        </w:rPr>
        <w:t xml:space="preserve">SECTION 11. COMMUNICATION &amp; ESCALATION PROTOCOLS</w:t>
      </w:r>
    </w:p>
    <w:p>
      <w:pPr>
        <w:spacing w:before="80" w:after="120"/>
      </w:pPr>
      <w:r>
        <w:rPr>
          <w:sz w:val="22"/>
          <w:szCs w:val="22"/>
          <w:rFonts w:ascii="Arial" w:cs="Arial" w:eastAsia="Arial" w:hAnsi="Arial"/>
        </w:rPr>
        <w:t xml:space="preserve">Effective legal risk management requires clear communication channels and timely escalation of matters that may affect the Company's legal, financial, or operational interests. This section establishes when and how matters must be communicated to and escalated within the Legal Department and to executive leadership. All timelines in this section are intended as guidelines to promote prompt action; the overriding obligation is to communicate and escalate as soon as practicable under the circumstances.</w:t>
      </w:r>
    </w:p>
    <w:p>
      <w:pPr>
        <w:pStyle w:val="Heading2"/>
        <w:spacing w:before="200" w:after="120"/>
      </w:pPr>
      <w:r>
        <w:rPr>
          <w:b/>
          <w:bCs/>
          <w:sz w:val="28"/>
          <w:szCs w:val="28"/>
          <w:rFonts w:ascii="Arial" w:cs="Arial" w:eastAsia="Arial" w:hAnsi="Arial"/>
        </w:rPr>
        <w:t xml:space="preserve">Section 11.A. Routine Communication and Interdepartmental Coordination</w:t>
      </w:r>
    </w:p>
    <w:p>
      <w:pPr>
        <w:spacing w:before="80" w:after="120"/>
      </w:pPr>
      <w:r>
        <w:rPr>
          <w:sz w:val="22"/>
          <w:szCs w:val="22"/>
          <w:rFonts w:ascii="Arial" w:cs="Arial" w:eastAsia="Arial" w:hAnsi="Arial"/>
        </w:rPr>
        <w:t xml:space="preserve">Standing interdepartmental meetings are held at the following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Meeting</w:t>
            </w:r>
          </w:p>
        </w:tc>
        <w:tc>
          <w:tcPr>
            <w:tcW w:type="dxa" w:w="1872"/>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Participants</w:t>
            </w:r>
          </w:p>
        </w:tc>
        <w:tc>
          <w:tcPr>
            <w:tcW w:type="dxa" w:w="1872"/>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Frequency</w:t>
            </w:r>
          </w:p>
        </w:tc>
        <w:tc>
          <w:tcPr>
            <w:tcW w:type="dxa" w:w="1872"/>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Trigger for Ad Hoc Session</w:t>
            </w:r>
          </w:p>
        </w:tc>
        <w:tc>
          <w:tcPr>
            <w:tcW w:type="dxa" w:w="1872"/>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Purpose</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Leasing Pipeline Review</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 Asset Mgmt</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Weekly (scheduled)</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New lease request exceeding $1,000,000 annual rent; lease dispute notice</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Review pending lease requests, priority alignment, negotiation strategy</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Litigation/Risk Update</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 Executive Leadership</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Bi-weekly (scheduled)</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New litigation filed; matter exceeding Significant risk threshold</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Active matters, exposure updates, strategic decisions</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Finance Coordination</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 Finance/CFO</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Monthly (scheduled)</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Reserve adjustment exceeding $100K; new insurance claim exceeding $50K</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Reserve reconciliation, legal spend review, governance filings</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Property Operations Sync</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 Property Mgmt</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Monthly (scheduled)</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Any workplace injury requiring medical treatment; property damage exceeding $25K; governmental inspection or citation</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Incidents, insurance claims, vendor disputes, regulatory matters</w:t>
            </w:r>
          </w:p>
        </w:tc>
      </w:tr>
      <w:tr>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HR Legal Coordination</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 Human Resources</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Quarterly (scheduled)</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Employment claim filed; termination of employee with access to privileged information</w:t>
            </w:r>
          </w:p>
        </w:tc>
        <w:tc>
          <w:tcPr>
            <w:tcW w:type="dxa" w:w="1872"/>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Employment matters, workplace investigations, policy updates</w:t>
            </w:r>
          </w:p>
        </w:tc>
      </w:tr>
    </w:tbl>
    <w:p>
      <w:pPr>
        <w:spacing w:after="200"/>
      </w:pPr>
    </w:p>
    <w:p>
      <w:pPr>
        <w:spacing w:before="80" w:after="120"/>
      </w:pPr>
      <w:r>
        <w:rPr>
          <w:sz w:val="22"/>
          <w:szCs w:val="22"/>
          <w:rFonts w:ascii="Arial" w:cs="Arial" w:eastAsia="Arial" w:hAnsi="Arial"/>
        </w:rPr>
        <w:t xml:space="preserve">Meeting minutes must be prepared and distributed within five (5) business days. Minutes for meetings involving legal strategy or privileged matters must be marked "PRIVILEGED AND CONFIDENTIAL -- ATTORNEY-CLIENT COMMUNICATION" and stored in the Privileged Legal Site.</w:t>
      </w:r>
    </w:p>
    <w:p>
      <w:pPr>
        <w:pStyle w:val="Heading2"/>
        <w:spacing w:before="200" w:after="120"/>
      </w:pPr>
      <w:r>
        <w:rPr>
          <w:b/>
          <w:bCs/>
          <w:sz w:val="28"/>
          <w:szCs w:val="28"/>
          <w:rFonts w:ascii="Arial" w:cs="Arial" w:eastAsia="Arial" w:hAnsi="Arial"/>
        </w:rPr>
        <w:t xml:space="preserve">Section 11.B. Escalation Criteria</w:t>
      </w:r>
    </w:p>
    <w:p>
      <w:pPr>
        <w:spacing w:before="80" w:after="120"/>
      </w:pPr>
      <w:r>
        <w:rPr>
          <w:sz w:val="22"/>
          <w:szCs w:val="22"/>
          <w:rFonts w:ascii="Arial" w:cs="Arial" w:eastAsia="Arial" w:hAnsi="Arial"/>
        </w:rPr>
        <w:t xml:space="preserve">Matters must be escalated to the Legal Department promptly when they involve potential or actual litigation, demand letters, tenant bankruptcy, financial exposure exceeding $50,000, regulatory inquiries, significant personal injury or death, property damage exceeding $25,000, confidentiality breaches, environmental incidents, insurance disputes, or media inquiries involving legal issues.</w:t>
      </w:r>
    </w:p>
    <w:p>
      <w:pPr>
        <w:pStyle w:val="Heading2"/>
        <w:spacing w:before="200" w:after="120"/>
      </w:pPr>
      <w:r>
        <w:rPr>
          <w:b/>
          <w:bCs/>
          <w:sz w:val="28"/>
          <w:szCs w:val="28"/>
          <w:rFonts w:ascii="Arial" w:cs="Arial" w:eastAsia="Arial" w:hAnsi="Arial"/>
        </w:rPr>
        <w:t xml:space="preserve">Section 11.C. Escalation Timelines and Response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Event Type</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Escalation Timeline</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Escalate To</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Required Response Actions</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Receipt of lawsuit</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Same business day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General Counsel</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reviews filing; identifies response deadline; engages outside counsel if warranted; initiates litigation hold; notifies insurance carrier</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Demand letter or threat of litigation</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Same business day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General Counsel</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evaluates merit and exposure; prepares preliminary assessment; determines outside counsel engagement; initiates litigation hold if warranted</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Regulatory inquiry, subpoena, or investigation</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Same business day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General Counsel + CEO</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reviews scope; identifies response deadline; initiates litigation hold; engages regulatory counsel; prepares board notification if material</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Tenant bankruptcy filing</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Next business day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General Counsel + Asset Mgmt Lead</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reviews petition; identifies deadlines for proofs of claim; coordinates with Asset Mgmt; engages bankruptcy counsel</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Significant personal injury or death</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Immediately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General Counsel + Property Mgmt Lead</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initiates investigation coordination; directs scene preservation; notifies insurance carrier; initiates litigation hold</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Financial exposure exceeding $500K</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Next business day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General Counsel + CFO</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prepares preliminary exposure assessment; coordinates reserve adjustment; evaluates insurance coverage</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Potential or actual privilege waiver</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Immediately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General Counsel</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evaluates scope; implements remedial measures (clawback demand if applicable); documents circumstances</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Insurance coverage dispute or denial</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2 business days</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General Counsel + CFO</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reviews coverage position; prepares response to carrier; evaluates coverage counsel engagement</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Data security incident or breach</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Immediately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General Counsel + CEO + IT Director</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evaluates notification obligations; coordinates forensic investigation; initiates litigation hold</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Environmental contamination</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Immediately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General Counsel + Property Mgmt Lead + CEO</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evaluates regulatory reporting obligations; coordinates with environmental counsel; initiates litigation hold</w:t>
            </w:r>
          </w:p>
        </w:tc>
      </w:tr>
    </w:tbl>
    <w:p>
      <w:pPr>
        <w:spacing w:after="200"/>
      </w:pPr>
    </w:p>
    <w:p>
      <w:pPr>
        <w:pStyle w:val="Heading2"/>
        <w:spacing w:before="200" w:after="120"/>
      </w:pPr>
      <w:r>
        <w:rPr>
          <w:b/>
          <w:bCs/>
          <w:sz w:val="28"/>
          <w:szCs w:val="28"/>
          <w:rFonts w:ascii="Arial" w:cs="Arial" w:eastAsia="Arial" w:hAnsi="Arial"/>
        </w:rPr>
        <w:t xml:space="preserve">Section 11.D. Escalation Flowchart</w:t>
      </w:r>
    </w:p>
    <w:p>
      <w:pPr>
        <w:pStyle w:val="ListParagraph"/>
        <w:numPr>
          <w:ilvl w:val="0"/>
          <w:numId w:val="5"/>
        </w:numPr>
        <w:spacing w:before="40" w:after="40"/>
      </w:pPr>
      <w:r>
        <w:rPr>
          <w:sz w:val="22"/>
          <w:szCs w:val="22"/>
          <w:rFonts w:ascii="Arial" w:cs="Arial" w:eastAsia="Arial" w:hAnsi="Arial"/>
        </w:rPr>
        <w:t xml:space="preserve">Originating Department Contact identifies the event and immediately notifies the Legal Department.</w:t>
      </w:r>
    </w:p>
    <w:p>
      <w:pPr>
        <w:pStyle w:val="ListParagraph"/>
        <w:numPr>
          <w:ilvl w:val="0"/>
          <w:numId w:val="5"/>
        </w:numPr>
        <w:spacing w:before="40" w:after="40"/>
      </w:pPr>
      <w:r>
        <w:rPr>
          <w:sz w:val="22"/>
          <w:szCs w:val="22"/>
          <w:rFonts w:ascii="Arial" w:cs="Arial" w:eastAsia="Arial" w:hAnsi="Arial"/>
        </w:rPr>
        <w:t xml:space="preserve">General Counsel evaluates the matter and determines appropriate response actions.</w:t>
      </w:r>
    </w:p>
    <w:p>
      <w:pPr>
        <w:pStyle w:val="ListParagraph"/>
        <w:numPr>
          <w:ilvl w:val="0"/>
          <w:numId w:val="5"/>
        </w:numPr>
        <w:spacing w:before="40" w:after="40"/>
      </w:pPr>
      <w:r>
        <w:rPr>
          <w:sz w:val="22"/>
          <w:szCs w:val="22"/>
          <w:rFonts w:ascii="Arial" w:cs="Arial" w:eastAsia="Arial" w:hAnsi="Arial"/>
        </w:rPr>
        <w:t xml:space="preserve">If the matter involves potential financial exposure exceeding $500,000, reputational risk, portfolio-wide implications, or regulatory action, the GC notifies the CEO.</w:t>
      </w:r>
    </w:p>
    <w:p>
      <w:pPr>
        <w:pStyle w:val="ListParagraph"/>
        <w:numPr>
          <w:ilvl w:val="0"/>
          <w:numId w:val="5"/>
        </w:numPr>
        <w:spacing w:before="40" w:after="40"/>
      </w:pPr>
      <w:r>
        <w:rPr>
          <w:sz w:val="22"/>
          <w:szCs w:val="22"/>
          <w:rFonts w:ascii="Arial" w:cs="Arial" w:eastAsia="Arial" w:hAnsi="Arial"/>
        </w:rPr>
        <w:t xml:space="preserve">If the matter involves financial exposure or reserve implications, the GC notifies the CFO.</w:t>
      </w:r>
    </w:p>
    <w:p>
      <w:pPr>
        <w:pStyle w:val="ListParagraph"/>
        <w:numPr>
          <w:ilvl w:val="0"/>
          <w:numId w:val="5"/>
        </w:numPr>
        <w:spacing w:before="40" w:after="40"/>
      </w:pPr>
      <w:r>
        <w:rPr>
          <w:sz w:val="22"/>
          <w:szCs w:val="22"/>
          <w:rFonts w:ascii="Arial" w:cs="Arial" w:eastAsia="Arial" w:hAnsi="Arial"/>
        </w:rPr>
        <w:t xml:space="preserve">If the matter meets the threshold for board notification, the GC prepares a board notification memorandum.</w:t>
      </w:r>
    </w:p>
    <w:p>
      <w:pPr>
        <w:pStyle w:val="ListParagraph"/>
        <w:numPr>
          <w:ilvl w:val="0"/>
          <w:numId w:val="5"/>
        </w:numPr>
        <w:spacing w:before="40" w:after="40"/>
      </w:pPr>
      <w:r>
        <w:rPr>
          <w:sz w:val="22"/>
          <w:szCs w:val="22"/>
          <w:rFonts w:ascii="Arial" w:cs="Arial" w:eastAsia="Arial" w:hAnsi="Arial"/>
        </w:rPr>
        <w:t xml:space="preserve">If the GC is unavailable, the originating contact must notify the CEO directly.</w:t>
      </w:r>
    </w:p>
    <w:p>
      <w:pPr>
        <w:pStyle w:val="Heading2"/>
        <w:spacing w:before="200" w:after="120"/>
      </w:pPr>
      <w:r>
        <w:rPr>
          <w:b/>
          <w:bCs/>
          <w:sz w:val="28"/>
          <w:szCs w:val="28"/>
          <w:rFonts w:ascii="Arial" w:cs="Arial" w:eastAsia="Arial" w:hAnsi="Arial"/>
        </w:rPr>
        <w:t xml:space="preserve">Section 11.E. Executive Escalation Memoranda</w:t>
      </w:r>
    </w:p>
    <w:p>
      <w:pPr>
        <w:spacing w:before="80" w:after="120"/>
      </w:pPr>
      <w:r>
        <w:rPr>
          <w:sz w:val="22"/>
          <w:szCs w:val="22"/>
          <w:rFonts w:ascii="Arial" w:cs="Arial" w:eastAsia="Arial" w:hAnsi="Arial"/>
        </w:rPr>
        <w:t xml:space="preserve">When escalation to executive leadership is required, the Legal Department must prepare a written escalation memorandum containing: matter identification, summary of facts, preliminary evaluation of legal exposure, applicable insurance coverage, recommended course of action, applicable deadlines, and outside counsel status. Escalation memoranda must be marked "PRIVILEGED AND CONFIDENTIAL -- ATTORNEY-CLIENT COMMUNICATION."</w:t>
      </w:r>
    </w:p>
    <w:p>
      <w:pPr>
        <w:pStyle w:val="Heading2"/>
        <w:spacing w:before="200" w:after="120"/>
      </w:pPr>
      <w:r>
        <w:rPr>
          <w:b/>
          <w:bCs/>
          <w:sz w:val="28"/>
          <w:szCs w:val="28"/>
          <w:rFonts w:ascii="Arial" w:cs="Arial" w:eastAsia="Arial" w:hAnsi="Arial"/>
        </w:rPr>
        <w:t xml:space="preserve">Section 11.F. Consequence Framework for Missed Escalations</w:t>
      </w:r>
    </w:p>
    <w:p>
      <w:pPr>
        <w:spacing w:before="80" w:after="120"/>
      </w:pPr>
      <w:r>
        <w:rPr>
          <w:sz w:val="22"/>
          <w:szCs w:val="22"/>
          <w:rFonts w:ascii="Arial" w:cs="Arial" w:eastAsia="Arial" w:hAnsi="Arial"/>
        </w:rPr>
        <w:t xml:space="preserve">The Legal Department monitors escalation compliance and addresses deficiencies through quarterly reporting, CEO/Board notification for escalation failures resulting in actual or potential prejudice, performance management for repeated failures, and annual escalation protocol training.</w:t>
      </w:r>
    </w:p>
    <w:p>
      <w:pPr>
        <w:pStyle w:val="Heading2"/>
        <w:spacing w:before="200" w:after="120"/>
      </w:pPr>
      <w:r>
        <w:rPr>
          <w:b/>
          <w:bCs/>
          <w:sz w:val="28"/>
          <w:szCs w:val="28"/>
          <w:rFonts w:ascii="Arial" w:cs="Arial" w:eastAsia="Arial" w:hAnsi="Arial"/>
        </w:rPr>
        <w:t xml:space="preserve">Section 11.G. Legal Updates and Reporting</w:t>
      </w:r>
    </w:p>
    <w:p>
      <w:pPr>
        <w:spacing w:before="80" w:after="120"/>
      </w:pPr>
      <w:r>
        <w:rPr>
          <w:sz w:val="22"/>
          <w:szCs w:val="22"/>
          <w:rFonts w:ascii="Arial" w:cs="Arial" w:eastAsia="Arial" w:hAnsi="Arial"/>
        </w:rPr>
        <w:t xml:space="preserve">The Legal Department provides periodic updates to executive leadership through:</w:t>
      </w:r>
    </w:p>
    <w:p>
      <w:pPr>
        <w:pStyle w:val="ListParagraph"/>
        <w:numPr>
          <w:ilvl w:val="0"/>
          <w:numId w:val="4"/>
        </w:numPr>
        <w:spacing w:before="40" w:after="40"/>
      </w:pPr>
      <w:r>
        <w:rPr>
          <w:b/>
          <w:bCs/>
          <w:sz w:val="22"/>
          <w:szCs w:val="22"/>
          <w:rFonts w:ascii="Arial" w:cs="Arial" w:eastAsia="Arial" w:hAnsi="Arial"/>
        </w:rPr>
        <w:t xml:space="preserve">Bi-Weekly Litigation/Risk Update:</w:t>
      </w:r>
      <w:r>
        <w:rPr>
          <w:sz w:val="22"/>
          <w:szCs w:val="22"/>
          <w:rFonts w:ascii="Arial" w:cs="Arial" w:eastAsia="Arial" w:hAnsi="Arial"/>
        </w:rPr>
        <w:t xml:space="preserve"> Status of all active matters rated Significant, High, or Critical</w:t>
      </w:r>
    </w:p>
    <w:p>
      <w:pPr>
        <w:pStyle w:val="ListParagraph"/>
        <w:numPr>
          <w:ilvl w:val="0"/>
          <w:numId w:val="4"/>
        </w:numPr>
        <w:spacing w:before="40" w:after="40"/>
      </w:pPr>
      <w:r>
        <w:rPr>
          <w:b/>
          <w:bCs/>
          <w:sz w:val="22"/>
          <w:szCs w:val="22"/>
          <w:rFonts w:ascii="Arial" w:cs="Arial" w:eastAsia="Arial" w:hAnsi="Arial"/>
        </w:rPr>
        <w:t xml:space="preserve">Monthly CFO Report:</w:t>
      </w:r>
      <w:r>
        <w:rPr>
          <w:sz w:val="22"/>
          <w:szCs w:val="22"/>
          <w:rFonts w:ascii="Arial" w:cs="Arial" w:eastAsia="Arial" w:hAnsi="Arial"/>
        </w:rPr>
        <w:t xml:space="preserve"> Reserve reconciliation, legal spend analysis, insurance claim status</w:t>
      </w:r>
    </w:p>
    <w:p>
      <w:pPr>
        <w:pStyle w:val="ListParagraph"/>
        <w:numPr>
          <w:ilvl w:val="0"/>
          <w:numId w:val="4"/>
        </w:numPr>
        <w:spacing w:before="40" w:after="40"/>
      </w:pPr>
      <w:r>
        <w:rPr>
          <w:b/>
          <w:bCs/>
          <w:sz w:val="22"/>
          <w:szCs w:val="22"/>
          <w:rFonts w:ascii="Arial" w:cs="Arial" w:eastAsia="Arial" w:hAnsi="Arial"/>
        </w:rPr>
        <w:t xml:space="preserve">Quarterly Board Report:</w:t>
      </w:r>
      <w:r>
        <w:rPr>
          <w:sz w:val="22"/>
          <w:szCs w:val="22"/>
          <w:rFonts w:ascii="Arial" w:cs="Arial" w:eastAsia="Arial" w:hAnsi="Arial"/>
        </w:rPr>
        <w:t xml:space="preserve"> Comprehensive portfolio-wide legal risk summary</w:t>
      </w:r>
    </w:p>
    <w:p>
      <w:pPr>
        <w:pStyle w:val="ListParagraph"/>
        <w:numPr>
          <w:ilvl w:val="0"/>
          <w:numId w:val="4"/>
        </w:numPr>
        <w:spacing w:before="40" w:after="40"/>
      </w:pPr>
      <w:r>
        <w:rPr>
          <w:b/>
          <w:bCs/>
          <w:sz w:val="22"/>
          <w:szCs w:val="22"/>
          <w:rFonts w:ascii="Arial" w:cs="Arial" w:eastAsia="Arial" w:hAnsi="Arial"/>
        </w:rPr>
        <w:t xml:space="preserve">Ad Hoc Notifications:</w:t>
      </w:r>
      <w:r>
        <w:rPr>
          <w:sz w:val="22"/>
          <w:szCs w:val="22"/>
          <w:rFonts w:ascii="Arial" w:cs="Arial" w:eastAsia="Arial" w:hAnsi="Arial"/>
        </w:rPr>
        <w:t xml:space="preserve"> Immediate written notification for any matter rated Critical</w:t>
      </w:r>
    </w:p>
    <w:p>
      <w:r>
        <w:br w:type="page"/>
      </w:r>
    </w:p>
    <w:p>
      <w:pPr>
        <w:pStyle w:val="Heading1"/>
        <w:spacing w:before="240" w:after="200"/>
      </w:pPr>
      <w:r>
        <w:rPr>
          <w:b/>
          <w:bCs/>
          <w:sz w:val="32"/>
          <w:szCs w:val="32"/>
          <w:rFonts w:ascii="Arial" w:cs="Arial" w:eastAsia="Arial" w:hAnsi="Arial"/>
        </w:rPr>
        <w:t xml:space="preserve">SECTION 12. LEGAL RISK TRACKING &amp; REPORTING</w:t>
      </w:r>
    </w:p>
    <w:p>
      <w:pPr>
        <w:spacing w:before="80" w:after="120"/>
      </w:pPr>
      <w:r>
        <w:rPr>
          <w:sz w:val="22"/>
          <w:szCs w:val="22"/>
          <w:rFonts w:ascii="Arial" w:cs="Arial" w:eastAsia="Arial" w:hAnsi="Arial"/>
        </w:rPr>
        <w:t xml:space="preserve">The Legal Department maintains a Legal Risk Tracker and Legal Risk Dashboard to provide structured visibility into legal matters affecting the Company's portfolio. All risk assessments, exposure estimates, and related analyses are preliminary evaluations prepared at the direction of counsel for the purpose of providing legal advice.</w:t>
      </w:r>
    </w:p>
    <w:p>
      <w:pPr>
        <w:pStyle w:val="Heading2"/>
        <w:spacing w:before="200" w:after="120"/>
      </w:pPr>
      <w:r>
        <w:rPr>
          <w:b/>
          <w:bCs/>
          <w:sz w:val="28"/>
          <w:szCs w:val="28"/>
          <w:rFonts w:ascii="Arial" w:cs="Arial" w:eastAsia="Arial" w:hAnsi="Arial"/>
        </w:rPr>
        <w:t xml:space="preserve">Section 12.A. Risk Categories</w:t>
      </w:r>
    </w:p>
    <w:p>
      <w:pPr>
        <w:spacing w:before="80" w:after="120"/>
      </w:pPr>
      <w:r>
        <w:rPr>
          <w:sz w:val="22"/>
          <w:szCs w:val="22"/>
          <w:rFonts w:ascii="Arial" w:cs="Arial" w:eastAsia="Arial" w:hAnsi="Arial"/>
        </w:rPr>
        <w:t xml:space="preserve">Legal matters are categorized into: Litigation, Tenant Defaults, Bankruptcy, Insurance Claims, Regulatory Matters, Environmental, Employment, Contract Disputes (Non-Lease), Corporate/Governance, and Data Privacy/Security.</w:t>
      </w:r>
    </w:p>
    <w:p>
      <w:pPr>
        <w:pStyle w:val="Heading2"/>
        <w:spacing w:before="200" w:after="120"/>
      </w:pPr>
      <w:r>
        <w:rPr>
          <w:b/>
          <w:bCs/>
          <w:sz w:val="28"/>
          <w:szCs w:val="28"/>
          <w:rFonts w:ascii="Arial" w:cs="Arial" w:eastAsia="Arial" w:hAnsi="Arial"/>
        </w:rPr>
        <w:t xml:space="preserve">Section 12.B. Risk Assessment Methodology</w:t>
      </w:r>
    </w:p>
    <w:p>
      <w:pPr>
        <w:spacing w:before="80" w:after="120"/>
      </w:pPr>
      <w:r>
        <w:rPr>
          <w:sz w:val="22"/>
          <w:szCs w:val="22"/>
          <w:rFonts w:ascii="Arial" w:cs="Arial" w:eastAsia="Arial" w:hAnsi="Arial"/>
        </w:rPr>
        <w:t xml:space="preserve">Each matter is evaluated using a five-tier probability-impact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Rating</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Probability of Adverse Outcome</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Gross Financial Impact Range</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Update Frequency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Critical</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Probable (&gt; 80%)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$2,000,000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Weekly (or upon any material development)</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High</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Likely (60% - 80%)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$500,000 - $2,000,000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Bi-weekly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Significant</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Possible (40% - 60%)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$150,000 - $500,000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Monthly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Moderate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Unlikely (20% - 40%)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$50,000 - $150,000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Monthly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Low</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Remote (&lt; 20%)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$0 - $50,000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Quarterly</w:t>
            </w:r>
          </w:p>
        </w:tc>
      </w:tr>
    </w:tbl>
    <w:p>
      <w:pPr>
        <w:spacing w:after="200"/>
      </w:pPr>
    </w:p>
    <w:p>
      <w:pPr>
        <w:spacing w:before="80" w:after="120"/>
      </w:pPr>
      <w:r>
        <w:rPr>
          <w:sz w:val="22"/>
          <w:szCs w:val="22"/>
          <w:rFonts w:ascii="Arial" w:cs="Arial" w:eastAsia="Arial" w:hAnsi="Arial"/>
        </w:rPr>
        <w:t xml:space="preserve">Risk rating changes must be approved by the General Counsel with documented rationale, recorded in the Legal Risk Tracker, and communicated to executive leadership.</w:t>
      </w:r>
    </w:p>
    <w:p>
      <w:pPr>
        <w:pStyle w:val="Heading2"/>
        <w:spacing w:before="200" w:after="120"/>
      </w:pPr>
      <w:r>
        <w:rPr>
          <w:b/>
          <w:bCs/>
          <w:sz w:val="28"/>
          <w:szCs w:val="28"/>
          <w:rFonts w:ascii="Arial" w:cs="Arial" w:eastAsia="Arial" w:hAnsi="Arial"/>
        </w:rPr>
        <w:t xml:space="preserve">Section 12.C. Probability-Weighted Expected Loss Methodology</w:t>
      </w:r>
    </w:p>
    <w:p>
      <w:pPr>
        <w:spacing w:before="80" w:after="120"/>
      </w:pPr>
      <w:r>
        <w:rPr>
          <w:sz w:val="22"/>
          <w:szCs w:val="22"/>
          <w:rFonts w:ascii="Arial" w:cs="Arial" w:eastAsia="Arial" w:hAnsi="Arial"/>
        </w:rPr>
        <w:t xml:space="preserve">For each matter rated Moderate or above, the Legal Department must calculate a probability-weighted expected loss ("PWEL") to inform reserve recommendations, following a structured methodology: identify potential outcomes, assign probability weights, estimate financial impact, calculate PWEL, determine net PWEL (after insurance), and document assumptions. PWEL calculations are prepared by the Legal Department with financial impact estimates reviewed by Finance. PWEL workpapers are made available to external auditors under common interest or joint defense privilege as appropriate.</w:t>
      </w:r>
    </w:p>
    <w:p>
      <w:pPr>
        <w:pStyle w:val="Heading2"/>
        <w:spacing w:before="200" w:after="120"/>
      </w:pPr>
      <w:r>
        <w:rPr>
          <w:b/>
          <w:bCs/>
          <w:sz w:val="28"/>
          <w:szCs w:val="28"/>
          <w:rFonts w:ascii="Arial" w:cs="Arial" w:eastAsia="Arial" w:hAnsi="Arial"/>
        </w:rPr>
        <w:t xml:space="preserve">Section 12.D. Gross vs. Net Exposure Tracking</w:t>
      </w:r>
    </w:p>
    <w:p>
      <w:pPr>
        <w:spacing w:before="80" w:after="120"/>
      </w:pPr>
      <w:r>
        <w:rPr>
          <w:sz w:val="22"/>
          <w:szCs w:val="22"/>
          <w:rFonts w:ascii="Arial" w:cs="Arial" w:eastAsia="Arial" w:hAnsi="Arial"/>
        </w:rPr>
        <w:t xml:space="preserve">The Legal Risk Tracker must separately track gross exposure, insurance recovery estimates, other offsets, and net exposure for each matter. Net exposure figures must be clearly distinguished from gross exposure in all reports.</w:t>
      </w:r>
    </w:p>
    <w:p>
      <w:pPr>
        <w:pStyle w:val="Heading2"/>
        <w:spacing w:before="200" w:after="120"/>
      </w:pPr>
      <w:r>
        <w:rPr>
          <w:b/>
          <w:bCs/>
          <w:sz w:val="28"/>
          <w:szCs w:val="28"/>
          <w:rFonts w:ascii="Arial" w:cs="Arial" w:eastAsia="Arial" w:hAnsi="Arial"/>
        </w:rPr>
        <w:t xml:space="preserve">Section 12.E. Reserve Reconciliation with Finance</w:t>
      </w:r>
    </w:p>
    <w:p>
      <w:pPr>
        <w:spacing w:before="80" w:after="120"/>
      </w:pPr>
      <w:r>
        <w:rPr>
          <w:sz w:val="22"/>
          <w:szCs w:val="22"/>
          <w:rFonts w:ascii="Arial" w:cs="Arial" w:eastAsia="Arial" w:hAnsi="Arial"/>
        </w:rPr>
        <w:t xml:space="preserve">Monthly reserve reviews and quarterly formal reconciliation meetings between the GC and CFO. Reserve adjustments exceeding $50,000 require written concurrence from both. Adjustments exceeding $250,000 require CEO notification. Adjustments exceeding $1,000,000 require Board notification. These thresholds apply both on a per-matter basis and on an aggregate quarterly basis.</w:t>
      </w:r>
    </w:p>
    <w:p>
      <w:pPr>
        <w:pStyle w:val="Heading2"/>
        <w:spacing w:before="200" w:after="120"/>
      </w:pPr>
      <w:r>
        <w:rPr>
          <w:b/>
          <w:bCs/>
          <w:sz w:val="28"/>
          <w:szCs w:val="28"/>
          <w:rFonts w:ascii="Arial" w:cs="Arial" w:eastAsia="Arial" w:hAnsi="Arial"/>
        </w:rPr>
        <w:t xml:space="preserve">Section 12.F. Insurance Program Integration</w:t>
      </w:r>
    </w:p>
    <w:p>
      <w:pPr>
        <w:spacing w:before="80" w:after="120"/>
      </w:pPr>
      <w:r>
        <w:rPr>
          <w:sz w:val="22"/>
          <w:szCs w:val="22"/>
          <w:rFonts w:ascii="Arial" w:cs="Arial" w:eastAsia="Arial" w:hAnsi="Arial"/>
        </w:rPr>
        <w:t xml:space="preserve">The Legal Department must maintain current knowledge of the Company's insurance program and integrate insurance considerations into all risk tracking and reporting activities, including coverage analysis for each new matter and tracking of insurer reserving positions.</w:t>
      </w:r>
    </w:p>
    <w:p>
      <w:pPr>
        <w:pStyle w:val="Heading2"/>
        <w:spacing w:before="200" w:after="120"/>
      </w:pPr>
      <w:r>
        <w:rPr>
          <w:b/>
          <w:bCs/>
          <w:sz w:val="28"/>
          <w:szCs w:val="28"/>
          <w:rFonts w:ascii="Arial" w:cs="Arial" w:eastAsia="Arial" w:hAnsi="Arial"/>
        </w:rPr>
        <w:t xml:space="preserve">Section 12.G. Reporting Cadence and Dashboard Distribution</w:t>
      </w:r>
    </w:p>
    <w:p>
      <w:pPr>
        <w:spacing w:before="80" w:after="120"/>
      </w:pPr>
      <w:r>
        <w:rPr>
          <w:sz w:val="22"/>
          <w:szCs w:val="22"/>
          <w:rFonts w:ascii="Arial" w:cs="Arial" w:eastAsia="Arial" w:hAnsi="Arial"/>
        </w:rPr>
        <w:t xml:space="preserve">Monthly Dashboard distributed to GC, CEO, and CFO. Quarterly comprehensive Legal Risk Report to the Board. Ad hoc reports for Critical matters. All dashboards and risk reports are privileged and subject to controlled distribution.</w:t>
      </w:r>
    </w:p>
    <w:p>
      <w:pPr>
        <w:pStyle w:val="Heading2"/>
        <w:spacing w:before="200" w:after="120"/>
      </w:pPr>
      <w:r>
        <w:rPr>
          <w:b/>
          <w:bCs/>
          <w:sz w:val="28"/>
          <w:szCs w:val="28"/>
          <w:rFonts w:ascii="Arial" w:cs="Arial" w:eastAsia="Arial" w:hAnsi="Arial"/>
        </w:rPr>
        <w:t xml:space="preserve">Section 12.H. Use of Risk Data</w:t>
      </w:r>
    </w:p>
    <w:p>
      <w:pPr>
        <w:spacing w:before="80" w:after="120"/>
      </w:pPr>
      <w:r>
        <w:rPr>
          <w:sz w:val="22"/>
          <w:szCs w:val="22"/>
          <w:rFonts w:ascii="Arial" w:cs="Arial" w:eastAsia="Arial" w:hAnsi="Arial"/>
        </w:rPr>
        <w:t xml:space="preserve">Risk data informs reserve decisions, strategic planning, proactive risk mitigation, standard form improvements, outside counsel performance evaluation, and insurance program renewals.</w:t>
      </w:r>
    </w:p>
    <w:p>
      <w:r>
        <w:br w:type="page"/>
      </w:r>
    </w:p>
    <w:p>
      <w:pPr>
        <w:pStyle w:val="Heading1"/>
        <w:spacing w:before="240" w:after="200"/>
      </w:pPr>
      <w:r>
        <w:rPr>
          <w:b/>
          <w:bCs/>
          <w:sz w:val="32"/>
          <w:szCs w:val="32"/>
          <w:rFonts w:ascii="Arial" w:cs="Arial" w:eastAsia="Arial" w:hAnsi="Arial"/>
        </w:rPr>
        <w:t xml:space="preserve">SECTION 13. TRAINING &amp; CONTINUOUS IMPROVEMENT</w:t>
      </w:r>
    </w:p>
    <w:p>
      <w:pPr>
        <w:spacing w:before="80" w:after="120"/>
      </w:pPr>
      <w:r>
        <w:rPr>
          <w:sz w:val="22"/>
          <w:szCs w:val="22"/>
          <w:rFonts w:ascii="Arial" w:cs="Arial" w:eastAsia="Arial" w:hAnsi="Arial"/>
        </w:rPr>
        <w:t xml:space="preserve">The Legal Department is responsible for maintaining a comprehensive training program and continuous improvement framework.</w:t>
      </w:r>
    </w:p>
    <w:p>
      <w:pPr>
        <w:pStyle w:val="Heading2"/>
        <w:spacing w:before="200" w:after="120"/>
      </w:pPr>
      <w:r>
        <w:rPr>
          <w:b/>
          <w:bCs/>
          <w:sz w:val="28"/>
          <w:szCs w:val="28"/>
          <w:rFonts w:ascii="Arial" w:cs="Arial" w:eastAsia="Arial" w:hAnsi="Arial"/>
        </w:rPr>
        <w:t xml:space="preserve">Section 13.A. Training Schedule and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Audience</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Frequency</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Topics</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Completion Requirement</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Department Personnel</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Quarterly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Litigation hold procedures, privilege preservation, risk assessment updates, regulatory developments, Manual updates</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Attendance record and sign-off sheet required</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Asset Management</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Quarterly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Lease provisions and negotiation practices, document workflows, escalation protocols, privilege preservation</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Attendance record and sign-off sheet required</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Property Management</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Quarterly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Incident reporting and escalation, insurance claims process, safety and environmental compliance, litigation hold</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Attendance record and sign-off sheet required</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Finance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Semi-annually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risk reporting and reserve integration, privilege preservation, governance processes, insurance program</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Attendance record and sign-off sheet required</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Human Resources</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Semi-annually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Employment law updates, workplace investigation procedures, data privacy, document retention</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Attendance record and sign-off sheet required</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All Departments (Company-wide)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Annually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Confidentiality obligations, privilege preservation, document retention and litigation hold, escalation protocols, data privacy, Manual updates</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Attendance record and sign-off sheet; completion tracked by HR</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New Hires (All Departments)</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Within 30 days of hire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Overview of escalation protocols, confidentiality obligations, document retention, privilege preservation</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Sign-off sheet required; tracked by HR</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New Hires (Legal Department)</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Within 30 days of hire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Comprehensive Manual review, systems training, standard forms, naming conventions, active matter overview</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Completion checklist signed by supervisor and new hire</w:t>
            </w:r>
          </w:p>
        </w:tc>
      </w:tr>
    </w:tbl>
    <w:p>
      <w:pPr>
        <w:spacing w:after="200"/>
      </w:pPr>
    </w:p>
    <w:p>
      <w:pPr>
        <w:pStyle w:val="Heading2"/>
        <w:spacing w:before="200" w:after="120"/>
      </w:pPr>
      <w:r>
        <w:rPr>
          <w:b/>
          <w:bCs/>
          <w:sz w:val="28"/>
          <w:szCs w:val="28"/>
          <w:rFonts w:ascii="Arial" w:cs="Arial" w:eastAsia="Arial" w:hAnsi="Arial"/>
        </w:rPr>
        <w:t xml:space="preserve">Section 13.B. Training Completion Tracking</w:t>
      </w:r>
    </w:p>
    <w:p>
      <w:pPr>
        <w:spacing w:before="80" w:after="120"/>
      </w:pPr>
      <w:r>
        <w:rPr>
          <w:sz w:val="22"/>
          <w:szCs w:val="22"/>
          <w:rFonts w:ascii="Arial" w:cs="Arial" w:eastAsia="Arial" w:hAnsi="Arial"/>
        </w:rPr>
        <w:t xml:space="preserve">Training completion is tracked through the following procedures:</w:t>
      </w:r>
    </w:p>
    <w:p>
      <w:pPr>
        <w:pStyle w:val="ListParagraph"/>
        <w:numPr>
          <w:ilvl w:val="0"/>
          <w:numId w:val="4"/>
        </w:numPr>
        <w:spacing w:before="40" w:after="40"/>
      </w:pPr>
      <w:r>
        <w:rPr>
          <w:sz w:val="22"/>
          <w:szCs w:val="22"/>
          <w:rFonts w:ascii="Arial" w:cs="Arial" w:eastAsia="Arial" w:hAnsi="Arial"/>
        </w:rPr>
        <w:t xml:space="preserve">Attendance records and sign-off sheets maintained for all training sessions</w:t>
      </w:r>
    </w:p>
    <w:p>
      <w:pPr>
        <w:pStyle w:val="ListParagraph"/>
        <w:numPr>
          <w:ilvl w:val="0"/>
          <w:numId w:val="4"/>
        </w:numPr>
        <w:spacing w:before="40" w:after="40"/>
      </w:pPr>
      <w:r>
        <w:rPr>
          <w:sz w:val="22"/>
          <w:szCs w:val="22"/>
          <w:rFonts w:ascii="Arial" w:cs="Arial" w:eastAsia="Arial" w:hAnsi="Arial"/>
        </w:rPr>
        <w:t xml:space="preserve">Quarterly Training Completion Reports prepared by the Legal Operations Coordinator (or GC designee), summarizing completion rates by department</w:t>
      </w:r>
    </w:p>
    <w:p>
      <w:pPr>
        <w:pStyle w:val="ListParagraph"/>
        <w:numPr>
          <w:ilvl w:val="0"/>
          <w:numId w:val="4"/>
        </w:numPr>
        <w:spacing w:before="40" w:after="40"/>
      </w:pPr>
      <w:r>
        <w:rPr>
          <w:sz w:val="22"/>
          <w:szCs w:val="22"/>
          <w:rFonts w:ascii="Arial" w:cs="Arial" w:eastAsia="Arial" w:hAnsi="Arial"/>
        </w:rPr>
        <w:t xml:space="preserve">If any department's completion rate falls below 90% in a given quarter, the Department shall coordinate make-up sessions within 30 days</w:t>
      </w:r>
    </w:p>
    <w:p>
      <w:pPr>
        <w:pStyle w:val="ListParagraph"/>
        <w:numPr>
          <w:ilvl w:val="0"/>
          <w:numId w:val="4"/>
        </w:numPr>
        <w:spacing w:before="40" w:after="40"/>
      </w:pPr>
      <w:r>
        <w:rPr>
          <w:sz w:val="22"/>
          <w:szCs w:val="22"/>
          <w:rFonts w:ascii="Arial" w:cs="Arial" w:eastAsia="Arial" w:hAnsi="Arial"/>
        </w:rPr>
        <w:t xml:space="preserve">Overdue training is escalated to the trainee's supervisor</w:t>
      </w:r>
    </w:p>
    <w:p>
      <w:pPr>
        <w:pStyle w:val="ListParagraph"/>
        <w:numPr>
          <w:ilvl w:val="0"/>
          <w:numId w:val="4"/>
        </w:numPr>
        <w:spacing w:before="40" w:after="40"/>
      </w:pPr>
      <w:r>
        <w:rPr>
          <w:sz w:val="22"/>
          <w:szCs w:val="22"/>
          <w:rFonts w:ascii="Arial" w:cs="Arial" w:eastAsia="Arial" w:hAnsi="Arial"/>
        </w:rPr>
        <w:t xml:space="preserve">Training records are retained for a minimum of five (5) years</w:t>
      </w:r>
    </w:p>
    <w:p>
      <w:pPr>
        <w:pStyle w:val="ListParagraph"/>
        <w:numPr>
          <w:ilvl w:val="0"/>
          <w:numId w:val="4"/>
        </w:numPr>
        <w:spacing w:before="40" w:after="40"/>
      </w:pPr>
      <w:r>
        <w:rPr>
          <w:sz w:val="22"/>
          <w:szCs w:val="22"/>
          <w:rFonts w:ascii="Arial" w:cs="Arial" w:eastAsia="Arial" w:hAnsi="Arial"/>
        </w:rPr>
        <w:t xml:space="preserve">Training logs are maintained in the Salesforce Legal Module and reviewed quarterly by the GC</w:t>
      </w:r>
    </w:p>
    <w:p>
      <w:pPr>
        <w:pStyle w:val="Heading2"/>
        <w:spacing w:before="200" w:after="120"/>
      </w:pPr>
      <w:r>
        <w:rPr>
          <w:b/>
          <w:bCs/>
          <w:sz w:val="28"/>
          <w:szCs w:val="28"/>
          <w:rFonts w:ascii="Arial" w:cs="Arial" w:eastAsia="Arial" w:hAnsi="Arial"/>
        </w:rPr>
        <w:t xml:space="preserve">Section 13.C. New Hire Onboarding</w:t>
      </w:r>
    </w:p>
    <w:p>
      <w:pPr>
        <w:spacing w:before="80" w:after="120"/>
      </w:pPr>
      <w:r>
        <w:rPr>
          <w:sz w:val="22"/>
          <w:szCs w:val="22"/>
          <w:rFonts w:ascii="Arial" w:cs="Arial" w:eastAsia="Arial" w:hAnsi="Arial"/>
        </w:rPr>
        <w:t xml:space="preserve">New Legal Department personnel must complete a comprehensive onboarding checklist within thirty (30) calendar days, including:</w:t>
      </w:r>
    </w:p>
    <w:p>
      <w:pPr>
        <w:pStyle w:val="ListParagraph"/>
        <w:numPr>
          <w:ilvl w:val="0"/>
          <w:numId w:val="5"/>
        </w:numPr>
        <w:spacing w:before="40" w:after="40"/>
      </w:pPr>
      <w:r>
        <w:rPr>
          <w:sz w:val="22"/>
          <w:szCs w:val="22"/>
          <w:rFonts w:ascii="Arial" w:cs="Arial" w:eastAsia="Arial" w:hAnsi="Arial"/>
        </w:rPr>
        <w:t xml:space="preserve">Review of this Manual and all attachments</w:t>
      </w:r>
    </w:p>
    <w:p>
      <w:pPr>
        <w:pStyle w:val="ListParagraph"/>
        <w:numPr>
          <w:ilvl w:val="0"/>
          <w:numId w:val="5"/>
        </w:numPr>
        <w:spacing w:before="40" w:after="40"/>
      </w:pPr>
      <w:r>
        <w:rPr>
          <w:sz w:val="22"/>
          <w:szCs w:val="22"/>
          <w:rFonts w:ascii="Arial" w:cs="Arial" w:eastAsia="Arial" w:hAnsi="Arial"/>
        </w:rPr>
        <w:t xml:space="preserve">Overview of the Company's entity structure and portfolio</w:t>
      </w:r>
    </w:p>
    <w:p>
      <w:pPr>
        <w:pStyle w:val="ListParagraph"/>
        <w:numPr>
          <w:ilvl w:val="0"/>
          <w:numId w:val="5"/>
        </w:numPr>
        <w:spacing w:before="40" w:after="40"/>
      </w:pPr>
      <w:r>
        <w:rPr>
          <w:sz w:val="22"/>
          <w:szCs w:val="22"/>
          <w:rFonts w:ascii="Arial" w:cs="Arial" w:eastAsia="Arial" w:hAnsi="Arial"/>
        </w:rPr>
        <w:t xml:space="preserve">Salesforce system training (intake, workflow, dashboard)</w:t>
      </w:r>
    </w:p>
    <w:p>
      <w:pPr>
        <w:pStyle w:val="ListParagraph"/>
        <w:numPr>
          <w:ilvl w:val="0"/>
          <w:numId w:val="5"/>
        </w:numPr>
        <w:spacing w:before="40" w:after="40"/>
      </w:pPr>
      <w:r>
        <w:rPr>
          <w:sz w:val="22"/>
          <w:szCs w:val="22"/>
          <w:rFonts w:ascii="Arial" w:cs="Arial" w:eastAsia="Arial" w:hAnsi="Arial"/>
        </w:rPr>
        <w:t xml:space="preserve">SharePoint training (document storage, collaboration, naming conventions)</w:t>
      </w:r>
    </w:p>
    <w:p>
      <w:pPr>
        <w:pStyle w:val="ListParagraph"/>
        <w:numPr>
          <w:ilvl w:val="0"/>
          <w:numId w:val="5"/>
        </w:numPr>
        <w:spacing w:before="40" w:after="40"/>
      </w:pPr>
      <w:r>
        <w:rPr>
          <w:sz w:val="22"/>
          <w:szCs w:val="22"/>
          <w:rFonts w:ascii="Arial" w:cs="Arial" w:eastAsia="Arial" w:hAnsi="Arial"/>
        </w:rPr>
        <w:t xml:space="preserve">Introduction to standard lease forms and key provisions</w:t>
      </w:r>
    </w:p>
    <w:p>
      <w:pPr>
        <w:pStyle w:val="ListParagraph"/>
        <w:numPr>
          <w:ilvl w:val="0"/>
          <w:numId w:val="5"/>
        </w:numPr>
        <w:spacing w:before="40" w:after="40"/>
      </w:pPr>
      <w:r>
        <w:rPr>
          <w:sz w:val="22"/>
          <w:szCs w:val="22"/>
          <w:rFonts w:ascii="Arial" w:cs="Arial" w:eastAsia="Arial" w:hAnsi="Arial"/>
        </w:rPr>
        <w:t xml:space="preserve">Review of active litigation and risk tracker</w:t>
      </w:r>
    </w:p>
    <w:p>
      <w:pPr>
        <w:pStyle w:val="ListParagraph"/>
        <w:numPr>
          <w:ilvl w:val="0"/>
          <w:numId w:val="5"/>
        </w:numPr>
        <w:spacing w:before="40" w:after="40"/>
      </w:pPr>
      <w:r>
        <w:rPr>
          <w:sz w:val="22"/>
          <w:szCs w:val="22"/>
          <w:rFonts w:ascii="Arial" w:cs="Arial" w:eastAsia="Arial" w:hAnsi="Arial"/>
        </w:rPr>
        <w:t xml:space="preserve">Introduction to outside counsel panel and billing guidelines</w:t>
      </w:r>
    </w:p>
    <w:p>
      <w:pPr>
        <w:pStyle w:val="ListParagraph"/>
        <w:numPr>
          <w:ilvl w:val="0"/>
          <w:numId w:val="5"/>
        </w:numPr>
        <w:spacing w:before="40" w:after="40"/>
      </w:pPr>
      <w:r>
        <w:rPr>
          <w:sz w:val="22"/>
          <w:szCs w:val="22"/>
          <w:rFonts w:ascii="Arial" w:cs="Arial" w:eastAsia="Arial" w:hAnsi="Arial"/>
        </w:rPr>
        <w:t xml:space="preserve">Review of confidentiality and privilege protocols</w:t>
      </w:r>
    </w:p>
    <w:p>
      <w:pPr>
        <w:pStyle w:val="ListParagraph"/>
        <w:numPr>
          <w:ilvl w:val="0"/>
          <w:numId w:val="5"/>
        </w:numPr>
        <w:spacing w:before="40" w:after="40"/>
      </w:pPr>
      <w:r>
        <w:rPr>
          <w:sz w:val="22"/>
          <w:szCs w:val="22"/>
          <w:rFonts w:ascii="Arial" w:cs="Arial" w:eastAsia="Arial" w:hAnsi="Arial"/>
        </w:rPr>
        <w:t xml:space="preserve">Document retention schedule review</w:t>
      </w:r>
    </w:p>
    <w:p>
      <w:pPr>
        <w:pStyle w:val="ListParagraph"/>
        <w:numPr>
          <w:ilvl w:val="0"/>
          <w:numId w:val="5"/>
        </w:numPr>
        <w:spacing w:before="40" w:after="40"/>
      </w:pPr>
      <w:r>
        <w:rPr>
          <w:sz w:val="22"/>
          <w:szCs w:val="22"/>
          <w:rFonts w:ascii="Arial" w:cs="Arial" w:eastAsia="Arial" w:hAnsi="Arial"/>
        </w:rPr>
        <w:t xml:space="preserve">Escalation protocols review</w:t>
      </w:r>
    </w:p>
    <w:p>
      <w:pPr>
        <w:pStyle w:val="Heading2"/>
        <w:spacing w:before="200" w:after="120"/>
      </w:pPr>
      <w:r>
        <w:rPr>
          <w:b/>
          <w:bCs/>
          <w:sz w:val="28"/>
          <w:szCs w:val="28"/>
          <w:rFonts w:ascii="Arial" w:cs="Arial" w:eastAsia="Arial" w:hAnsi="Arial"/>
        </w:rPr>
        <w:t xml:space="preserve">Section 13.D. Legal Updates and Continuing Education</w:t>
      </w:r>
    </w:p>
    <w:p>
      <w:pPr>
        <w:spacing w:before="80" w:after="120"/>
      </w:pPr>
      <w:r>
        <w:rPr>
          <w:sz w:val="22"/>
          <w:szCs w:val="22"/>
          <w:rFonts w:ascii="Arial" w:cs="Arial" w:eastAsia="Arial" w:hAnsi="Arial"/>
        </w:rPr>
        <w:t xml:space="preserve">The Department monitors legal and market developments and provides updates to internal stakeholders through Legal Alerts, training session integration, standing meeting updates, and external CLE and professional development.</w:t>
      </w:r>
    </w:p>
    <w:p>
      <w:pPr>
        <w:pStyle w:val="Heading2"/>
        <w:spacing w:before="200" w:after="120"/>
      </w:pPr>
      <w:r>
        <w:rPr>
          <w:b/>
          <w:bCs/>
          <w:sz w:val="28"/>
          <w:szCs w:val="28"/>
          <w:rFonts w:ascii="Arial" w:cs="Arial" w:eastAsia="Arial" w:hAnsi="Arial"/>
        </w:rPr>
        <w:t xml:space="preserve">Section 13.E. Post-Litigation and Post-Transaction Reviews</w:t>
      </w:r>
    </w:p>
    <w:p>
      <w:pPr>
        <w:spacing w:before="80" w:after="120"/>
      </w:pPr>
      <w:r>
        <w:rPr>
          <w:sz w:val="22"/>
          <w:szCs w:val="22"/>
          <w:rFonts w:ascii="Arial" w:cs="Arial" w:eastAsia="Arial" w:hAnsi="Arial"/>
        </w:rPr>
        <w:t xml:space="preserve">For all matters rated Significant or above, the Legal Department must conduct a privileged post-resolution review addressing legal analysis of the outcome, outside counsel performance, identification of provisions that contributed to exposure, evaluation of escalation and litigation hold procedures, and recommendations for training or policy changes.</w:t>
      </w:r>
    </w:p>
    <w:p>
      <w:pPr>
        <w:pStyle w:val="Heading2"/>
        <w:spacing w:before="200" w:after="120"/>
      </w:pPr>
      <w:r>
        <w:rPr>
          <w:b/>
          <w:bCs/>
          <w:sz w:val="28"/>
          <w:szCs w:val="28"/>
          <w:rFonts w:ascii="Arial" w:cs="Arial" w:eastAsia="Arial" w:hAnsi="Arial"/>
        </w:rPr>
        <w:t xml:space="preserve">Section 13.F. Continuous Improvement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Metric</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Measurement</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Target</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Reporting Frequency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Litigation Hold Compliance Rate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Percentage of custodians acknowledging hold within 72 hours</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95%</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Quarterly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Litigation Hold Re-Certification Rate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Percentage of custodians completing quarterly re-certification</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95%</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Quarterly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IT Litigation Hold SLA Compliance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Percentage of IT coordination forms completed within SLA</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90%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Quarterly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Escalation Timeliness</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Percentage of matters escalated within applicable timeline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90%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Quarterly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Training Completion Rate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Percentage of required training sessions completed by department</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90%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Quarterly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Reserve Accuracy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Variance between PWEL estimate and actual resolution amount</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Within 25% for matters &gt; $100K</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Annually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Outside Counsel Budget Adherence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Percentage of matters resolved within approved budget</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80%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Quarterly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Average Matter Resolution Time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Average elapsed time from matter opening to resolution, by category</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Trend improvement year-over-year</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Annually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Post-Resolution Review Completion</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Percentage of eligible matters with completed post-resolution review</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100%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Quarterly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Document Retention Compliance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Annual audit findings on retention schedule adherence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Zero material findings</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Annually</w:t>
            </w:r>
          </w:p>
        </w:tc>
      </w:tr>
    </w:tbl>
    <w:p>
      <w:pPr>
        <w:spacing w:after="200"/>
      </w:pPr>
    </w:p>
    <w:p>
      <w:r>
        <w:br w:type="page"/>
      </w:r>
    </w:p>
    <w:p>
      <w:pPr>
        <w:pStyle w:val="Heading1"/>
        <w:spacing w:before="240" w:after="200"/>
      </w:pPr>
      <w:r>
        <w:rPr>
          <w:b/>
          <w:bCs/>
          <w:sz w:val="32"/>
          <w:szCs w:val="32"/>
          <w:rFonts w:ascii="Arial" w:cs="Arial" w:eastAsia="Arial" w:hAnsi="Arial"/>
        </w:rPr>
        <w:t xml:space="preserve">SECTION 14. TECHNOLOGY &amp; WORKFLOW OPTIMIZATION</w:t>
      </w:r>
    </w:p>
    <w:p>
      <w:pPr>
        <w:spacing w:before="80" w:after="120"/>
      </w:pPr>
      <w:r>
        <w:rPr>
          <w:sz w:val="22"/>
          <w:szCs w:val="22"/>
          <w:rFonts w:ascii="Arial" w:cs="Arial" w:eastAsia="Arial" w:hAnsi="Arial"/>
        </w:rPr>
        <w:t xml:space="preserve">The Legal Department utilizes technology platforms to improve operational efficiency, enhance visibility into legal matters, and support scalable departmental operations.</w:t>
      </w:r>
    </w:p>
    <w:p>
      <w:pPr>
        <w:pStyle w:val="Heading2"/>
        <w:spacing w:before="200" w:after="120"/>
      </w:pPr>
      <w:r>
        <w:rPr>
          <w:b/>
          <w:bCs/>
          <w:sz w:val="28"/>
          <w:szCs w:val="28"/>
          <w:rFonts w:ascii="Arial" w:cs="Arial" w:eastAsia="Arial" w:hAnsi="Arial"/>
        </w:rPr>
        <w:t xml:space="preserve">Section 14.A. Core Systems and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System</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Primary Function</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System Owner</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Authorized Users</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Salesforce (Legal Module)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matter intake, workflow tracking, pipeline dashboard, Legal Risk Tracker, reporting</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Department</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Asset Management, Executive Leadership, CFO</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SharePoint (Legal Sites)</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Document collaboration, version control, active matter storage, privileged material segmentation</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Department + IT (joint)</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Asset Management, Finance</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ShareFile</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Executed document storage and secure external sharing</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Asset Management</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Asset Management</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E-Billing Platform</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Outside counsel invoice submission, review, and payment processing (LEDES 1998B format required)</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Department + Finance (joint)</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Legal, Finance</w:t>
            </w:r>
          </w:p>
        </w:tc>
      </w:tr>
    </w:tbl>
    <w:p>
      <w:pPr>
        <w:spacing w:after="200"/>
      </w:pPr>
    </w:p>
    <w:p>
      <w:pPr>
        <w:pStyle w:val="Heading2"/>
        <w:spacing w:before="200" w:after="120"/>
      </w:pPr>
      <w:r>
        <w:rPr>
          <w:b/>
          <w:bCs/>
          <w:sz w:val="28"/>
          <w:szCs w:val="28"/>
          <w:rFonts w:ascii="Arial" w:cs="Arial" w:eastAsia="Arial" w:hAnsi="Arial"/>
        </w:rPr>
        <w:t xml:space="preserve">Section 14.B. Salesforce Legal Module -- Procedural Overview</w:t>
      </w:r>
    </w:p>
    <w:p>
      <w:pPr>
        <w:spacing w:before="80" w:after="120"/>
      </w:pPr>
      <w:r>
        <w:rPr>
          <w:sz w:val="22"/>
          <w:szCs w:val="22"/>
          <w:rFonts w:ascii="Arial" w:cs="Arial" w:eastAsia="Arial" w:hAnsi="Arial"/>
        </w:rPr>
        <w:t xml:space="preserve">The Salesforce Legal Module supports request submission with required fields as enumerated in Section 5, status tracking with defined permitted status values (New, Assigned, In Progress, Pending External, Pending Internal, Under Review, Completed, Closed), and standard reporting including Open Matters Report, Matter Aging Report, Pipeline Dashboard, Legal Risk Tracker Report, and Legal Spend Report.</w:t>
      </w:r>
    </w:p>
    <w:p>
      <w:pPr>
        <w:pStyle w:val="Heading2"/>
        <w:spacing w:before="200" w:after="120"/>
      </w:pPr>
      <w:r>
        <w:rPr>
          <w:b/>
          <w:bCs/>
          <w:sz w:val="28"/>
          <w:szCs w:val="28"/>
          <w:rFonts w:ascii="Arial" w:cs="Arial" w:eastAsia="Arial" w:hAnsi="Arial"/>
        </w:rPr>
        <w:t xml:space="preserve">Section 14.C. Legal Risk Tracker</w:t>
      </w:r>
    </w:p>
    <w:p>
      <w:pPr>
        <w:spacing w:before="80" w:after="120"/>
      </w:pPr>
      <w:r>
        <w:rPr>
          <w:sz w:val="22"/>
          <w:szCs w:val="22"/>
          <w:rFonts w:ascii="Arial" w:cs="Arial" w:eastAsia="Arial" w:hAnsi="Arial"/>
        </w:rPr>
        <w:t xml:space="preserve">The Legal Risk Tracker is maintained as a module within the Salesforce Legal Module, with defined fields for each matter including risk rating, exposure estimates, insurance coverage, reserve amounts, outside counsel, key dates, and status.</w:t>
      </w:r>
    </w:p>
    <w:p>
      <w:pPr>
        <w:pStyle w:val="Heading2"/>
        <w:spacing w:before="200" w:after="120"/>
      </w:pPr>
      <w:r>
        <w:rPr>
          <w:b/>
          <w:bCs/>
          <w:sz w:val="28"/>
          <w:szCs w:val="28"/>
          <w:rFonts w:ascii="Arial" w:cs="Arial" w:eastAsia="Arial" w:hAnsi="Arial"/>
        </w:rPr>
        <w:t xml:space="preserve">Section 14.D. SharePoint Governance</w:t>
      </w:r>
    </w:p>
    <w:p>
      <w:pPr>
        <w:spacing w:before="80" w:after="120"/>
      </w:pPr>
      <w:r>
        <w:rPr>
          <w:sz w:val="22"/>
          <w:szCs w:val="22"/>
          <w:rFonts w:ascii="Arial" w:cs="Arial" w:eastAsia="Arial" w:hAnsi="Arial"/>
        </w:rPr>
        <w:t xml:space="preserve">SharePoint governance includes a defined folder structure (Top-Level by functional area, Second-Level by property/entity/matter, Third-Level by document type), privileged material segmentation requirements, naming conventions, version control with separate external numbering, and retention coordination.</w:t>
      </w:r>
    </w:p>
    <w:p>
      <w:pPr>
        <w:pStyle w:val="Heading2"/>
        <w:spacing w:before="200" w:after="120"/>
      </w:pPr>
      <w:r>
        <w:rPr>
          <w:b/>
          <w:bCs/>
          <w:sz w:val="28"/>
          <w:szCs w:val="28"/>
          <w:rFonts w:ascii="Arial" w:cs="Arial" w:eastAsia="Arial" w:hAnsi="Arial"/>
        </w:rPr>
        <w:t xml:space="preserve">Section 14.E. ShareFile Governance</w:t>
      </w:r>
    </w:p>
    <w:p>
      <w:pPr>
        <w:spacing w:before="80" w:after="120"/>
      </w:pPr>
      <w:r>
        <w:rPr>
          <w:sz w:val="22"/>
          <w:szCs w:val="22"/>
          <w:rFonts w:ascii="Arial" w:cs="Arial" w:eastAsia="Arial" w:hAnsi="Arial"/>
        </w:rPr>
        <w:t xml:space="preserve">ShareFile is used for executed documents and secure external sharing only. Access controls include time-limited external access expiring after 90 days and coordination with SharePoint.</w:t>
      </w:r>
    </w:p>
    <w:p>
      <w:pPr>
        <w:pStyle w:val="Heading2"/>
        <w:spacing w:before="200" w:after="120"/>
      </w:pPr>
      <w:r>
        <w:rPr>
          <w:b/>
          <w:bCs/>
          <w:sz w:val="28"/>
          <w:szCs w:val="28"/>
          <w:rFonts w:ascii="Arial" w:cs="Arial" w:eastAsia="Arial" w:hAnsi="Arial"/>
        </w:rPr>
        <w:t xml:space="preserve">Section 14.F. E-Billing System</w:t>
      </w:r>
    </w:p>
    <w:p>
      <w:pPr>
        <w:spacing w:before="80" w:after="120"/>
      </w:pPr>
      <w:r>
        <w:rPr>
          <w:sz w:val="22"/>
          <w:szCs w:val="22"/>
          <w:rFonts w:ascii="Arial" w:cs="Arial" w:eastAsia="Arial" w:hAnsi="Arial"/>
        </w:rPr>
        <w:t xml:space="preserve">LEDES 1998B format is required for all outside counsel invoices. The invoice review workflow includes segregation of duties. Escalation is required for invoices exceeding the approved budget by 15% or matters exceeding $250,000 in aggregate fees.</w:t>
      </w:r>
    </w:p>
    <w:p>
      <w:pPr>
        <w:pStyle w:val="Heading2"/>
        <w:spacing w:before="200" w:after="120"/>
      </w:pPr>
      <w:r>
        <w:rPr>
          <w:b/>
          <w:bCs/>
          <w:sz w:val="28"/>
          <w:szCs w:val="28"/>
          <w:rFonts w:ascii="Arial" w:cs="Arial" w:eastAsia="Arial" w:hAnsi="Arial"/>
        </w:rPr>
        <w:t xml:space="preserve">Section 14.G. System Integration</w:t>
      </w:r>
    </w:p>
    <w:p>
      <w:pPr>
        <w:spacing w:before="80" w:after="120"/>
      </w:pPr>
      <w:r>
        <w:rPr>
          <w:sz w:val="22"/>
          <w:szCs w:val="22"/>
          <w:rFonts w:ascii="Arial" w:cs="Arial" w:eastAsia="Arial" w:hAnsi="Arial"/>
        </w:rPr>
        <w:t xml:space="preserve">The Legal Department works to ensure consistent data capture across platforms, minimization of duplicate data entry, and accurate reflection of legal data in the Company's financial and operational reporting systems.</w:t>
      </w:r>
    </w:p>
    <w:p>
      <w:pPr>
        <w:pStyle w:val="Heading2"/>
        <w:spacing w:before="200" w:after="120"/>
      </w:pPr>
      <w:r>
        <w:rPr>
          <w:b/>
          <w:bCs/>
          <w:sz w:val="28"/>
          <w:szCs w:val="28"/>
          <w:rFonts w:ascii="Arial" w:cs="Arial" w:eastAsia="Arial" w:hAnsi="Arial"/>
        </w:rPr>
        <w:t xml:space="preserve">Section 14.H. Evaluation of New Tools</w:t>
      </w:r>
    </w:p>
    <w:p>
      <w:pPr>
        <w:spacing w:before="80" w:after="120"/>
      </w:pPr>
      <w:r>
        <w:rPr>
          <w:sz w:val="22"/>
          <w:szCs w:val="22"/>
          <w:rFonts w:ascii="Arial" w:cs="Arial" w:eastAsia="Arial" w:hAnsi="Arial"/>
        </w:rPr>
        <w:t xml:space="preserve">Technology evaluations are conducted using criteria-based assessment including integration capability, data security, cost-benefit analysis, ease of adoption, vendor reliability, and scalability. Technology investments exceeding $50,000 require GC + CFO approval; investments exceeding $250,000 require GC + CFO + CEO approval.</w:t>
      </w:r>
    </w:p>
    <w:p>
      <w:pPr>
        <w:pStyle w:val="Heading2"/>
        <w:spacing w:before="200" w:after="120"/>
      </w:pPr>
      <w:r>
        <w:rPr>
          <w:b/>
          <w:bCs/>
          <w:sz w:val="28"/>
          <w:szCs w:val="28"/>
          <w:rFonts w:ascii="Arial" w:cs="Arial" w:eastAsia="Arial" w:hAnsi="Arial"/>
        </w:rPr>
        <w:t xml:space="preserve">Section 14.I. Data Integrity</w:t>
      </w:r>
    </w:p>
    <w:p>
      <w:pPr>
        <w:spacing w:before="80" w:after="120"/>
      </w:pPr>
      <w:r>
        <w:rPr>
          <w:sz w:val="22"/>
          <w:szCs w:val="22"/>
          <w:rFonts w:ascii="Arial" w:cs="Arial" w:eastAsia="Arial" w:hAnsi="Arial"/>
        </w:rPr>
        <w:t xml:space="preserve">The Department is responsible for semi-annual data audits, maintaining current milestone dates, and reporting discrepancies within five (5) business days to the relevant system owner for correction.</w:t>
      </w:r>
    </w:p>
    <w:p>
      <w:pPr>
        <w:pStyle w:val="Heading2"/>
        <w:spacing w:before="200" w:after="120"/>
      </w:pPr>
      <w:r>
        <w:rPr>
          <w:b/>
          <w:bCs/>
          <w:sz w:val="28"/>
          <w:szCs w:val="28"/>
          <w:rFonts w:ascii="Arial" w:cs="Arial" w:eastAsia="Arial" w:hAnsi="Arial"/>
        </w:rPr>
        <w:t xml:space="preserve">Section 14.J. Change Management</w:t>
      </w:r>
    </w:p>
    <w:p>
      <w:pPr>
        <w:spacing w:before="80" w:after="120"/>
      </w:pPr>
      <w:r>
        <w:rPr>
          <w:sz w:val="22"/>
          <w:szCs w:val="22"/>
          <w:rFonts w:ascii="Arial" w:cs="Arial" w:eastAsia="Arial" w:hAnsi="Arial"/>
        </w:rPr>
        <w:t xml:space="preserve">System upgrades, migrations, or workflow changes that affect the Department's operations require 30-day advance coordination. The GC must approve any changes affecting privileged material access or storage.</w:t>
      </w:r>
    </w:p>
    <w:p>
      <w:r>
        <w:br w:type="page"/>
      </w:r>
    </w:p>
    <w:p>
      <w:pPr>
        <w:pStyle w:val="Heading1"/>
        <w:spacing w:before="240" w:after="200"/>
      </w:pPr>
      <w:r>
        <w:rPr>
          <w:b/>
          <w:bCs/>
          <w:sz w:val="32"/>
          <w:szCs w:val="32"/>
          <w:rFonts w:ascii="Arial" w:cs="Arial" w:eastAsia="Arial" w:hAnsi="Arial"/>
        </w:rPr>
        <w:t xml:space="preserve">SECTION 15. POLICY REVIEW AND UPDATES</w:t>
      </w:r>
    </w:p>
    <w:p>
      <w:pPr>
        <w:spacing w:before="80" w:after="120"/>
      </w:pPr>
      <w:r>
        <w:rPr>
          <w:sz w:val="22"/>
          <w:szCs w:val="22"/>
          <w:rFonts w:ascii="Arial" w:cs="Arial" w:eastAsia="Arial" w:hAnsi="Arial"/>
        </w:rPr>
        <w:t xml:space="preserve">This Manual is intended to serve as a living document that evolves with the Company's operations, legal requirements, and industry practices.</w:t>
      </w:r>
    </w:p>
    <w:p>
      <w:pPr>
        <w:pStyle w:val="Heading2"/>
        <w:spacing w:before="200" w:after="120"/>
      </w:pPr>
      <w:r>
        <w:rPr>
          <w:b/>
          <w:bCs/>
          <w:sz w:val="28"/>
          <w:szCs w:val="28"/>
          <w:rFonts w:ascii="Arial" w:cs="Arial" w:eastAsia="Arial" w:hAnsi="Arial"/>
        </w:rPr>
        <w:t xml:space="preserve">Section 15.A. Review Cadence</w:t>
      </w:r>
    </w:p>
    <w:p>
      <w:pPr>
        <w:spacing w:before="80" w:after="120"/>
      </w:pPr>
      <w:r>
        <w:rPr>
          <w:sz w:val="22"/>
          <w:szCs w:val="22"/>
          <w:rFonts w:ascii="Arial" w:cs="Arial" w:eastAsia="Arial" w:hAnsi="Arial"/>
        </w:rPr>
        <w:t xml:space="preserve">The Legal Department will conduct an annual comprehensive review of this Manual, aligned to the Company's fiscal year, to be completed within the first quarter. Ad hoc updates may be made as needed.</w:t>
      </w:r>
    </w:p>
    <w:p>
      <w:pPr>
        <w:pStyle w:val="Heading2"/>
        <w:spacing w:before="200" w:after="120"/>
      </w:pPr>
      <w:r>
        <w:rPr>
          <w:b/>
          <w:bCs/>
          <w:sz w:val="28"/>
          <w:szCs w:val="28"/>
          <w:rFonts w:ascii="Arial" w:cs="Arial" w:eastAsia="Arial" w:hAnsi="Arial"/>
        </w:rPr>
        <w:t xml:space="preserve">Section 15.B. Approval Authority</w:t>
      </w:r>
    </w:p>
    <w:p>
      <w:pPr>
        <w:pStyle w:val="ListParagraph"/>
        <w:numPr>
          <w:ilvl w:val="0"/>
          <w:numId w:val="4"/>
        </w:numPr>
        <w:spacing w:before="40" w:after="40"/>
      </w:pPr>
      <w:r>
        <w:rPr>
          <w:b/>
          <w:bCs/>
          <w:sz w:val="22"/>
          <w:szCs w:val="22"/>
          <w:rFonts w:ascii="Arial" w:cs="Arial" w:eastAsia="Arial" w:hAnsi="Arial"/>
        </w:rPr>
        <w:t xml:space="preserve">Operational updates:</w:t>
      </w:r>
      <w:r>
        <w:rPr>
          <w:sz w:val="22"/>
          <w:szCs w:val="22"/>
          <w:rFonts w:ascii="Arial" w:cs="Arial" w:eastAsia="Arial" w:hAnsi="Arial"/>
        </w:rPr>
        <w:t xml:space="preserve"> GC authority</w:t>
      </w:r>
    </w:p>
    <w:p>
      <w:pPr>
        <w:pStyle w:val="ListParagraph"/>
        <w:numPr>
          <w:ilvl w:val="0"/>
          <w:numId w:val="4"/>
        </w:numPr>
        <w:spacing w:before="40" w:after="40"/>
      </w:pPr>
      <w:r>
        <w:rPr>
          <w:b/>
          <w:bCs/>
          <w:sz w:val="22"/>
          <w:szCs w:val="22"/>
          <w:rFonts w:ascii="Arial" w:cs="Arial" w:eastAsia="Arial" w:hAnsi="Arial"/>
        </w:rPr>
        <w:t xml:space="preserve">Authority changes</w:t>
      </w:r>
      <w:r>
        <w:rPr>
          <w:sz w:val="22"/>
          <w:szCs w:val="22"/>
          <w:rFonts w:ascii="Arial" w:cs="Arial" w:eastAsia="Arial" w:hAnsi="Arial"/>
        </w:rPr>
        <w:t xml:space="preserve"> (DOA thresholds, approval requirements, reporting lines): GC + CEO</w:t>
      </w:r>
    </w:p>
    <w:p>
      <w:pPr>
        <w:pStyle w:val="ListParagraph"/>
        <w:numPr>
          <w:ilvl w:val="0"/>
          <w:numId w:val="4"/>
        </w:numPr>
        <w:spacing w:before="40" w:after="40"/>
      </w:pPr>
      <w:r>
        <w:rPr>
          <w:b/>
          <w:bCs/>
          <w:sz w:val="22"/>
          <w:szCs w:val="22"/>
          <w:rFonts w:ascii="Arial" w:cs="Arial" w:eastAsia="Arial" w:hAnsi="Arial"/>
        </w:rPr>
        <w:t xml:space="preserve">Board-level changes</w:t>
      </w:r>
      <w:r>
        <w:rPr>
          <w:sz w:val="22"/>
          <w:szCs w:val="22"/>
          <w:rFonts w:ascii="Arial" w:cs="Arial" w:eastAsia="Arial" w:hAnsi="Arial"/>
        </w:rPr>
        <w:t xml:space="preserve"> (Board reporting obligations, Board thresholds): GC + CEO + Board</w:t>
      </w:r>
    </w:p>
    <w:p>
      <w:pPr>
        <w:pStyle w:val="ListParagraph"/>
        <w:numPr>
          <w:ilvl w:val="0"/>
          <w:numId w:val="4"/>
        </w:numPr>
        <w:spacing w:before="40" w:after="40"/>
      </w:pPr>
      <w:r>
        <w:rPr>
          <w:sz w:val="22"/>
          <w:szCs w:val="22"/>
          <w:rFonts w:ascii="Arial" w:cs="Arial" w:eastAsia="Arial" w:hAnsi="Arial"/>
        </w:rPr>
        <w:t xml:space="preserve">Material changes must be communicated to relevant stakeholders within ten (10) business days</w:t>
      </w:r>
    </w:p>
    <w:p>
      <w:pPr>
        <w:pStyle w:val="Heading2"/>
        <w:spacing w:before="200" w:after="120"/>
      </w:pPr>
      <w:r>
        <w:rPr>
          <w:b/>
          <w:bCs/>
          <w:sz w:val="28"/>
          <w:szCs w:val="28"/>
          <w:rFonts w:ascii="Arial" w:cs="Arial" w:eastAsia="Arial" w:hAnsi="Arial"/>
        </w:rPr>
        <w:t xml:space="preserve">Section 15.C. Version Control</w:t>
      </w:r>
    </w:p>
    <w:p>
      <w:pPr>
        <w:spacing w:before="80" w:after="120"/>
      </w:pPr>
      <w:r>
        <w:rPr>
          <w:sz w:val="22"/>
          <w:szCs w:val="22"/>
          <w:rFonts w:ascii="Arial" w:cs="Arial" w:eastAsia="Arial" w:hAnsi="Arial"/>
        </w:rPr>
        <w:t xml:space="preserve">The Manual uses sequential version numbering (major.minor). A change log is maintained. The current version is stored in the SharePoint Legal Administrative folder. Superseded versions are archived for a minimum of seven (7) years.</w:t>
      </w:r>
    </w:p>
    <w:p>
      <w:pPr>
        <w:pStyle w:val="Heading2"/>
        <w:spacing w:before="200" w:after="120"/>
      </w:pPr>
      <w:r>
        <w:rPr>
          <w:b/>
          <w:bCs/>
          <w:sz w:val="28"/>
          <w:szCs w:val="28"/>
          <w:rFonts w:ascii="Arial" w:cs="Arial" w:eastAsia="Arial" w:hAnsi="Arial"/>
        </w:rPr>
        <w:t xml:space="preserve">Section 15.D.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Version</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Effective Date</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Description of Change</w:t>
            </w:r>
          </w:p>
        </w:tc>
        <w:tc>
          <w:tcPr>
            <w:tcW w:type="dxa" w:w="23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Approved By</w:t>
            </w:r>
          </w:p>
        </w:tc>
      </w:tr>
      <w:tr>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1.0</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March 18, 2026</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Initial publication of the Legal Department Operations Manual. Includes Sections 1 through 15 and Attachments A, B, and C.</w:t>
            </w:r>
          </w:p>
        </w:tc>
        <w:tc>
          <w:tcPr>
            <w:tcW w:type="dxa" w:w="23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General Counsel; CEO</w:t>
            </w:r>
          </w:p>
        </w:tc>
      </w:tr>
    </w:tbl>
    <w:p>
      <w:pPr>
        <w:spacing w:after="200"/>
      </w:pPr>
    </w:p>
    <w:p>
      <w:pPr>
        <w:pStyle w:val="Heading2"/>
        <w:spacing w:before="200" w:after="120"/>
      </w:pPr>
      <w:r>
        <w:rPr>
          <w:b/>
          <w:bCs/>
          <w:sz w:val="28"/>
          <w:szCs w:val="28"/>
          <w:rFonts w:ascii="Arial" w:cs="Arial" w:eastAsia="Arial" w:hAnsi="Arial"/>
        </w:rPr>
        <w:t xml:space="preserve">Section 15.E. Implementation</w:t>
      </w:r>
    </w:p>
    <w:p>
      <w:pPr>
        <w:spacing w:before="80" w:after="120"/>
      </w:pPr>
      <w:r>
        <w:rPr>
          <w:sz w:val="22"/>
          <w:szCs w:val="22"/>
          <w:rFonts w:ascii="Arial" w:cs="Arial" w:eastAsia="Arial" w:hAnsi="Arial"/>
        </w:rPr>
        <w:t xml:space="preserve">The General Counsel is responsible for implementing and maintaining compliance with the procedures outlined in this Manual. All Department personnel are expected to review and adhere to the current version of this Manual. New personnel must review this Manual during onboarding.</w:t>
      </w:r>
    </w:p>
    <w:p>
      <w:r>
        <w:br w:type="page"/>
      </w:r>
    </w:p>
    <w:p>
      <w:pPr>
        <w:pStyle w:val="Heading1"/>
        <w:spacing w:before="240" w:after="200"/>
      </w:pPr>
      <w:r>
        <w:rPr>
          <w:b/>
          <w:bCs/>
          <w:sz w:val="32"/>
          <w:szCs w:val="32"/>
          <w:rFonts w:ascii="Arial" w:cs="Arial" w:eastAsia="Arial" w:hAnsi="Arial"/>
        </w:rPr>
        <w:t xml:space="preserve">ATTACHMENT A: DELEGATION OF AUTHORITY MATRIX</w:t>
      </w:r>
    </w:p>
    <w:p>
      <w:pPr>
        <w:spacing w:before="80" w:after="120"/>
      </w:pPr>
      <w:r>
        <w:rPr>
          <w:sz w:val="22"/>
          <w:szCs w:val="22"/>
          <w:rFonts w:ascii="Arial" w:cs="Arial" w:eastAsia="Arial" w:hAnsi="Arial"/>
        </w:rPr>
        <w:t xml:space="preserve">PRIVILEGED AND CONFIDENTIAL -- PREPARED AT DIRECTION OF COUNSEL</w:t>
      </w:r>
    </w:p>
    <w:p>
      <w:pPr>
        <w:pStyle w:val="Heading2"/>
        <w:spacing w:before="200" w:after="120"/>
      </w:pPr>
      <w:r>
        <w:rPr>
          <w:b/>
          <w:bCs/>
          <w:sz w:val="28"/>
          <w:szCs w:val="28"/>
          <w:rFonts w:ascii="Arial" w:cs="Arial" w:eastAsia="Arial" w:hAnsi="Arial"/>
        </w:rPr>
        <w:t xml:space="preserve">Section A.1. Purpose</w:t>
      </w:r>
    </w:p>
    <w:p>
      <w:pPr>
        <w:spacing w:before="80" w:after="120"/>
      </w:pPr>
      <w:r>
        <w:rPr>
          <w:sz w:val="22"/>
          <w:szCs w:val="22"/>
          <w:rFonts w:ascii="Arial" w:cs="Arial" w:eastAsia="Arial" w:hAnsi="Arial"/>
        </w:rPr>
        <w:t xml:space="preserve">This Attachment establishes the delegation of approval authority for legal, transactional, and operational matters. All dollar thresholds are subject to annual review and adjustment by the GC and CEO.</w:t>
      </w:r>
    </w:p>
    <w:p>
      <w:pPr>
        <w:pStyle w:val="Heading2"/>
        <w:spacing w:before="200" w:after="120"/>
      </w:pPr>
      <w:r>
        <w:rPr>
          <w:b/>
          <w:bCs/>
          <w:sz w:val="28"/>
          <w:szCs w:val="28"/>
          <w:rFonts w:ascii="Arial" w:cs="Arial" w:eastAsia="Arial" w:hAnsi="Arial"/>
        </w:rPr>
        <w:t xml:space="preserve">Section A.2. Approval Tiers</w:t>
      </w:r>
    </w:p>
    <w:p>
      <w:pPr>
        <w:pStyle w:val="ListParagraph"/>
        <w:numPr>
          <w:ilvl w:val="0"/>
          <w:numId w:val="4"/>
        </w:numPr>
        <w:spacing w:before="40" w:after="40"/>
      </w:pPr>
      <w:r>
        <w:rPr>
          <w:b/>
          <w:bCs/>
          <w:sz w:val="22"/>
          <w:szCs w:val="22"/>
          <w:rFonts w:ascii="Arial" w:cs="Arial" w:eastAsia="Arial" w:hAnsi="Arial"/>
        </w:rPr>
        <w:t xml:space="preserve">Tier 1 -- Paralegal / Senior Paralegal:</w:t>
      </w:r>
      <w:r>
        <w:rPr>
          <w:sz w:val="22"/>
          <w:szCs w:val="22"/>
          <w:rFonts w:ascii="Arial" w:cs="Arial" w:eastAsia="Arial" w:hAnsi="Arial"/>
        </w:rPr>
        <w:t xml:space="preserve"> Routine administrative and procedural actions. No counter-signatory required.</w:t>
      </w:r>
    </w:p>
    <w:p>
      <w:pPr>
        <w:pStyle w:val="ListParagraph"/>
        <w:numPr>
          <w:ilvl w:val="0"/>
          <w:numId w:val="4"/>
        </w:numPr>
        <w:spacing w:before="40" w:after="40"/>
      </w:pPr>
      <w:r>
        <w:rPr>
          <w:b/>
          <w:bCs/>
          <w:sz w:val="22"/>
          <w:szCs w:val="22"/>
          <w:rFonts w:ascii="Arial" w:cs="Arial" w:eastAsia="Arial" w:hAnsi="Arial"/>
        </w:rPr>
        <w:t xml:space="preserve">Tier 2 -- Associate General Counsel:</w:t>
      </w:r>
      <w:r>
        <w:rPr>
          <w:sz w:val="22"/>
          <w:szCs w:val="22"/>
          <w:rFonts w:ascii="Arial" w:cs="Arial" w:eastAsia="Arial" w:hAnsi="Arial"/>
        </w:rPr>
        <w:t xml:space="preserve"> Actions within specified dollar thresholds. Documented approval required.</w:t>
      </w:r>
    </w:p>
    <w:p>
      <w:pPr>
        <w:pStyle w:val="ListParagraph"/>
        <w:numPr>
          <w:ilvl w:val="0"/>
          <w:numId w:val="4"/>
        </w:numPr>
        <w:spacing w:before="40" w:after="40"/>
      </w:pPr>
      <w:r>
        <w:rPr>
          <w:b/>
          <w:bCs/>
          <w:sz w:val="22"/>
          <w:szCs w:val="22"/>
          <w:rFonts w:ascii="Arial" w:cs="Arial" w:eastAsia="Arial" w:hAnsi="Arial"/>
        </w:rPr>
        <w:t xml:space="preserve">Tier 3 -- General Counsel:</w:t>
      </w:r>
      <w:r>
        <w:rPr>
          <w:sz w:val="22"/>
          <w:szCs w:val="22"/>
          <w:rFonts w:ascii="Arial" w:cs="Arial" w:eastAsia="Arial" w:hAnsi="Arial"/>
        </w:rPr>
        <w:t xml:space="preserve"> GC approval with counter-signatory (CFO). GC may not self-approve without counter-signatory.</w:t>
      </w:r>
    </w:p>
    <w:p>
      <w:pPr>
        <w:pStyle w:val="ListParagraph"/>
        <w:numPr>
          <w:ilvl w:val="0"/>
          <w:numId w:val="4"/>
        </w:numPr>
        <w:spacing w:before="40" w:after="40"/>
      </w:pPr>
      <w:r>
        <w:rPr>
          <w:b/>
          <w:bCs/>
          <w:sz w:val="22"/>
          <w:szCs w:val="22"/>
          <w:rFonts w:ascii="Arial" w:cs="Arial" w:eastAsia="Arial" w:hAnsi="Arial"/>
        </w:rPr>
        <w:t xml:space="preserve">Tier 4 -- General Counsel + CEO:</w:t>
      </w:r>
      <w:r>
        <w:rPr>
          <w:sz w:val="22"/>
          <w:szCs w:val="22"/>
          <w:rFonts w:ascii="Arial" w:cs="Arial" w:eastAsia="Arial" w:hAnsi="Arial"/>
        </w:rPr>
        <w:t xml:space="preserve"> Documented approval by both required.</w:t>
      </w:r>
    </w:p>
    <w:p>
      <w:pPr>
        <w:pStyle w:val="ListParagraph"/>
        <w:numPr>
          <w:ilvl w:val="0"/>
          <w:numId w:val="4"/>
        </w:numPr>
        <w:spacing w:before="40" w:after="40"/>
      </w:pPr>
      <w:r>
        <w:rPr>
          <w:b/>
          <w:bCs/>
          <w:sz w:val="22"/>
          <w:szCs w:val="22"/>
          <w:rFonts w:ascii="Arial" w:cs="Arial" w:eastAsia="Arial" w:hAnsi="Arial"/>
        </w:rPr>
        <w:t xml:space="preserve">Tier 5 -- General Counsel + CEO + Board:</w:t>
      </w:r>
      <w:r>
        <w:rPr>
          <w:sz w:val="22"/>
          <w:szCs w:val="22"/>
          <w:rFonts w:ascii="Arial" w:cs="Arial" w:eastAsia="Arial" w:hAnsi="Arial"/>
        </w:rPr>
        <w:t xml:space="preserve"> Board ratification or approval required.</w:t>
      </w:r>
    </w:p>
    <w:p>
      <w:pPr>
        <w:pStyle w:val="Heading2"/>
        <w:spacing w:before="200" w:after="120"/>
      </w:pPr>
      <w:r>
        <w:rPr>
          <w:b/>
          <w:bCs/>
          <w:sz w:val="28"/>
          <w:szCs w:val="28"/>
          <w:rFonts w:ascii="Arial" w:cs="Arial" w:eastAsia="Arial" w:hAnsi="Arial"/>
        </w:rPr>
        <w:t xml:space="preserve">Section A.3. Delegation of Authority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Transaction Type</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Tier 1 (Paralegal)</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Tier 2 (Assoc. GC)</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Tier 3 (GC + Counter)</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Tier 4 (GC + CEO)</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Tier 5 (GC + CEO + Board)</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Lease Execution (by annual rent)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&lt; $500,000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$500,000 - $2,000,000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$2,000,000 - $10,000,000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$10,000,000</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Lease Amendments (by impact)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&lt; $100,000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$100,000 - $500,000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$500,000 - $2,000,000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$2,000,000</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Lease Termination / Surrender</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&lt; $100,000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$100,000 - $500,000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$500,000 - $2,000,000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$2,000,000</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Litigation Settlements</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&lt; $25,000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$25,000 - $100,000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$100,000 - $500,000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$500,000</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Outside Counsel Engagement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&lt; $25,000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$25,000 - $100,000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$100,000 - $500,000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$500,000</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Contracts (non-lease)</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&lt; $50,000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$50,000 - $250,000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$250,000 - $1,000,000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$1,000,000</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Guarantees</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&lt; $250,000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$250,000 - $1,000,000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$1,000,000</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Easements and Encumbrances</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&lt; $25,000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$25,000 - $100,000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$100,000 - $500,000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$500,000</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Employment Matters</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Routine HR support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Terminations/severance &lt; $100,000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Severance $100,000 - $500,000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$500,000 or executive-level</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Tax Elections (REIT)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Routine annual elections</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Material elections (&gt; $250K or novel)</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Any election with REIT qualification impact</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Insurance Claims</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&lt; $50,000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$50,000 - $250,000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$250,000 - $1,000,000</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&gt; $1,000,000</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Entity Formation / Dissolution</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 CFO (routine)</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 CEO (material)</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Board (parent-level)</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Acquisition / Disposition</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 CEO</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Board</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Financing / Loan Documents</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N/A</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 CFO (refinancing)</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GC + CEO</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Board</w:t>
            </w:r>
          </w:p>
        </w:tc>
      </w:tr>
    </w:tbl>
    <w:p>
      <w:pPr>
        <w:spacing w:after="200"/>
      </w:pPr>
    </w:p>
    <w:p>
      <w:pPr>
        <w:pStyle w:val="Heading2"/>
        <w:spacing w:before="200" w:after="120"/>
      </w:pPr>
      <w:r>
        <w:rPr>
          <w:b/>
          <w:bCs/>
          <w:sz w:val="28"/>
          <w:szCs w:val="28"/>
          <w:rFonts w:ascii="Arial" w:cs="Arial" w:eastAsia="Arial" w:hAnsi="Arial"/>
        </w:rPr>
        <w:t xml:space="preserve">Section A.4. Approval Documentation Requirements</w:t>
      </w:r>
    </w:p>
    <w:p>
      <w:pPr>
        <w:pStyle w:val="ListParagraph"/>
        <w:numPr>
          <w:ilvl w:val="0"/>
          <w:numId w:val="4"/>
        </w:numPr>
        <w:spacing w:before="40" w:after="40"/>
      </w:pPr>
      <w:r>
        <w:rPr>
          <w:b/>
          <w:bCs/>
          <w:sz w:val="22"/>
          <w:szCs w:val="22"/>
          <w:rFonts w:ascii="Arial" w:cs="Arial" w:eastAsia="Arial" w:hAnsi="Arial"/>
        </w:rPr>
        <w:t xml:space="preserve">Tier 1:</w:t>
      </w:r>
      <w:r>
        <w:rPr>
          <w:sz w:val="22"/>
          <w:szCs w:val="22"/>
          <w:rFonts w:ascii="Arial" w:cs="Arial" w:eastAsia="Arial" w:hAnsi="Arial"/>
        </w:rPr>
        <w:t xml:space="preserve"> Salesforce record documenting the action and responsible paralegal.</w:t>
      </w:r>
    </w:p>
    <w:p>
      <w:pPr>
        <w:pStyle w:val="ListParagraph"/>
        <w:numPr>
          <w:ilvl w:val="0"/>
          <w:numId w:val="4"/>
        </w:numPr>
        <w:spacing w:before="40" w:after="40"/>
      </w:pPr>
      <w:r>
        <w:rPr>
          <w:b/>
          <w:bCs/>
          <w:sz w:val="22"/>
          <w:szCs w:val="22"/>
          <w:rFonts w:ascii="Arial" w:cs="Arial" w:eastAsia="Arial" w:hAnsi="Arial"/>
        </w:rPr>
        <w:t xml:space="preserve">Tier 2:</w:t>
      </w:r>
      <w:r>
        <w:rPr>
          <w:sz w:val="22"/>
          <w:szCs w:val="22"/>
          <w:rFonts w:ascii="Arial" w:cs="Arial" w:eastAsia="Arial" w:hAnsi="Arial"/>
        </w:rPr>
        <w:t xml:space="preserve"> Written approval from Associate GC (email is sufficient) filed in the applicable matter record.</w:t>
      </w:r>
    </w:p>
    <w:p>
      <w:pPr>
        <w:pStyle w:val="ListParagraph"/>
        <w:numPr>
          <w:ilvl w:val="0"/>
          <w:numId w:val="4"/>
        </w:numPr>
        <w:spacing w:before="40" w:after="40"/>
      </w:pPr>
      <w:r>
        <w:rPr>
          <w:b/>
          <w:bCs/>
          <w:sz w:val="22"/>
          <w:szCs w:val="22"/>
          <w:rFonts w:ascii="Arial" w:cs="Arial" w:eastAsia="Arial" w:hAnsi="Arial"/>
        </w:rPr>
        <w:t xml:space="preserve">Tier 3:</w:t>
      </w:r>
      <w:r>
        <w:rPr>
          <w:sz w:val="22"/>
          <w:szCs w:val="22"/>
          <w:rFonts w:ascii="Arial" w:cs="Arial" w:eastAsia="Arial" w:hAnsi="Arial"/>
        </w:rPr>
        <w:t xml:space="preserve"> Written approval from GC and counter-signatory (email exchange or co-signed memorandum), filed in the applicable matter record.</w:t>
      </w:r>
    </w:p>
    <w:p>
      <w:pPr>
        <w:pStyle w:val="ListParagraph"/>
        <w:numPr>
          <w:ilvl w:val="0"/>
          <w:numId w:val="4"/>
        </w:numPr>
        <w:spacing w:before="40" w:after="40"/>
      </w:pPr>
      <w:r>
        <w:rPr>
          <w:b/>
          <w:bCs/>
          <w:sz w:val="22"/>
          <w:szCs w:val="22"/>
          <w:rFonts w:ascii="Arial" w:cs="Arial" w:eastAsia="Arial" w:hAnsi="Arial"/>
        </w:rPr>
        <w:t xml:space="preserve">Tier 4:</w:t>
      </w:r>
      <w:r>
        <w:rPr>
          <w:sz w:val="22"/>
          <w:szCs w:val="22"/>
          <w:rFonts w:ascii="Arial" w:cs="Arial" w:eastAsia="Arial" w:hAnsi="Arial"/>
        </w:rPr>
        <w:t xml:space="preserve"> Written approval from both GC and CEO (co-signed memorandum or documented email exchange), filed in the applicable matter record.</w:t>
      </w:r>
    </w:p>
    <w:p>
      <w:pPr>
        <w:pStyle w:val="ListParagraph"/>
        <w:numPr>
          <w:ilvl w:val="0"/>
          <w:numId w:val="4"/>
        </w:numPr>
        <w:spacing w:before="40" w:after="40"/>
      </w:pPr>
      <w:r>
        <w:rPr>
          <w:b/>
          <w:bCs/>
          <w:sz w:val="22"/>
          <w:szCs w:val="22"/>
          <w:rFonts w:ascii="Arial" w:cs="Arial" w:eastAsia="Arial" w:hAnsi="Arial"/>
        </w:rPr>
        <w:t xml:space="preserve">Tier 5:</w:t>
      </w:r>
      <w:r>
        <w:rPr>
          <w:sz w:val="22"/>
          <w:szCs w:val="22"/>
          <w:rFonts w:ascii="Arial" w:cs="Arial" w:eastAsia="Arial" w:hAnsi="Arial"/>
        </w:rPr>
        <w:t xml:space="preserve"> Board minutes or written consent documenting Board ratification or approval, filed in the governance records and applicable matter record.</w:t>
      </w:r>
    </w:p>
    <w:p>
      <w:pPr>
        <w:pStyle w:val="Heading2"/>
        <w:spacing w:before="200" w:after="120"/>
      </w:pPr>
      <w:r>
        <w:rPr>
          <w:b/>
          <w:bCs/>
          <w:sz w:val="28"/>
          <w:szCs w:val="28"/>
          <w:rFonts w:ascii="Arial" w:cs="Arial" w:eastAsia="Arial" w:hAnsi="Arial"/>
        </w:rPr>
        <w:t xml:space="preserve">Section A.5. Conflict of Interest Provision</w:t>
      </w:r>
    </w:p>
    <w:p>
      <w:pPr>
        <w:spacing w:before="80" w:after="120"/>
      </w:pPr>
      <w:r>
        <w:rPr>
          <w:sz w:val="22"/>
          <w:szCs w:val="22"/>
          <w:rFonts w:ascii="Arial" w:cs="Arial" w:eastAsia="Arial" w:hAnsi="Arial"/>
        </w:rPr>
        <w:t xml:space="preserve">Individuals with conflicts of interest with respect to a transaction or matter must recuse themselves from the approval process and escalate to the next higher Tier. Conflicts must be disclosed to the GC (or to the CEO if the GC is conflicted). A confidential recusal log is maintained by the Department.</w:t>
      </w:r>
    </w:p>
    <w:p>
      <w:pPr>
        <w:pStyle w:val="Heading2"/>
        <w:spacing w:before="200" w:after="120"/>
      </w:pPr>
      <w:r>
        <w:rPr>
          <w:b/>
          <w:bCs/>
          <w:sz w:val="28"/>
          <w:szCs w:val="28"/>
          <w:rFonts w:ascii="Arial" w:cs="Arial" w:eastAsia="Arial" w:hAnsi="Arial"/>
        </w:rPr>
        <w:t xml:space="preserve">Section A.6. Emergency Authority</w:t>
      </w:r>
    </w:p>
    <w:p>
      <w:pPr>
        <w:pStyle w:val="ListParagraph"/>
        <w:numPr>
          <w:ilvl w:val="0"/>
          <w:numId w:val="4"/>
        </w:numPr>
        <w:spacing w:before="40" w:after="40"/>
      </w:pPr>
      <w:r>
        <w:rPr>
          <w:sz w:val="22"/>
          <w:szCs w:val="22"/>
          <w:rFonts w:ascii="Arial" w:cs="Arial" w:eastAsia="Arial" w:hAnsi="Arial"/>
        </w:rPr>
        <w:t xml:space="preserve">GC unavailable: CFO may exercise Tier 3 authority for time-sensitive matters</w:t>
      </w:r>
    </w:p>
    <w:p>
      <w:pPr>
        <w:pStyle w:val="ListParagraph"/>
        <w:numPr>
          <w:ilvl w:val="0"/>
          <w:numId w:val="4"/>
        </w:numPr>
        <w:spacing w:before="40" w:after="40"/>
      </w:pPr>
      <w:r>
        <w:rPr>
          <w:sz w:val="22"/>
          <w:szCs w:val="22"/>
          <w:rFonts w:ascii="Arial" w:cs="Arial" w:eastAsia="Arial" w:hAnsi="Arial"/>
        </w:rPr>
        <w:t xml:space="preserve">GC and CEO unavailable: COO may exercise Tier 3 authority</w:t>
      </w:r>
    </w:p>
    <w:p>
      <w:pPr>
        <w:pStyle w:val="ListParagraph"/>
        <w:numPr>
          <w:ilvl w:val="0"/>
          <w:numId w:val="4"/>
        </w:numPr>
        <w:spacing w:before="40" w:after="40"/>
      </w:pPr>
      <w:r>
        <w:rPr>
          <w:sz w:val="22"/>
          <w:szCs w:val="22"/>
          <w:rFonts w:ascii="Arial" w:cs="Arial" w:eastAsia="Arial" w:hAnsi="Arial"/>
        </w:rPr>
        <w:t xml:space="preserve">72-hour time limit per exercise of emergency authority</w:t>
      </w:r>
    </w:p>
    <w:p>
      <w:pPr>
        <w:pStyle w:val="ListParagraph"/>
        <w:numPr>
          <w:ilvl w:val="0"/>
          <w:numId w:val="4"/>
        </w:numPr>
        <w:spacing w:before="40" w:after="40"/>
      </w:pPr>
      <w:r>
        <w:rPr>
          <w:sz w:val="22"/>
          <w:szCs w:val="22"/>
          <w:rFonts w:ascii="Arial" w:cs="Arial" w:eastAsia="Arial" w:hAnsi="Arial"/>
        </w:rPr>
        <w:t xml:space="preserve">No emergency authority for Tier 5 (Board) matters</w:t>
      </w:r>
    </w:p>
    <w:p>
      <w:pPr>
        <w:pStyle w:val="ListParagraph"/>
        <w:numPr>
          <w:ilvl w:val="0"/>
          <w:numId w:val="4"/>
        </w:numPr>
        <w:spacing w:before="40" w:after="40"/>
      </w:pPr>
      <w:r>
        <w:rPr>
          <w:sz w:val="22"/>
          <w:szCs w:val="22"/>
          <w:rFonts w:ascii="Arial" w:cs="Arial" w:eastAsia="Arial" w:hAnsi="Arial"/>
        </w:rPr>
        <w:t xml:space="preserve">Ratification by the authorized individual(s) is required within five (5) business days</w:t>
      </w:r>
    </w:p>
    <w:p>
      <w:pPr>
        <w:pStyle w:val="Heading2"/>
        <w:spacing w:before="200" w:after="120"/>
      </w:pPr>
      <w:r>
        <w:rPr>
          <w:b/>
          <w:bCs/>
          <w:sz w:val="28"/>
          <w:szCs w:val="28"/>
          <w:rFonts w:ascii="Arial" w:cs="Arial" w:eastAsia="Arial" w:hAnsi="Arial"/>
        </w:rPr>
        <w:t xml:space="preserve">Section A.7. Settlement Approval Procedures</w:t>
      </w:r>
    </w:p>
    <w:p>
      <w:pPr>
        <w:spacing w:before="80" w:after="120"/>
      </w:pPr>
      <w:r>
        <w:rPr>
          <w:sz w:val="22"/>
          <w:szCs w:val="22"/>
          <w:rFonts w:ascii="Arial" w:cs="Arial" w:eastAsia="Arial" w:hAnsi="Arial"/>
        </w:rPr>
        <w:t xml:space="preserve">Matters exceeding $100,000 in proposed settlement value require approval at the applicable Tier before settlement terms are communicated to the opposing party. For time-sensitive settlement negotiations, conditional approval may be given by email, subject to formal ratification within 48 hours.</w:t>
      </w:r>
    </w:p>
    <w:p>
      <w:pPr>
        <w:pStyle w:val="Heading2"/>
        <w:spacing w:before="200" w:after="120"/>
      </w:pPr>
      <w:r>
        <w:rPr>
          <w:b/>
          <w:bCs/>
          <w:sz w:val="28"/>
          <w:szCs w:val="28"/>
          <w:rFonts w:ascii="Arial" w:cs="Arial" w:eastAsia="Arial" w:hAnsi="Arial"/>
        </w:rPr>
        <w:t xml:space="preserve">Section A.8. Annual Review</w:t>
      </w:r>
    </w:p>
    <w:p>
      <w:pPr>
        <w:spacing w:before="80" w:after="120"/>
      </w:pPr>
      <w:r>
        <w:rPr>
          <w:sz w:val="22"/>
          <w:szCs w:val="22"/>
          <w:rFonts w:ascii="Arial" w:cs="Arial" w:eastAsia="Arial" w:hAnsi="Arial"/>
        </w:rPr>
        <w:t xml:space="preserve">The Delegation of Authority Matrix is reviewed annually in conjunction with the Manual review described in Section 15. Dollar thresholds are evaluated against portfolio size, transaction volume, and risk tolerance.</w:t>
      </w:r>
    </w:p>
    <w:p>
      <w:r>
        <w:br w:type="page"/>
      </w:r>
    </w:p>
    <w:p>
      <w:pPr>
        <w:pStyle w:val="Heading1"/>
        <w:spacing w:before="240" w:after="200"/>
      </w:pPr>
      <w:r>
        <w:rPr>
          <w:b/>
          <w:bCs/>
          <w:sz w:val="32"/>
          <w:szCs w:val="32"/>
          <w:rFonts w:ascii="Arial" w:cs="Arial" w:eastAsia="Arial" w:hAnsi="Arial"/>
        </w:rPr>
        <w:t xml:space="preserve">ATTACHMENT B: LEGAL RISK DASHBOARD</w:t>
      </w:r>
    </w:p>
    <w:p>
      <w:pPr>
        <w:spacing w:before="80" w:after="120"/>
      </w:pPr>
      <w:r>
        <w:rPr>
          <w:sz w:val="22"/>
          <w:szCs w:val="22"/>
          <w:rFonts w:ascii="Arial" w:cs="Arial" w:eastAsia="Arial" w:hAnsi="Arial"/>
        </w:rPr>
        <w:t xml:space="preserve">PRIVILEGED AND CONFIDENTIAL -- PREPARED AT DIRECTION OF COUNSEL</w:t>
      </w:r>
    </w:p>
    <w:p>
      <w:pPr>
        <w:pStyle w:val="Heading2"/>
        <w:spacing w:before="200" w:after="120"/>
      </w:pPr>
      <w:r>
        <w:rPr>
          <w:b/>
          <w:bCs/>
          <w:sz w:val="28"/>
          <w:szCs w:val="28"/>
          <w:rFonts w:ascii="Arial" w:cs="Arial" w:eastAsia="Arial" w:hAnsi="Arial"/>
        </w:rPr>
        <w:t xml:space="preserve">Section B.1. Purpose and Distribution</w:t>
      </w:r>
    </w:p>
    <w:p>
      <w:pPr>
        <w:spacing w:before="80" w:after="120"/>
      </w:pPr>
      <w:r>
        <w:rPr>
          <w:sz w:val="22"/>
          <w:szCs w:val="22"/>
          <w:rFonts w:ascii="Arial" w:cs="Arial" w:eastAsia="Arial" w:hAnsi="Arial"/>
        </w:rPr>
        <w:t xml:space="preserve">The Legal Risk Dashboard is prepared monthly by the Legal Department and distributed to the GC, CEO, and CFO on a monthly basis and to the Board on a quarterly basis. All pages bear the privilege designation.</w:t>
      </w:r>
    </w:p>
    <w:p>
      <w:pPr>
        <w:pStyle w:val="Heading2"/>
        <w:spacing w:before="200" w:after="120"/>
      </w:pPr>
      <w:r>
        <w:rPr>
          <w:b/>
          <w:bCs/>
          <w:sz w:val="28"/>
          <w:szCs w:val="28"/>
          <w:rFonts w:ascii="Arial" w:cs="Arial" w:eastAsia="Arial" w:hAnsi="Arial"/>
        </w:rPr>
        <w:t xml:space="preserve">Section B.2. Active Matters Summary</w:t>
      </w:r>
    </w:p>
    <w:p>
      <w:pPr>
        <w:spacing w:before="80" w:after="120"/>
      </w:pPr>
      <w:r>
        <w:rPr>
          <w:sz w:val="22"/>
          <w:szCs w:val="22"/>
          <w:rFonts w:ascii="Arial" w:cs="Arial" w:eastAsia="Arial" w:hAnsi="Arial"/>
        </w:rPr>
        <w:t xml:space="preserve">The Active Matters Summary provides a current-period count of all open legal matters by risk rating and category, with Prior Quarter Total and Change (QoQ) columns for trend tracking.</w:t>
      </w:r>
    </w:p>
    <w:p>
      <w:pPr>
        <w:spacing w:before="80" w:after="120"/>
      </w:pPr>
      <w:r>
        <w:rPr>
          <w:sz w:val="22"/>
          <w:szCs w:val="22"/>
          <w:rFonts w:ascii="Arial" w:cs="Arial" w:eastAsia="Arial" w:hAnsi="Arial"/>
        </w:rPr>
        <w:t xml:space="preserve">Categories: Litigation, Tenant Defaults, Bankruptcy, Insurance Claims, Regulatory, Environmental, Employment.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Category</w:t>
            </w:r>
          </w:p>
        </w:tc>
        <w:tc>
          <w:tcPr>
            <w:tcW w:type="dxa" w:w="10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Critical</w:t>
            </w:r>
          </w:p>
        </w:tc>
        <w:tc>
          <w:tcPr>
            <w:tcW w:type="dxa" w:w="10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High</w:t>
            </w:r>
          </w:p>
        </w:tc>
        <w:tc>
          <w:tcPr>
            <w:tcW w:type="dxa" w:w="10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Significant</w:t>
            </w:r>
          </w:p>
        </w:tc>
        <w:tc>
          <w:tcPr>
            <w:tcW w:type="dxa" w:w="10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Moderate</w:t>
            </w:r>
          </w:p>
        </w:tc>
        <w:tc>
          <w:tcPr>
            <w:tcW w:type="dxa" w:w="10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Low</w:t>
            </w:r>
          </w:p>
        </w:tc>
        <w:tc>
          <w:tcPr>
            <w:tcW w:type="dxa" w:w="10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Total</w:t>
            </w:r>
          </w:p>
        </w:tc>
        <w:tc>
          <w:tcPr>
            <w:tcW w:type="dxa" w:w="10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Prior Quarter Total</w:t>
            </w:r>
          </w:p>
        </w:tc>
        <w:tc>
          <w:tcPr>
            <w:tcW w:type="dxa" w:w="104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Change (QoQ)</w:t>
            </w:r>
          </w:p>
        </w:tc>
      </w:tr>
      <w:tr>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Litigation</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r>
      <w:tr>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Tenant Defaults</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r>
      <w:tr>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Bankruptcy</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r>
      <w:tr>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Insurance Claims</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r>
      <w:tr>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Regulatory</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r>
      <w:tr>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Environmental</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r>
      <w:tr>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Employment</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r>
      <w:tr>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TOTAL</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04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r>
    </w:tbl>
    <w:p>
      <w:pPr>
        <w:spacing w:after="200"/>
      </w:pPr>
    </w:p>
    <w:p>
      <w:pPr>
        <w:pStyle w:val="Heading2"/>
        <w:spacing w:before="200" w:after="120"/>
      </w:pPr>
      <w:r>
        <w:rPr>
          <w:b/>
          <w:bCs/>
          <w:sz w:val="28"/>
          <w:szCs w:val="28"/>
          <w:rFonts w:ascii="Arial" w:cs="Arial" w:eastAsia="Arial" w:hAnsi="Arial"/>
        </w:rPr>
        <w:t xml:space="preserve">Section B.3. Financial Exposure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Risk Level</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Number of Matters</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Estimated Exposure Range</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Current Reserves</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Prior Quarter Reserves</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Change (QoQ)</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Critical</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 - $[Y]</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$[amount]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$[amount]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High</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 - $[Y]</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$[amount]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$[amount]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Significant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 - $[Y]</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$[amount]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$[amount]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Moderate</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 - $[Y]</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$[amount]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$[amount]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Low</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 - $[Y]</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$[amount]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$[amount]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TOTAL</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 - $[Y]</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$[amount]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$[amount]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w:t>
            </w:r>
          </w:p>
        </w:tc>
      </w:tr>
    </w:tbl>
    <w:p>
      <w:pPr>
        <w:spacing w:after="200"/>
      </w:pPr>
    </w:p>
    <w:p>
      <w:pPr>
        <w:pStyle w:val="Heading2"/>
        <w:spacing w:before="200" w:after="120"/>
      </w:pPr>
      <w:r>
        <w:rPr>
          <w:b/>
          <w:bCs/>
          <w:sz w:val="28"/>
          <w:szCs w:val="28"/>
          <w:rFonts w:ascii="Arial" w:cs="Arial" w:eastAsia="Arial" w:hAnsi="Arial"/>
        </w:rPr>
        <w:t xml:space="preserve">Section B.4. Insurance Recovery Tracking</w:t>
      </w:r>
    </w:p>
    <w:p>
      <w:pPr>
        <w:spacing w:before="80" w:after="120"/>
      </w:pPr>
      <w:r>
        <w:rPr>
          <w:sz w:val="22"/>
          <w:szCs w:val="22"/>
          <w:rFonts w:ascii="Arial" w:cs="Arial" w:eastAsia="Arial" w:hAnsi="Arial"/>
        </w:rPr>
        <w:t xml:space="preserve">Per-matter tracking for all matters with applicable insurance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Matter</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Gross Exposure</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Applicable Policy</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Coverage Limit</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Reservation of Rights Status</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Net Exposure After Coverage</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[Matter Name]</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[Policy Type/Number]</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[Yes/No/Pending]</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r>
    </w:tbl>
    <w:p>
      <w:pPr>
        <w:spacing w:after="200"/>
      </w:pPr>
    </w:p>
    <w:p>
      <w:pPr>
        <w:pStyle w:val="Heading2"/>
        <w:spacing w:before="200" w:after="120"/>
      </w:pPr>
      <w:r>
        <w:rPr>
          <w:b/>
          <w:bCs/>
          <w:sz w:val="28"/>
          <w:szCs w:val="28"/>
          <w:rFonts w:ascii="Arial" w:cs="Arial" w:eastAsia="Arial" w:hAnsi="Arial"/>
        </w:rPr>
        <w:t xml:space="preserve">Section B.5. Material Matters Detail</w:t>
      </w:r>
    </w:p>
    <w:p>
      <w:pPr>
        <w:spacing w:before="80" w:after="120"/>
      </w:pPr>
      <w:r>
        <w:rPr>
          <w:sz w:val="22"/>
          <w:szCs w:val="22"/>
          <w:rFonts w:ascii="Arial" w:cs="Arial" w:eastAsia="Arial" w:hAnsi="Arial"/>
        </w:rPr>
        <w:t xml:space="preserve">Per-matter detail for all matters with estimated exposure exceeding $250,000: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Matter</w:t>
            </w:r>
          </w:p>
        </w:tc>
        <w:tc>
          <w:tcPr>
            <w:tcW w:type="dxa" w:w="117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Type</w:t>
            </w:r>
          </w:p>
        </w:tc>
        <w:tc>
          <w:tcPr>
            <w:tcW w:type="dxa" w:w="117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Risk Rating</w:t>
            </w:r>
          </w:p>
        </w:tc>
        <w:tc>
          <w:tcPr>
            <w:tcW w:type="dxa" w:w="117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Estimated Exposure</w:t>
            </w:r>
          </w:p>
        </w:tc>
        <w:tc>
          <w:tcPr>
            <w:tcW w:type="dxa" w:w="117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Current Reserve</w:t>
            </w:r>
          </w:p>
        </w:tc>
        <w:tc>
          <w:tcPr>
            <w:tcW w:type="dxa" w:w="117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Outside Counsel</w:t>
            </w:r>
          </w:p>
        </w:tc>
        <w:tc>
          <w:tcPr>
            <w:tcW w:type="dxa" w:w="117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Status / Last Update</w:t>
            </w:r>
          </w:p>
        </w:tc>
        <w:tc>
          <w:tcPr>
            <w:tcW w:type="dxa" w:w="117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Next Key Deadline</w:t>
            </w:r>
          </w:p>
        </w:tc>
      </w:tr>
      <w:tr>
        <w:tc>
          <w:tcPr>
            <w:tcW w:type="dxa" w:w="117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[Matter Name]</w:t>
            </w:r>
          </w:p>
        </w:tc>
        <w:tc>
          <w:tcPr>
            <w:tcW w:type="dxa" w:w="117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[Category]</w:t>
            </w:r>
          </w:p>
        </w:tc>
        <w:tc>
          <w:tcPr>
            <w:tcW w:type="dxa" w:w="117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[Rating]</w:t>
            </w:r>
          </w:p>
        </w:tc>
        <w:tc>
          <w:tcPr>
            <w:tcW w:type="dxa" w:w="117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17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17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[Firm Name]</w:t>
            </w:r>
          </w:p>
        </w:tc>
        <w:tc>
          <w:tcPr>
            <w:tcW w:type="dxa" w:w="117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[Status]</w:t>
            </w:r>
          </w:p>
        </w:tc>
        <w:tc>
          <w:tcPr>
            <w:tcW w:type="dxa" w:w="117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[Date]</w:t>
            </w:r>
          </w:p>
        </w:tc>
      </w:tr>
    </w:tbl>
    <w:p>
      <w:pPr>
        <w:spacing w:after="200"/>
      </w:pPr>
    </w:p>
    <w:p>
      <w:pPr>
        <w:pStyle w:val="Heading2"/>
        <w:spacing w:before="200" w:after="120"/>
      </w:pPr>
      <w:r>
        <w:rPr>
          <w:b/>
          <w:bCs/>
          <w:sz w:val="28"/>
          <w:szCs w:val="28"/>
          <w:rFonts w:ascii="Arial" w:cs="Arial" w:eastAsia="Arial" w:hAnsi="Arial"/>
        </w:rPr>
        <w:t xml:space="preserve">Section B.6. Legal Spend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Category</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YTD Actual</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YTD Budget</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Variance</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Prior Year YTD</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Full Year Forecast</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Litigation</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Transactional</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Regulatory/Compliance</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TOTAL</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$[X]</w:t>
            </w:r>
          </w:p>
        </w:tc>
      </w:tr>
    </w:tbl>
    <w:p>
      <w:pPr>
        <w:spacing w:after="200"/>
      </w:pPr>
    </w:p>
    <w:p>
      <w:pPr>
        <w:spacing w:before="80" w:after="120"/>
      </w:pPr>
      <w:r>
        <w:rPr>
          <w:b/>
          <w:bCs/>
          <w:sz w:val="22"/>
          <w:szCs w:val="22"/>
          <w:rFonts w:ascii="Arial" w:cs="Arial" w:eastAsia="Arial" w:hAnsi="Arial"/>
        </w:rPr>
        <w:t xml:space="preserve">Top 5 Matters by Spend.</w:t>
      </w:r>
      <w:r>
        <w:rPr>
          <w:sz w:val="22"/>
          <w:szCs w:val="22"/>
          <w:rFonts w:ascii="Arial" w:cs="Arial" w:eastAsia="Arial" w:hAnsi="Arial"/>
        </w:rPr>
        <w:t xml:space="preserve"> Listing of the five matters with the highest year-to-date legal spend.</w:t>
      </w:r>
    </w:p>
    <w:p>
      <w:pPr>
        <w:spacing w:before="80" w:after="120"/>
      </w:pPr>
      <w:r>
        <w:rPr>
          <w:b/>
          <w:bCs/>
          <w:sz w:val="22"/>
          <w:szCs w:val="22"/>
          <w:rFonts w:ascii="Arial" w:cs="Arial" w:eastAsia="Arial" w:hAnsi="Arial"/>
        </w:rPr>
        <w:t xml:space="preserve">Top 5 Firms by Spend.</w:t>
      </w:r>
      <w:r>
        <w:rPr>
          <w:sz w:val="22"/>
          <w:szCs w:val="22"/>
          <w:rFonts w:ascii="Arial" w:cs="Arial" w:eastAsia="Arial" w:hAnsi="Arial"/>
        </w:rPr>
        <w:t xml:space="preserve"> Listing of the five outside counsel firms with the highest year-to-date billings, including diversity score.</w:t>
      </w:r>
    </w:p>
    <w:p>
      <w:pPr>
        <w:spacing w:before="80" w:after="120"/>
      </w:pPr>
      <w:r>
        <w:rPr>
          <w:sz w:val="22"/>
          <w:szCs w:val="22"/>
          <w:rFonts w:ascii="Arial" w:cs="Arial" w:eastAsia="Arial" w:hAnsi="Arial"/>
        </w:rPr>
        <w:t xml:space="preserve">Annual aggregate budget variance exceeding 10% triggers a notification requirement to the CFO.</w:t>
      </w:r>
    </w:p>
    <w:p>
      <w:pPr>
        <w:pStyle w:val="Heading2"/>
        <w:spacing w:before="200" w:after="120"/>
      </w:pPr>
      <w:r>
        <w:rPr>
          <w:b/>
          <w:bCs/>
          <w:sz w:val="28"/>
          <w:szCs w:val="28"/>
          <w:rFonts w:ascii="Arial" w:cs="Arial" w:eastAsia="Arial" w:hAnsi="Arial"/>
        </w:rPr>
        <w:t xml:space="preserve">Section B.7. Key Developments</w:t>
      </w:r>
    </w:p>
    <w:p>
      <w:pPr>
        <w:spacing w:before="80" w:after="120"/>
      </w:pPr>
      <w:r>
        <w:rPr>
          <w:sz w:val="22"/>
          <w:szCs w:val="22"/>
          <w:rFonts w:ascii="Arial" w:cs="Arial" w:eastAsia="Arial" w:hAnsi="Arial"/>
        </w:rPr>
        <w:t xml:space="preserve">Narrative summary of material developments during the reporting period, including quarter-over-quarter comparison and regulatory/legislative developments affecting the Company. This section includes:</w:t>
      </w:r>
    </w:p>
    <w:p>
      <w:pPr>
        <w:pStyle w:val="ListParagraph"/>
        <w:numPr>
          <w:ilvl w:val="0"/>
          <w:numId w:val="4"/>
        </w:numPr>
        <w:spacing w:before="40" w:after="40"/>
      </w:pPr>
      <w:r>
        <w:rPr>
          <w:sz w:val="22"/>
          <w:szCs w:val="22"/>
          <w:rFonts w:ascii="Arial" w:cs="Arial" w:eastAsia="Arial" w:hAnsi="Arial"/>
        </w:rPr>
        <w:t xml:space="preserve">New matters opened</w:t>
      </w:r>
    </w:p>
    <w:p>
      <w:pPr>
        <w:pStyle w:val="ListParagraph"/>
        <w:numPr>
          <w:ilvl w:val="0"/>
          <w:numId w:val="4"/>
        </w:numPr>
        <w:spacing w:before="40" w:after="40"/>
      </w:pPr>
      <w:r>
        <w:rPr>
          <w:sz w:val="22"/>
          <w:szCs w:val="22"/>
          <w:rFonts w:ascii="Arial" w:cs="Arial" w:eastAsia="Arial" w:hAnsi="Arial"/>
        </w:rPr>
        <w:t xml:space="preserve">Matters resolved or settled</w:t>
      </w:r>
    </w:p>
    <w:p>
      <w:pPr>
        <w:pStyle w:val="ListParagraph"/>
        <w:numPr>
          <w:ilvl w:val="0"/>
          <w:numId w:val="4"/>
        </w:numPr>
        <w:spacing w:before="40" w:after="40"/>
      </w:pPr>
      <w:r>
        <w:rPr>
          <w:sz w:val="22"/>
          <w:szCs w:val="22"/>
          <w:rFonts w:ascii="Arial" w:cs="Arial" w:eastAsia="Arial" w:hAnsi="Arial"/>
        </w:rPr>
        <w:t xml:space="preserve">Significant changes in risk rating or exposure</w:t>
      </w:r>
    </w:p>
    <w:p>
      <w:pPr>
        <w:pStyle w:val="ListParagraph"/>
        <w:numPr>
          <w:ilvl w:val="0"/>
          <w:numId w:val="4"/>
        </w:numPr>
        <w:spacing w:before="40" w:after="40"/>
      </w:pPr>
      <w:r>
        <w:rPr>
          <w:sz w:val="22"/>
          <w:szCs w:val="22"/>
          <w:rFonts w:ascii="Arial" w:cs="Arial" w:eastAsia="Arial" w:hAnsi="Arial"/>
        </w:rPr>
        <w:t xml:space="preserve">Upcoming deadlines or decisions requiring executive action</w:t>
      </w:r>
    </w:p>
    <w:p>
      <w:pPr>
        <w:pStyle w:val="ListParagraph"/>
        <w:numPr>
          <w:ilvl w:val="0"/>
          <w:numId w:val="4"/>
        </w:numPr>
        <w:spacing w:before="40" w:after="40"/>
      </w:pPr>
      <w:r>
        <w:rPr>
          <w:sz w:val="22"/>
          <w:szCs w:val="22"/>
          <w:rFonts w:ascii="Arial" w:cs="Arial" w:eastAsia="Arial" w:hAnsi="Arial"/>
        </w:rPr>
        <w:t xml:space="preserve">Trends or recurring issues warranting attention</w:t>
      </w:r>
    </w:p>
    <w:p>
      <w:pPr>
        <w:pStyle w:val="Heading2"/>
        <w:spacing w:before="200" w:after="120"/>
      </w:pPr>
      <w:r>
        <w:rPr>
          <w:b/>
          <w:bCs/>
          <w:sz w:val="28"/>
          <w:szCs w:val="28"/>
          <w:rFonts w:ascii="Arial" w:cs="Arial" w:eastAsia="Arial" w:hAnsi="Arial"/>
        </w:rPr>
        <w:t xml:space="preserve">Section B.8. Action Items</w:t>
      </w:r>
    </w:p>
    <w:p>
      <w:pPr>
        <w:spacing w:before="80" w:after="120"/>
      </w:pPr>
      <w:r>
        <w:rPr>
          <w:sz w:val="22"/>
          <w:szCs w:val="22"/>
          <w:rFonts w:ascii="Arial" w:cs="Arial" w:eastAsia="Arial" w:hAnsi="Arial"/>
        </w:rPr>
        <w:t xml:space="preserve">Decisions or approvals requested from executive leadership or the Board, with recommended action, deadline, applicable DOA Tier, and financial impact.</w:t>
      </w:r>
    </w:p>
    <w:p>
      <w:pPr>
        <w:pStyle w:val="Heading2"/>
        <w:spacing w:before="200" w:after="120"/>
      </w:pPr>
      <w:r>
        <w:rPr>
          <w:b/>
          <w:bCs/>
          <w:sz w:val="28"/>
          <w:szCs w:val="28"/>
          <w:rFonts w:ascii="Arial" w:cs="Arial" w:eastAsia="Arial" w:hAnsi="Arial"/>
        </w:rPr>
        <w:t xml:space="preserve">Section B.9. Outside Counsel Reporting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Firm</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Monthly Status Report</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Budget-to-Actual Report</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Invoice Timeliness</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Compliance Status</w:t>
            </w:r>
          </w:p>
        </w:tc>
        <w:tc>
          <w:tcPr>
            <w:tcW w:type="dxa" w:w="156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Action</w:t>
            </w:r>
          </w:p>
        </w:tc>
      </w:tr>
      <w:tr>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[Firm Name]</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[On Time / Late / Missing]</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[On Time / Late / Missing]</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[On Time / Late]</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[Compliant / Non-Compliant]</w:t>
            </w:r>
          </w:p>
        </w:tc>
        <w:tc>
          <w:tcPr>
            <w:tcW w:type="dxa" w:w="156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[None / Warning / Escalation]</w:t>
            </w:r>
          </w:p>
        </w:tc>
      </w:tr>
    </w:tbl>
    <w:p>
      <w:pPr>
        <w:spacing w:after="200"/>
      </w:pPr>
    </w:p>
    <w:p>
      <w:r>
        <w:br w:type="page"/>
      </w:r>
    </w:p>
    <w:p>
      <w:pPr>
        <w:pStyle w:val="Heading1"/>
        <w:spacing w:before="240" w:after="200"/>
      </w:pPr>
      <w:r>
        <w:rPr>
          <w:b/>
          <w:bCs/>
          <w:sz w:val="32"/>
          <w:szCs w:val="32"/>
          <w:rFonts w:ascii="Arial" w:cs="Arial" w:eastAsia="Arial" w:hAnsi="Arial"/>
        </w:rPr>
        <w:t xml:space="preserve">ATTACHMENT C: OUTSIDE COUNSEL BILLING GUIDELINES</w:t>
      </w:r>
    </w:p>
    <w:p>
      <w:pPr>
        <w:spacing w:before="80" w:after="120"/>
      </w:pPr>
      <w:r>
        <w:rPr>
          <w:sz w:val="22"/>
          <w:szCs w:val="22"/>
          <w:rFonts w:ascii="Arial" w:cs="Arial" w:eastAsia="Arial" w:hAnsi="Arial"/>
        </w:rPr>
        <w:t xml:space="preserve">These guidelines apply to all outside counsel retained by PIR Industrial LLC (the "Company"). Outside counsel are expected to review and adhere to these guidelines as a condition of engagement. The Legal Department reserves the right to modify these guidelines at any time.</w:t>
      </w:r>
    </w:p>
    <w:p>
      <w:pPr>
        <w:pStyle w:val="Heading2"/>
        <w:spacing w:before="200" w:after="120"/>
      </w:pPr>
      <w:r>
        <w:rPr>
          <w:b/>
          <w:bCs/>
          <w:sz w:val="28"/>
          <w:szCs w:val="28"/>
          <w:rFonts w:ascii="Arial" w:cs="Arial" w:eastAsia="Arial" w:hAnsi="Arial"/>
        </w:rPr>
        <w:t xml:space="preserve">Section C.1. Rate 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Timekeeper Level</w:t>
            </w:r>
          </w:p>
        </w:tc>
        <w:tc>
          <w:tcPr>
            <w:tcW w:type="dxa" w:w="4680"/>
            <w:tcBorders>
              <w:top w:val="single" w:color="000000" w:sz="1"/>
              <w:left w:val="single" w:color="000000" w:sz="1"/>
              <w:bottom w:val="single" w:color="000000" w:sz="1"/>
              <w:right w:val="single" w:color="000000" w:sz="1"/>
            </w:tcBorders>
            <w:shd w:fill="D9E2F3" w:color="auto" w:val="clear"/>
          </w:tcPr>
          <w:p>
            <w:pPr>
              <w:spacing w:before="40" w:after="40"/>
            </w:pPr>
            <w:r>
              <w:rPr>
                <w:b/>
                <w:bCs/>
                <w:sz w:val="18"/>
                <w:szCs w:val="18"/>
                <w:rFonts w:ascii="Arial" w:cs="Arial" w:eastAsia="Arial" w:hAnsi="Arial"/>
              </w:rPr>
              <w:t xml:space="preserve">Maximum Hourly Rate</w:t>
            </w:r>
          </w:p>
        </w:tc>
      </w:tr>
      <w:tr>
        <w:tc>
          <w:tcPr>
            <w:tcW w:type="dxa" w:w="468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Partner</w:t>
            </w:r>
          </w:p>
        </w:tc>
        <w:tc>
          <w:tcPr>
            <w:tcW w:type="dxa" w:w="468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$650.00</w:t>
            </w:r>
          </w:p>
        </w:tc>
      </w:tr>
      <w:tr>
        <w:tc>
          <w:tcPr>
            <w:tcW w:type="dxa" w:w="468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Senior Associate (4+ years)</w:t>
            </w:r>
          </w:p>
        </w:tc>
        <w:tc>
          <w:tcPr>
            <w:tcW w:type="dxa" w:w="468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$475.00</w:t>
            </w:r>
          </w:p>
        </w:tc>
      </w:tr>
      <w:tr>
        <w:tc>
          <w:tcPr>
            <w:tcW w:type="dxa" w:w="468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Junior Associate (&lt; 4 years)</w:t>
            </w:r>
          </w:p>
        </w:tc>
        <w:tc>
          <w:tcPr>
            <w:tcW w:type="dxa" w:w="468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$350.00</w:t>
            </w:r>
          </w:p>
        </w:tc>
      </w:tr>
      <w:tr>
        <w:tc>
          <w:tcPr>
            <w:tcW w:type="dxa" w:w="468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Paralegal / Legal Assistant</w:t>
            </w:r>
          </w:p>
        </w:tc>
        <w:tc>
          <w:tcPr>
            <w:tcW w:type="dxa" w:w="4680"/>
            <w:tcBorders>
              <w:top w:val="single" w:color="000000" w:sz="1"/>
              <w:left w:val="single" w:color="000000" w:sz="1"/>
              <w:bottom w:val="single" w:color="000000" w:sz="1"/>
              <w:right w:val="single" w:color="000000" w:sz="1"/>
            </w:tcBorders>
          </w:tcPr>
          <w:p>
            <w:pPr>
              <w:spacing w:before="40" w:after="40"/>
            </w:pPr>
            <w:r>
              <w:rPr>
                <w:sz w:val="18"/>
                <w:szCs w:val="18"/>
                <w:rFonts w:ascii="Arial" w:cs="Arial" w:eastAsia="Arial" w:hAnsi="Arial"/>
              </w:rPr>
              <w:t xml:space="preserve">$225.00</w:t>
            </w:r>
          </w:p>
        </w:tc>
      </w:tr>
    </w:tbl>
    <w:p>
      <w:pPr>
        <w:spacing w:after="200"/>
      </w:pPr>
    </w:p>
    <w:p>
      <w:pPr>
        <w:spacing w:before="80" w:after="120"/>
      </w:pPr>
      <w:r>
        <w:rPr>
          <w:sz w:val="22"/>
          <w:szCs w:val="22"/>
          <w:rFonts w:ascii="Arial" w:cs="Arial" w:eastAsia="Arial" w:hAnsi="Arial"/>
        </w:rPr>
        <w:t xml:space="preserve">Annual rate increases are capped at 3% with 60-day advance written notice. Increases exceeding 3% require GC pre-approval. Blended or alternative fee arrangements are encouraged for appropriate matters and must be approved by the General Counsel.</w:t>
      </w:r>
    </w:p>
    <w:p>
      <w:pPr>
        <w:pStyle w:val="Heading2"/>
        <w:spacing w:before="200" w:after="120"/>
      </w:pPr>
      <w:r>
        <w:rPr>
          <w:b/>
          <w:bCs/>
          <w:sz w:val="28"/>
          <w:szCs w:val="28"/>
          <w:rFonts w:ascii="Arial" w:cs="Arial" w:eastAsia="Arial" w:hAnsi="Arial"/>
        </w:rPr>
        <w:t xml:space="preserve">Section C.2. Staffing Requirements</w:t>
      </w:r>
    </w:p>
    <w:p>
      <w:pPr>
        <w:pStyle w:val="ListParagraph"/>
        <w:numPr>
          <w:ilvl w:val="0"/>
          <w:numId w:val="4"/>
        </w:numPr>
        <w:spacing w:before="40" w:after="40"/>
      </w:pPr>
      <w:r>
        <w:rPr>
          <w:sz w:val="22"/>
          <w:szCs w:val="22"/>
          <w:rFonts w:ascii="Arial" w:cs="Arial" w:eastAsia="Arial" w:hAnsi="Arial"/>
        </w:rPr>
        <w:t xml:space="preserve">Matters must be staffed efficiently. The Company expects lean staffing appropriate to the complexity of the matter.</w:t>
      </w:r>
    </w:p>
    <w:p>
      <w:pPr>
        <w:pStyle w:val="ListParagraph"/>
        <w:numPr>
          <w:ilvl w:val="0"/>
          <w:numId w:val="4"/>
        </w:numPr>
        <w:spacing w:before="40" w:after="40"/>
      </w:pPr>
      <w:r>
        <w:rPr>
          <w:sz w:val="22"/>
          <w:szCs w:val="22"/>
          <w:rFonts w:ascii="Arial" w:cs="Arial" w:eastAsia="Arial" w:hAnsi="Arial"/>
        </w:rPr>
        <w:t xml:space="preserve">The responsible partner must be identified in the engagement letter and may not be changed without prior approval.</w:t>
      </w:r>
    </w:p>
    <w:p>
      <w:pPr>
        <w:pStyle w:val="ListParagraph"/>
        <w:numPr>
          <w:ilvl w:val="0"/>
          <w:numId w:val="4"/>
        </w:numPr>
        <w:spacing w:before="40" w:after="40"/>
      </w:pPr>
      <w:r>
        <w:rPr>
          <w:sz w:val="22"/>
          <w:szCs w:val="22"/>
          <w:rFonts w:ascii="Arial" w:cs="Arial" w:eastAsia="Arial" w:hAnsi="Arial"/>
        </w:rPr>
        <w:t xml:space="preserve">Work should be delegated to the lowest-cost attorney capable of performing it competently.</w:t>
      </w:r>
    </w:p>
    <w:p>
      <w:pPr>
        <w:pStyle w:val="ListParagraph"/>
        <w:numPr>
          <w:ilvl w:val="0"/>
          <w:numId w:val="4"/>
        </w:numPr>
        <w:spacing w:before="40" w:after="40"/>
      </w:pPr>
      <w:r>
        <w:rPr>
          <w:sz w:val="22"/>
          <w:szCs w:val="22"/>
          <w:rFonts w:ascii="Arial" w:cs="Arial" w:eastAsia="Arial" w:hAnsi="Arial"/>
        </w:rPr>
        <w:t xml:space="preserve">The Company will not pay for more than two attorneys attending the same deposition, hearing, or meeting without prior approval.</w:t>
      </w:r>
    </w:p>
    <w:p>
      <w:pPr>
        <w:pStyle w:val="ListParagraph"/>
        <w:numPr>
          <w:ilvl w:val="0"/>
          <w:numId w:val="4"/>
        </w:numPr>
        <w:spacing w:before="40" w:after="40"/>
      </w:pPr>
      <w:r>
        <w:rPr>
          <w:sz w:val="22"/>
          <w:szCs w:val="22"/>
          <w:rFonts w:ascii="Arial" w:cs="Arial" w:eastAsia="Arial" w:hAnsi="Arial"/>
        </w:rPr>
        <w:t xml:space="preserve">Summer associates and first-year associates may not bill time to Company matters without prior approval.</w:t>
      </w:r>
    </w:p>
    <w:p>
      <w:pPr>
        <w:pStyle w:val="ListParagraph"/>
        <w:numPr>
          <w:ilvl w:val="0"/>
          <w:numId w:val="4"/>
        </w:numPr>
        <w:spacing w:before="40" w:after="40"/>
      </w:pPr>
      <w:r>
        <w:rPr>
          <w:sz w:val="22"/>
          <w:szCs w:val="22"/>
          <w:rFonts w:ascii="Arial" w:cs="Arial" w:eastAsia="Arial" w:hAnsi="Arial"/>
        </w:rPr>
        <w:t xml:space="preserve">New staffing additions to a matter require GC pre-approval.</w:t>
      </w:r>
    </w:p>
    <w:p>
      <w:pPr>
        <w:pStyle w:val="ListParagraph"/>
        <w:numPr>
          <w:ilvl w:val="0"/>
          <w:numId w:val="4"/>
        </w:numPr>
        <w:spacing w:before="40" w:after="40"/>
      </w:pPr>
      <w:r>
        <w:rPr>
          <w:sz w:val="22"/>
          <w:szCs w:val="22"/>
          <w:rFonts w:ascii="Arial" w:cs="Arial" w:eastAsia="Arial" w:hAnsi="Arial"/>
        </w:rPr>
        <w:t xml:space="preserve">Transition billing for attorney changes is non-billable.</w:t>
      </w:r>
    </w:p>
    <w:p>
      <w:pPr>
        <w:pStyle w:val="Heading2"/>
        <w:spacing w:before="200" w:after="120"/>
      </w:pPr>
      <w:r>
        <w:rPr>
          <w:b/>
          <w:bCs/>
          <w:sz w:val="28"/>
          <w:szCs w:val="28"/>
          <w:rFonts w:ascii="Arial" w:cs="Arial" w:eastAsia="Arial" w:hAnsi="Arial"/>
        </w:rPr>
        <w:t xml:space="preserve">Section C.3. Billing Format and Requirements</w:t>
      </w:r>
    </w:p>
    <w:p>
      <w:pPr>
        <w:pStyle w:val="ListParagraph"/>
        <w:numPr>
          <w:ilvl w:val="0"/>
          <w:numId w:val="4"/>
        </w:numPr>
        <w:spacing w:before="40" w:after="40"/>
      </w:pPr>
      <w:r>
        <w:rPr>
          <w:sz w:val="22"/>
          <w:szCs w:val="22"/>
          <w:rFonts w:ascii="Arial" w:cs="Arial" w:eastAsia="Arial" w:hAnsi="Arial"/>
        </w:rPr>
        <w:t xml:space="preserve">LEDES 1998B format is required. All invoices must be submitted through the Company's e-billing platform.</w:t>
      </w:r>
    </w:p>
    <w:p>
      <w:pPr>
        <w:pStyle w:val="ListParagraph"/>
        <w:numPr>
          <w:ilvl w:val="0"/>
          <w:numId w:val="4"/>
        </w:numPr>
        <w:spacing w:before="40" w:after="40"/>
      </w:pPr>
      <w:r>
        <w:rPr>
          <w:sz w:val="22"/>
          <w:szCs w:val="22"/>
          <w:rFonts w:ascii="Arial" w:cs="Arial" w:eastAsia="Arial" w:hAnsi="Arial"/>
        </w:rPr>
        <w:t xml:space="preserve">Invoices must be submitted monthly, within 45 days of the end of the billing period.</w:t>
      </w:r>
    </w:p>
    <w:p>
      <w:pPr>
        <w:pStyle w:val="ListParagraph"/>
        <w:numPr>
          <w:ilvl w:val="0"/>
          <w:numId w:val="4"/>
        </w:numPr>
        <w:spacing w:before="40" w:after="40"/>
      </w:pPr>
      <w:r>
        <w:rPr>
          <w:sz w:val="22"/>
          <w:szCs w:val="22"/>
          <w:rFonts w:ascii="Arial" w:cs="Arial" w:eastAsia="Arial" w:hAnsi="Arial"/>
        </w:rPr>
        <w:t xml:space="preserve">Each invoice must include: matter name and number, description of services by timekeeper, hours worked, hourly rate, and total fees.</w:t>
      </w:r>
    </w:p>
    <w:p>
      <w:pPr>
        <w:pStyle w:val="ListParagraph"/>
        <w:numPr>
          <w:ilvl w:val="0"/>
          <w:numId w:val="4"/>
        </w:numPr>
        <w:spacing w:before="40" w:after="40"/>
      </w:pPr>
      <w:r>
        <w:rPr>
          <w:sz w:val="22"/>
          <w:szCs w:val="22"/>
          <w:rFonts w:ascii="Arial" w:cs="Arial" w:eastAsia="Arial" w:hAnsi="Arial"/>
        </w:rPr>
        <w:t xml:space="preserve">Time entries must be recorded in increments of no greater than one-tenth (0.1) of an hour.</w:t>
      </w:r>
    </w:p>
    <w:p>
      <w:pPr>
        <w:pStyle w:val="ListParagraph"/>
        <w:numPr>
          <w:ilvl w:val="0"/>
          <w:numId w:val="4"/>
        </w:numPr>
        <w:spacing w:before="40" w:after="40"/>
      </w:pPr>
      <w:r>
        <w:rPr>
          <w:sz w:val="22"/>
          <w:szCs w:val="22"/>
          <w:rFonts w:ascii="Arial" w:cs="Arial" w:eastAsia="Arial" w:hAnsi="Arial"/>
        </w:rPr>
        <w:t xml:space="preserve">Block billing (grouping multiple tasks into a single time entry) is prohibited.</w:t>
      </w:r>
    </w:p>
    <w:p>
      <w:pPr>
        <w:pStyle w:val="ListParagraph"/>
        <w:numPr>
          <w:ilvl w:val="0"/>
          <w:numId w:val="4"/>
        </w:numPr>
        <w:spacing w:before="40" w:after="40"/>
      </w:pPr>
      <w:r>
        <w:rPr>
          <w:sz w:val="22"/>
          <w:szCs w:val="22"/>
          <w:rFonts w:ascii="Arial" w:cs="Arial" w:eastAsia="Arial" w:hAnsi="Arial"/>
        </w:rPr>
        <w:t xml:space="preserve">Vague descriptions (e.g., "research," "review documents," "attend to matter") are not acceptable. Each entry must describe the specific work performed.</w:t>
      </w:r>
    </w:p>
    <w:p>
      <w:pPr>
        <w:pStyle w:val="ListParagraph"/>
        <w:numPr>
          <w:ilvl w:val="0"/>
          <w:numId w:val="4"/>
        </w:numPr>
        <w:spacing w:before="40" w:after="40"/>
      </w:pPr>
      <w:r>
        <w:rPr>
          <w:sz w:val="22"/>
          <w:szCs w:val="22"/>
          <w:rFonts w:ascii="Arial" w:cs="Arial" w:eastAsia="Arial" w:hAnsi="Arial"/>
        </w:rPr>
        <w:t xml:space="preserve">No single time entry exceeding 0.5 hours may be billed without a detailed description of the work performed.</w:t>
      </w:r>
    </w:p>
    <w:p>
      <w:pPr>
        <w:pStyle w:val="Heading2"/>
        <w:spacing w:before="200" w:after="120"/>
      </w:pPr>
      <w:r>
        <w:rPr>
          <w:b/>
          <w:bCs/>
          <w:sz w:val="28"/>
          <w:szCs w:val="28"/>
          <w:rFonts w:ascii="Arial" w:cs="Arial" w:eastAsia="Arial" w:hAnsi="Arial"/>
        </w:rPr>
        <w:t xml:space="preserve">Section C.4. Daily Hour Caps</w:t>
      </w:r>
    </w:p>
    <w:p>
      <w:pPr>
        <w:spacing w:before="80" w:after="120"/>
      </w:pPr>
      <w:r>
        <w:rPr>
          <w:sz w:val="22"/>
          <w:szCs w:val="22"/>
          <w:rFonts w:ascii="Arial" w:cs="Arial" w:eastAsia="Arial" w:hAnsi="Arial"/>
        </w:rPr>
        <w:t xml:space="preserve">The maximum billable hours per day per timekeeper on Company matters is ten (10) hours. The Company reserves the right to request a certification of total daily hours billed across all clients.</w:t>
      </w:r>
    </w:p>
    <w:p>
      <w:pPr>
        <w:pStyle w:val="Heading2"/>
        <w:spacing w:before="200" w:after="120"/>
      </w:pPr>
      <w:r>
        <w:rPr>
          <w:b/>
          <w:bCs/>
          <w:sz w:val="28"/>
          <w:szCs w:val="28"/>
          <w:rFonts w:ascii="Arial" w:cs="Arial" w:eastAsia="Arial" w:hAnsi="Arial"/>
        </w:rPr>
        <w:t xml:space="preserve">Section C.5. Intra-Firm Conference Limits</w:t>
      </w:r>
    </w:p>
    <w:p>
      <w:pPr>
        <w:spacing w:before="80" w:after="120"/>
      </w:pPr>
      <w:r>
        <w:rPr>
          <w:sz w:val="22"/>
          <w:szCs w:val="22"/>
          <w:rFonts w:ascii="Arial" w:cs="Arial" w:eastAsia="Arial" w:hAnsi="Arial"/>
        </w:rPr>
        <w:t xml:space="preserve">A maximum of two (2) attorneys may bill for the same internal conference. Each timekeeper's entry for an intra-firm conference is capped at 0.5 hours per conference. Routine supervisory review is not separately billable.</w:t>
      </w:r>
    </w:p>
    <w:p>
      <w:pPr>
        <w:pStyle w:val="Heading2"/>
        <w:spacing w:before="200" w:after="120"/>
      </w:pPr>
      <w:r>
        <w:rPr>
          <w:b/>
          <w:bCs/>
          <w:sz w:val="28"/>
          <w:szCs w:val="28"/>
          <w:rFonts w:ascii="Arial" w:cs="Arial" w:eastAsia="Arial" w:hAnsi="Arial"/>
        </w:rPr>
        <w:t xml:space="preserve">Section C.6. Prohibited Charges</w:t>
      </w:r>
    </w:p>
    <w:p>
      <w:pPr>
        <w:spacing w:before="80" w:after="120"/>
      </w:pPr>
      <w:r>
        <w:rPr>
          <w:sz w:val="22"/>
          <w:szCs w:val="22"/>
          <w:rFonts w:ascii="Arial" w:cs="Arial" w:eastAsia="Arial" w:hAnsi="Arial"/>
        </w:rPr>
        <w:t xml:space="preserve">The following charges will not be reimbursed:</w:t>
      </w:r>
    </w:p>
    <w:p>
      <w:pPr>
        <w:pStyle w:val="ListParagraph"/>
        <w:numPr>
          <w:ilvl w:val="0"/>
          <w:numId w:val="4"/>
        </w:numPr>
        <w:spacing w:before="40" w:after="40"/>
      </w:pPr>
      <w:r>
        <w:rPr>
          <w:sz w:val="22"/>
          <w:szCs w:val="22"/>
          <w:rFonts w:ascii="Arial" w:cs="Arial" w:eastAsia="Arial" w:hAnsi="Arial"/>
        </w:rPr>
        <w:t xml:space="preserve">Internal administrative and overhead costs (word processing, secretarial support, filing, copying for internal use)</w:t>
      </w:r>
    </w:p>
    <w:p>
      <w:pPr>
        <w:pStyle w:val="ListParagraph"/>
        <w:numPr>
          <w:ilvl w:val="0"/>
          <w:numId w:val="4"/>
        </w:numPr>
        <w:spacing w:before="40" w:after="40"/>
      </w:pPr>
      <w:r>
        <w:rPr>
          <w:sz w:val="22"/>
          <w:szCs w:val="22"/>
          <w:rFonts w:ascii="Arial" w:cs="Arial" w:eastAsia="Arial" w:hAnsi="Arial"/>
        </w:rPr>
        <w:t xml:space="preserve">Database or legal research service access fees (e.g., Westlaw, LexisNexis subscriptions), except for targeted research pre-approved in writing by the GC</w:t>
      </w:r>
    </w:p>
    <w:p>
      <w:pPr>
        <w:pStyle w:val="ListParagraph"/>
        <w:numPr>
          <w:ilvl w:val="0"/>
          <w:numId w:val="4"/>
        </w:numPr>
        <w:spacing w:before="40" w:after="40"/>
      </w:pPr>
      <w:r>
        <w:rPr>
          <w:sz w:val="22"/>
          <w:szCs w:val="22"/>
          <w:rFonts w:ascii="Arial" w:cs="Arial" w:eastAsia="Arial" w:hAnsi="Arial"/>
        </w:rPr>
        <w:t xml:space="preserve">First-class or business-class airfare</w:t>
      </w:r>
    </w:p>
    <w:p>
      <w:pPr>
        <w:pStyle w:val="ListParagraph"/>
        <w:numPr>
          <w:ilvl w:val="0"/>
          <w:numId w:val="4"/>
        </w:numPr>
        <w:spacing w:before="40" w:after="40"/>
      </w:pPr>
      <w:r>
        <w:rPr>
          <w:sz w:val="22"/>
          <w:szCs w:val="22"/>
          <w:rFonts w:ascii="Arial" w:cs="Arial" w:eastAsia="Arial" w:hAnsi="Arial"/>
        </w:rPr>
        <w:t xml:space="preserve">Alcohol</w:t>
      </w:r>
    </w:p>
    <w:p>
      <w:pPr>
        <w:pStyle w:val="ListParagraph"/>
        <w:numPr>
          <w:ilvl w:val="0"/>
          <w:numId w:val="4"/>
        </w:numPr>
        <w:spacing w:before="40" w:after="40"/>
      </w:pPr>
      <w:r>
        <w:rPr>
          <w:sz w:val="22"/>
          <w:szCs w:val="22"/>
          <w:rFonts w:ascii="Arial" w:cs="Arial" w:eastAsia="Arial" w:hAnsi="Arial"/>
        </w:rPr>
        <w:t xml:space="preserve">Charges for internal firm meetings, training, or professional development</w:t>
      </w:r>
    </w:p>
    <w:p>
      <w:pPr>
        <w:pStyle w:val="ListParagraph"/>
        <w:numPr>
          <w:ilvl w:val="0"/>
          <w:numId w:val="4"/>
        </w:numPr>
        <w:spacing w:before="40" w:after="40"/>
      </w:pPr>
      <w:r>
        <w:rPr>
          <w:sz w:val="22"/>
          <w:szCs w:val="22"/>
          <w:rFonts w:ascii="Arial" w:cs="Arial" w:eastAsia="Arial" w:hAnsi="Arial"/>
        </w:rPr>
        <w:t xml:space="preserve">Rush charges for printing, copying, or courier services not requested by the Company</w:t>
      </w:r>
    </w:p>
    <w:p>
      <w:pPr>
        <w:pStyle w:val="ListParagraph"/>
        <w:numPr>
          <w:ilvl w:val="0"/>
          <w:numId w:val="4"/>
        </w:numPr>
        <w:spacing w:before="40" w:after="40"/>
      </w:pPr>
      <w:r>
        <w:rPr>
          <w:sz w:val="22"/>
          <w:szCs w:val="22"/>
          <w:rFonts w:ascii="Arial" w:cs="Arial" w:eastAsia="Arial" w:hAnsi="Arial"/>
        </w:rPr>
        <w:t xml:space="preserve">Firm technology infrastructure costs</w:t>
      </w:r>
    </w:p>
    <w:p>
      <w:pPr>
        <w:pStyle w:val="ListParagraph"/>
        <w:numPr>
          <w:ilvl w:val="0"/>
          <w:numId w:val="4"/>
        </w:numPr>
        <w:spacing w:before="40" w:after="40"/>
      </w:pPr>
      <w:r>
        <w:rPr>
          <w:sz w:val="22"/>
          <w:szCs w:val="22"/>
          <w:rFonts w:ascii="Arial" w:cs="Arial" w:eastAsia="Arial" w:hAnsi="Arial"/>
        </w:rPr>
        <w:t xml:space="preserve">Interest or late fees</w:t>
      </w:r>
    </w:p>
    <w:p>
      <w:pPr>
        <w:pStyle w:val="ListParagraph"/>
        <w:numPr>
          <w:ilvl w:val="0"/>
          <w:numId w:val="4"/>
        </w:numPr>
        <w:spacing w:before="40" w:after="40"/>
      </w:pPr>
      <w:r>
        <w:rPr>
          <w:sz w:val="22"/>
          <w:szCs w:val="22"/>
          <w:rFonts w:ascii="Arial" w:cs="Arial" w:eastAsia="Arial" w:hAnsi="Arial"/>
        </w:rPr>
        <w:t xml:space="preserve">Meals exceeding GSA per diem rates</w:t>
      </w:r>
    </w:p>
    <w:p>
      <w:pPr>
        <w:pStyle w:val="Heading2"/>
        <w:spacing w:before="200" w:after="120"/>
      </w:pPr>
      <w:r>
        <w:rPr>
          <w:b/>
          <w:bCs/>
          <w:sz w:val="28"/>
          <w:szCs w:val="28"/>
          <w:rFonts w:ascii="Arial" w:cs="Arial" w:eastAsia="Arial" w:hAnsi="Arial"/>
        </w:rPr>
        <w:t xml:space="preserve">Section C.7. Travel</w:t>
      </w:r>
    </w:p>
    <w:p>
      <w:pPr>
        <w:pStyle w:val="ListParagraph"/>
        <w:numPr>
          <w:ilvl w:val="0"/>
          <w:numId w:val="4"/>
        </w:numPr>
        <w:spacing w:before="40" w:after="40"/>
      </w:pPr>
      <w:r>
        <w:rPr>
          <w:sz w:val="22"/>
          <w:szCs w:val="22"/>
          <w:rFonts w:ascii="Arial" w:cs="Arial" w:eastAsia="Arial" w:hAnsi="Arial"/>
        </w:rPr>
        <w:t xml:space="preserve">All travel requires written pre-approval from the Department.</w:t>
      </w:r>
    </w:p>
    <w:p>
      <w:pPr>
        <w:pStyle w:val="ListParagraph"/>
        <w:numPr>
          <w:ilvl w:val="0"/>
          <w:numId w:val="4"/>
        </w:numPr>
        <w:spacing w:before="40" w:after="40"/>
      </w:pPr>
      <w:r>
        <w:rPr>
          <w:sz w:val="22"/>
          <w:szCs w:val="22"/>
          <w:rFonts w:ascii="Arial" w:cs="Arial" w:eastAsia="Arial" w:hAnsi="Arial"/>
        </w:rPr>
        <w:t xml:space="preserve">Economy class airfare is required.</w:t>
      </w:r>
    </w:p>
    <w:p>
      <w:pPr>
        <w:pStyle w:val="ListParagraph"/>
        <w:numPr>
          <w:ilvl w:val="0"/>
          <w:numId w:val="4"/>
        </w:numPr>
        <w:spacing w:before="40" w:after="40"/>
      </w:pPr>
      <w:r>
        <w:rPr>
          <w:sz w:val="22"/>
          <w:szCs w:val="22"/>
          <w:rFonts w:ascii="Arial" w:cs="Arial" w:eastAsia="Arial" w:hAnsi="Arial"/>
        </w:rPr>
        <w:t xml:space="preserve">Lodging and meal expenses are subject to GSA per diem rates.</w:t>
      </w:r>
    </w:p>
    <w:p>
      <w:pPr>
        <w:pStyle w:val="ListParagraph"/>
        <w:numPr>
          <w:ilvl w:val="0"/>
          <w:numId w:val="4"/>
        </w:numPr>
        <w:spacing w:before="40" w:after="40"/>
      </w:pPr>
      <w:r>
        <w:rPr>
          <w:sz w:val="22"/>
          <w:szCs w:val="22"/>
          <w:rFonts w:ascii="Arial" w:cs="Arial" w:eastAsia="Arial" w:hAnsi="Arial"/>
        </w:rPr>
        <w:t xml:space="preserve">Travel time is billed at 50% of the applicable hourly rate.</w:t>
      </w:r>
    </w:p>
    <w:p>
      <w:pPr>
        <w:pStyle w:val="ListParagraph"/>
        <w:numPr>
          <w:ilvl w:val="0"/>
          <w:numId w:val="4"/>
        </w:numPr>
        <w:spacing w:before="40" w:after="40"/>
      </w:pPr>
      <w:r>
        <w:rPr>
          <w:sz w:val="22"/>
          <w:szCs w:val="22"/>
          <w:rFonts w:ascii="Arial" w:cs="Arial" w:eastAsia="Arial" w:hAnsi="Arial"/>
        </w:rPr>
        <w:t xml:space="preserve">Mileage is reimbursed at the current IRS standard mileage rate.</w:t>
      </w:r>
    </w:p>
    <w:p>
      <w:pPr>
        <w:pStyle w:val="ListParagraph"/>
        <w:numPr>
          <w:ilvl w:val="0"/>
          <w:numId w:val="4"/>
        </w:numPr>
        <w:spacing w:before="40" w:after="40"/>
      </w:pPr>
      <w:r>
        <w:rPr>
          <w:sz w:val="22"/>
          <w:szCs w:val="22"/>
          <w:rFonts w:ascii="Arial" w:cs="Arial" w:eastAsia="Arial" w:hAnsi="Arial"/>
        </w:rPr>
        <w:t xml:space="preserve">Receipts are required for all expenses exceeding $25.</w:t>
      </w:r>
    </w:p>
    <w:p>
      <w:pPr>
        <w:pStyle w:val="Heading2"/>
        <w:spacing w:before="200" w:after="120"/>
      </w:pPr>
      <w:r>
        <w:rPr>
          <w:b/>
          <w:bCs/>
          <w:sz w:val="28"/>
          <w:szCs w:val="28"/>
          <w:rFonts w:ascii="Arial" w:cs="Arial" w:eastAsia="Arial" w:hAnsi="Arial"/>
        </w:rPr>
        <w:t xml:space="preserve">Section C.8. Expense Pre-Approval</w:t>
      </w:r>
    </w:p>
    <w:p>
      <w:pPr>
        <w:spacing w:before="80" w:after="120"/>
      </w:pPr>
      <w:r>
        <w:rPr>
          <w:sz w:val="22"/>
          <w:szCs w:val="22"/>
          <w:rFonts w:ascii="Arial" w:cs="Arial" w:eastAsia="Arial" w:hAnsi="Arial"/>
        </w:rPr>
        <w:t xml:space="preserve">The following expenses require written pre-approval from the Department:</w:t>
      </w:r>
    </w:p>
    <w:p>
      <w:pPr>
        <w:pStyle w:val="ListParagraph"/>
        <w:numPr>
          <w:ilvl w:val="0"/>
          <w:numId w:val="4"/>
        </w:numPr>
        <w:spacing w:before="40" w:after="40"/>
      </w:pPr>
      <w:r>
        <w:rPr>
          <w:sz w:val="22"/>
          <w:szCs w:val="22"/>
          <w:rFonts w:ascii="Arial" w:cs="Arial" w:eastAsia="Arial" w:hAnsi="Arial"/>
        </w:rPr>
        <w:t xml:space="preserve">Expert witnesses and consultants</w:t>
      </w:r>
    </w:p>
    <w:p>
      <w:pPr>
        <w:pStyle w:val="ListParagraph"/>
        <w:numPr>
          <w:ilvl w:val="0"/>
          <w:numId w:val="4"/>
        </w:numPr>
        <w:spacing w:before="40" w:after="40"/>
      </w:pPr>
      <w:r>
        <w:rPr>
          <w:sz w:val="22"/>
          <w:szCs w:val="22"/>
          <w:rFonts w:ascii="Arial" w:cs="Arial" w:eastAsia="Arial" w:hAnsi="Arial"/>
        </w:rPr>
        <w:t xml:space="preserve">Travel and lodging</w:t>
      </w:r>
    </w:p>
    <w:p>
      <w:pPr>
        <w:pStyle w:val="ListParagraph"/>
        <w:numPr>
          <w:ilvl w:val="0"/>
          <w:numId w:val="4"/>
        </w:numPr>
        <w:spacing w:before="40" w:after="40"/>
      </w:pPr>
      <w:r>
        <w:rPr>
          <w:sz w:val="22"/>
          <w:szCs w:val="22"/>
          <w:rFonts w:ascii="Arial" w:cs="Arial" w:eastAsia="Arial" w:hAnsi="Arial"/>
        </w:rPr>
        <w:t xml:space="preserve">Outsourced discovery or document review services</w:t>
      </w:r>
    </w:p>
    <w:p>
      <w:pPr>
        <w:pStyle w:val="ListParagraph"/>
        <w:numPr>
          <w:ilvl w:val="0"/>
          <w:numId w:val="4"/>
        </w:numPr>
        <w:spacing w:before="40" w:after="40"/>
      </w:pPr>
      <w:r>
        <w:rPr>
          <w:sz w:val="22"/>
          <w:szCs w:val="22"/>
          <w:rFonts w:ascii="Arial" w:cs="Arial" w:eastAsia="Arial" w:hAnsi="Arial"/>
        </w:rPr>
        <w:t xml:space="preserve">Filing fees exceeding $1,000</w:t>
      </w:r>
    </w:p>
    <w:p>
      <w:pPr>
        <w:pStyle w:val="ListParagraph"/>
        <w:numPr>
          <w:ilvl w:val="0"/>
          <w:numId w:val="4"/>
        </w:numPr>
        <w:spacing w:before="40" w:after="40"/>
      </w:pPr>
      <w:r>
        <w:rPr>
          <w:sz w:val="22"/>
          <w:szCs w:val="22"/>
          <w:rFonts w:ascii="Arial" w:cs="Arial" w:eastAsia="Arial" w:hAnsi="Arial"/>
        </w:rPr>
        <w:t xml:space="preserve">Any single expense exceeding $2,500</w:t>
      </w:r>
    </w:p>
    <w:p>
      <w:pPr>
        <w:pStyle w:val="Heading2"/>
        <w:spacing w:before="200" w:after="120"/>
      </w:pPr>
      <w:r>
        <w:rPr>
          <w:b/>
          <w:bCs/>
          <w:sz w:val="28"/>
          <w:szCs w:val="28"/>
          <w:rFonts w:ascii="Arial" w:cs="Arial" w:eastAsia="Arial" w:hAnsi="Arial"/>
        </w:rPr>
        <w:t xml:space="preserve">Section C.9. Matter Budgets</w:t>
      </w:r>
    </w:p>
    <w:p>
      <w:pPr>
        <w:pStyle w:val="ListParagraph"/>
        <w:numPr>
          <w:ilvl w:val="0"/>
          <w:numId w:val="4"/>
        </w:numPr>
        <w:spacing w:before="40" w:after="40"/>
      </w:pPr>
      <w:r>
        <w:rPr>
          <w:sz w:val="22"/>
          <w:szCs w:val="22"/>
          <w:rFonts w:ascii="Arial" w:cs="Arial" w:eastAsia="Arial" w:hAnsi="Arial"/>
        </w:rPr>
        <w:t xml:space="preserve">A matter budget, broken down by phase of work, is required at the outset of each engagement.</w:t>
      </w:r>
    </w:p>
    <w:p>
      <w:pPr>
        <w:pStyle w:val="ListParagraph"/>
        <w:numPr>
          <w:ilvl w:val="0"/>
          <w:numId w:val="4"/>
        </w:numPr>
        <w:spacing w:before="40" w:after="40"/>
      </w:pPr>
      <w:r>
        <w:rPr>
          <w:sz w:val="22"/>
          <w:szCs w:val="22"/>
          <w:rFonts w:ascii="Arial" w:cs="Arial" w:eastAsia="Arial" w:hAnsi="Arial"/>
        </w:rPr>
        <w:t xml:space="preserve">The budget must be approved by the Department before substantive work begins.</w:t>
      </w:r>
    </w:p>
    <w:p>
      <w:pPr>
        <w:pStyle w:val="ListParagraph"/>
        <w:numPr>
          <w:ilvl w:val="0"/>
          <w:numId w:val="4"/>
        </w:numPr>
        <w:spacing w:before="40" w:after="40"/>
      </w:pPr>
      <w:r>
        <w:rPr>
          <w:sz w:val="22"/>
          <w:szCs w:val="22"/>
          <w:rFonts w:ascii="Arial" w:cs="Arial" w:eastAsia="Arial" w:hAnsi="Arial"/>
        </w:rPr>
        <w:t xml:space="preserve">If actual spend is projected to exceed the approved budget by more than 15%, outside counsel must notify the Department in writing and obtain approval for a revised budget before incurring additional charges. Failure to obtain a revised budget constitutes a billing guideline violation.</w:t>
      </w:r>
    </w:p>
    <w:p>
      <w:pPr>
        <w:pStyle w:val="ListParagraph"/>
        <w:numPr>
          <w:ilvl w:val="0"/>
          <w:numId w:val="4"/>
        </w:numPr>
        <w:spacing w:before="40" w:after="40"/>
      </w:pPr>
      <w:r>
        <w:rPr>
          <w:sz w:val="22"/>
          <w:szCs w:val="22"/>
          <w:rFonts w:ascii="Arial" w:cs="Arial" w:eastAsia="Arial" w:hAnsi="Arial"/>
        </w:rPr>
        <w:t xml:space="preserve">Quarterly budget-to-actual reports must be submitted with each invoice.</w:t>
      </w:r>
    </w:p>
    <w:p>
      <w:pPr>
        <w:pStyle w:val="Heading2"/>
        <w:spacing w:before="200" w:after="120"/>
      </w:pPr>
      <w:r>
        <w:rPr>
          <w:b/>
          <w:bCs/>
          <w:sz w:val="28"/>
          <w:szCs w:val="28"/>
          <w:rFonts w:ascii="Arial" w:cs="Arial" w:eastAsia="Arial" w:hAnsi="Arial"/>
        </w:rPr>
        <w:t xml:space="preserve">Section C.10. Reporting Requirements</w:t>
      </w:r>
    </w:p>
    <w:p>
      <w:pPr>
        <w:spacing w:before="80" w:after="120"/>
      </w:pPr>
      <w:r>
        <w:rPr>
          <w:sz w:val="22"/>
          <w:szCs w:val="22"/>
          <w:rFonts w:ascii="Arial" w:cs="Arial" w:eastAsia="Arial" w:hAnsi="Arial"/>
        </w:rPr>
        <w:t xml:space="preserve">Outside counsel must provide:</w:t>
      </w:r>
    </w:p>
    <w:p>
      <w:pPr>
        <w:pStyle w:val="ListParagraph"/>
        <w:numPr>
          <w:ilvl w:val="0"/>
          <w:numId w:val="4"/>
        </w:numPr>
        <w:spacing w:before="40" w:after="40"/>
      </w:pPr>
      <w:r>
        <w:rPr>
          <w:sz w:val="22"/>
          <w:szCs w:val="22"/>
          <w:rFonts w:ascii="Arial" w:cs="Arial" w:eastAsia="Arial" w:hAnsi="Arial"/>
        </w:rPr>
        <w:t xml:space="preserve">Monthly status reports, due by the 15th of the month following the reporting period</w:t>
      </w:r>
    </w:p>
    <w:p>
      <w:pPr>
        <w:pStyle w:val="ListParagraph"/>
        <w:numPr>
          <w:ilvl w:val="0"/>
          <w:numId w:val="4"/>
        </w:numPr>
        <w:spacing w:before="40" w:after="40"/>
      </w:pPr>
      <w:r>
        <w:rPr>
          <w:sz w:val="22"/>
          <w:szCs w:val="22"/>
          <w:rFonts w:ascii="Arial" w:cs="Arial" w:eastAsia="Arial" w:hAnsi="Arial"/>
        </w:rPr>
        <w:t xml:space="preserve">Prompt notification of any material development (adverse ruling, settlement demand, deadline change) within 24 hours</w:t>
      </w:r>
    </w:p>
    <w:p>
      <w:pPr>
        <w:pStyle w:val="ListParagraph"/>
        <w:numPr>
          <w:ilvl w:val="0"/>
          <w:numId w:val="4"/>
        </w:numPr>
        <w:spacing w:before="40" w:after="40"/>
      </w:pPr>
      <w:r>
        <w:rPr>
          <w:sz w:val="22"/>
          <w:szCs w:val="22"/>
          <w:rFonts w:ascii="Arial" w:cs="Arial" w:eastAsia="Arial" w:hAnsi="Arial"/>
        </w:rPr>
        <w:t xml:space="preserve">Early case assessment within 30 days of engagement, including estimated exposure range, recommended strategy, and projected timeline</w:t>
      </w:r>
    </w:p>
    <w:p>
      <w:pPr>
        <w:pStyle w:val="ListParagraph"/>
        <w:numPr>
          <w:ilvl w:val="0"/>
          <w:numId w:val="4"/>
        </w:numPr>
        <w:spacing w:before="40" w:after="40"/>
      </w:pPr>
      <w:r>
        <w:rPr>
          <w:sz w:val="22"/>
          <w:szCs w:val="22"/>
          <w:rFonts w:ascii="Arial" w:cs="Arial" w:eastAsia="Arial" w:hAnsi="Arial"/>
        </w:rPr>
        <w:t xml:space="preserve">Failure to submit a monthly status report triggers an automatic invoice processing hold</w:t>
      </w:r>
    </w:p>
    <w:p>
      <w:pPr>
        <w:pStyle w:val="ListParagraph"/>
        <w:numPr>
          <w:ilvl w:val="0"/>
          <w:numId w:val="4"/>
        </w:numPr>
        <w:spacing w:before="40" w:after="40"/>
      </w:pPr>
      <w:r>
        <w:rPr>
          <w:sz w:val="22"/>
          <w:szCs w:val="22"/>
          <w:rFonts w:ascii="Arial" w:cs="Arial" w:eastAsia="Arial" w:hAnsi="Arial"/>
        </w:rPr>
        <w:t xml:space="preserve">The GC maintains a reporting deadline calendar</w:t>
      </w:r>
    </w:p>
    <w:p>
      <w:pPr>
        <w:pStyle w:val="Heading2"/>
        <w:spacing w:before="200" w:after="120"/>
      </w:pPr>
      <w:r>
        <w:rPr>
          <w:b/>
          <w:bCs/>
          <w:sz w:val="28"/>
          <w:szCs w:val="28"/>
          <w:rFonts w:ascii="Arial" w:cs="Arial" w:eastAsia="Arial" w:hAnsi="Arial"/>
        </w:rPr>
        <w:t xml:space="preserve">Section C.11. Invoice Review and Payment</w:t>
      </w:r>
    </w:p>
    <w:p>
      <w:pPr>
        <w:pStyle w:val="ListParagraph"/>
        <w:numPr>
          <w:ilvl w:val="0"/>
          <w:numId w:val="4"/>
        </w:numPr>
        <w:spacing w:before="40" w:after="40"/>
      </w:pPr>
      <w:r>
        <w:rPr>
          <w:sz w:val="22"/>
          <w:szCs w:val="22"/>
          <w:rFonts w:ascii="Arial" w:cs="Arial" w:eastAsia="Arial" w:hAnsi="Arial"/>
        </w:rPr>
        <w:t xml:space="preserve">All invoices are subject to review and adjustment by the Department, with segregation of duties as described in Section 14.F.</w:t>
      </w:r>
    </w:p>
    <w:p>
      <w:pPr>
        <w:pStyle w:val="ListParagraph"/>
        <w:numPr>
          <w:ilvl w:val="0"/>
          <w:numId w:val="4"/>
        </w:numPr>
        <w:spacing w:before="40" w:after="40"/>
      </w:pPr>
      <w:r>
        <w:rPr>
          <w:sz w:val="22"/>
          <w:szCs w:val="22"/>
          <w:rFonts w:ascii="Arial" w:cs="Arial" w:eastAsia="Arial" w:hAnsi="Arial"/>
        </w:rPr>
        <w:t xml:space="preserve">Payment terms are net 45 days from receipt of a compliant invoice.</w:t>
      </w:r>
    </w:p>
    <w:p>
      <w:pPr>
        <w:pStyle w:val="ListParagraph"/>
        <w:numPr>
          <w:ilvl w:val="0"/>
          <w:numId w:val="4"/>
        </w:numPr>
        <w:spacing w:before="40" w:after="40"/>
      </w:pPr>
      <w:r>
        <w:rPr>
          <w:sz w:val="22"/>
          <w:szCs w:val="22"/>
          <w:rFonts w:ascii="Arial" w:cs="Arial" w:eastAsia="Arial" w:hAnsi="Arial"/>
        </w:rPr>
        <w:t xml:space="preserve">Non-compliant invoices will be returned to outside counsel for correction.</w:t>
      </w:r>
    </w:p>
    <w:p>
      <w:pPr>
        <w:pStyle w:val="ListParagraph"/>
        <w:numPr>
          <w:ilvl w:val="0"/>
          <w:numId w:val="4"/>
        </w:numPr>
        <w:spacing w:before="40" w:after="40"/>
      </w:pPr>
      <w:r>
        <w:rPr>
          <w:sz w:val="22"/>
          <w:szCs w:val="22"/>
          <w:rFonts w:ascii="Arial" w:cs="Arial" w:eastAsia="Arial" w:hAnsi="Arial"/>
        </w:rPr>
        <w:t xml:space="preserve">Disputes regarding invoice adjustments will be resolved through discussion between the General Counsel and the responsible partner. The GC's determination is final for disputes unresolved within 30 days.</w:t>
      </w:r>
    </w:p>
    <w:p>
      <w:pPr>
        <w:pStyle w:val="Heading2"/>
        <w:spacing w:before="200" w:after="120"/>
      </w:pPr>
      <w:r>
        <w:rPr>
          <w:b/>
          <w:bCs/>
          <w:sz w:val="28"/>
          <w:szCs w:val="28"/>
          <w:rFonts w:ascii="Arial" w:cs="Arial" w:eastAsia="Arial" w:hAnsi="Arial"/>
        </w:rPr>
        <w:t xml:space="preserve">Section C.12. Audit Rights</w:t>
      </w:r>
    </w:p>
    <w:p>
      <w:pPr>
        <w:spacing w:before="80" w:after="120"/>
      </w:pPr>
      <w:r>
        <w:rPr>
          <w:sz w:val="22"/>
          <w:szCs w:val="22"/>
          <w:rFonts w:ascii="Arial" w:cs="Arial" w:eastAsia="Arial" w:hAnsi="Arial"/>
        </w:rPr>
        <w:t xml:space="preserve">The Company reserves the right to audit outside counsel billing records upon 30 days' written notice. Outside counsel must retain billing records for a minimum of three (3) years following the conclusion of the engagement. Full cooperation with audits is required. Systematic overbilling (adjustments exceeding 5% of total billings) permits the Company to recover audit costs from the firm.</w:t>
      </w:r>
    </w:p>
    <w:p>
      <w:pPr>
        <w:pStyle w:val="Heading2"/>
        <w:spacing w:before="200" w:after="120"/>
      </w:pPr>
      <w:r>
        <w:rPr>
          <w:b/>
          <w:bCs/>
          <w:sz w:val="28"/>
          <w:szCs w:val="28"/>
          <w:rFonts w:ascii="Arial" w:cs="Arial" w:eastAsia="Arial" w:hAnsi="Arial"/>
        </w:rPr>
        <w:t xml:space="preserve">Section C.13. Panel Selection and Diversity Requirements</w:t>
      </w:r>
    </w:p>
    <w:p>
      <w:pPr>
        <w:spacing w:before="80" w:after="120"/>
      </w:pPr>
      <w:r>
        <w:rPr>
          <w:sz w:val="22"/>
          <w:szCs w:val="22"/>
          <w:rFonts w:ascii="Arial" w:cs="Arial" w:eastAsia="Arial" w:hAnsi="Arial"/>
        </w:rPr>
        <w:t xml:space="preserve">The outside counsel panel is reviewed annually using documented criteria, including expertise, geographic coverage, quality of work, rate competitiveness, diversity, billing guideline compliance, and conflicts history. Competitive bidding is required for matters with estimated fees exceeding $100,000.</w:t>
      </w:r>
    </w:p>
    <w:p>
      <w:pPr>
        <w:spacing w:before="80" w:after="120"/>
      </w:pPr>
      <w:r>
        <w:rPr>
          <w:sz w:val="22"/>
          <w:szCs w:val="22"/>
          <w:rFonts w:ascii="Arial" w:cs="Arial" w:eastAsia="Arial" w:hAnsi="Arial"/>
        </w:rPr>
        <w:t xml:space="preserve">Diversity requirements include annual reporting of diversity data, meaningful staffing of diverse attorneys on Company matters, and annual reporting to the CEO on outside counsel diversity performance.</w:t>
      </w:r>
    </w:p>
    <w:p>
      <w:pPr>
        <w:pStyle w:val="Heading2"/>
        <w:spacing w:before="200" w:after="120"/>
      </w:pPr>
      <w:r>
        <w:rPr>
          <w:b/>
          <w:bCs/>
          <w:sz w:val="28"/>
          <w:szCs w:val="28"/>
          <w:rFonts w:ascii="Arial" w:cs="Arial" w:eastAsia="Arial" w:hAnsi="Arial"/>
        </w:rPr>
        <w:t xml:space="preserve">Section C.14. Non-Compliance Escalation</w:t>
      </w:r>
    </w:p>
    <w:p>
      <w:pPr>
        <w:spacing w:before="80" w:after="120"/>
      </w:pPr>
      <w:r>
        <w:rPr>
          <w:sz w:val="22"/>
          <w:szCs w:val="22"/>
          <w:rFonts w:ascii="Arial" w:cs="Arial" w:eastAsia="Arial" w:hAnsi="Arial"/>
        </w:rPr>
        <w:t xml:space="preserve">Billing guideline violations are addressed through a graduated process:</w:t>
      </w:r>
    </w:p>
    <w:p>
      <w:pPr>
        <w:pStyle w:val="ListParagraph"/>
        <w:numPr>
          <w:ilvl w:val="0"/>
          <w:numId w:val="4"/>
        </w:numPr>
        <w:spacing w:before="40" w:after="40"/>
      </w:pPr>
      <w:r>
        <w:rPr>
          <w:b/>
          <w:bCs/>
          <w:sz w:val="22"/>
          <w:szCs w:val="22"/>
          <w:rFonts w:ascii="Arial" w:cs="Arial" w:eastAsia="Arial" w:hAnsi="Arial"/>
        </w:rPr>
        <w:t xml:space="preserve">First violation:</w:t>
      </w:r>
      <w:r>
        <w:rPr>
          <w:sz w:val="22"/>
          <w:szCs w:val="22"/>
          <w:rFonts w:ascii="Arial" w:cs="Arial" w:eastAsia="Arial" w:hAnsi="Arial"/>
        </w:rPr>
        <w:t xml:space="preserve"> Written notice to responsible partner</w:t>
      </w:r>
    </w:p>
    <w:p>
      <w:pPr>
        <w:pStyle w:val="ListParagraph"/>
        <w:numPr>
          <w:ilvl w:val="0"/>
          <w:numId w:val="4"/>
        </w:numPr>
        <w:spacing w:before="40" w:after="40"/>
      </w:pPr>
      <w:r>
        <w:rPr>
          <w:b/>
          <w:bCs/>
          <w:sz w:val="22"/>
          <w:szCs w:val="22"/>
          <w:rFonts w:ascii="Arial" w:cs="Arial" w:eastAsia="Arial" w:hAnsi="Arial"/>
        </w:rPr>
        <w:t xml:space="preserve">Second violation:</w:t>
      </w:r>
      <w:r>
        <w:rPr>
          <w:sz w:val="22"/>
          <w:szCs w:val="22"/>
          <w:rFonts w:ascii="Arial" w:cs="Arial" w:eastAsia="Arial" w:hAnsi="Arial"/>
        </w:rPr>
        <w:t xml:space="preserve"> Invoice adjustment and formal warning</w:t>
      </w:r>
    </w:p>
    <w:p>
      <w:pPr>
        <w:pStyle w:val="ListParagraph"/>
        <w:numPr>
          <w:ilvl w:val="0"/>
          <w:numId w:val="4"/>
        </w:numPr>
        <w:spacing w:before="40" w:after="40"/>
      </w:pPr>
      <w:r>
        <w:rPr>
          <w:b/>
          <w:bCs/>
          <w:sz w:val="22"/>
          <w:szCs w:val="22"/>
          <w:rFonts w:ascii="Arial" w:cs="Arial" w:eastAsia="Arial" w:hAnsi="Arial"/>
        </w:rPr>
        <w:t xml:space="preserve">Third violation:</w:t>
      </w:r>
      <w:r>
        <w:rPr>
          <w:sz w:val="22"/>
          <w:szCs w:val="22"/>
          <w:rFonts w:ascii="Arial" w:cs="Arial" w:eastAsia="Arial" w:hAnsi="Arial"/>
        </w:rPr>
        <w:t xml:space="preserve"> Panel removal consideration</w:t>
      </w:r>
    </w:p>
    <w:p>
      <w:pPr>
        <w:pStyle w:val="ListParagraph"/>
        <w:numPr>
          <w:ilvl w:val="0"/>
          <w:numId w:val="4"/>
        </w:numPr>
        <w:spacing w:before="40" w:after="40"/>
      </w:pPr>
      <w:r>
        <w:rPr>
          <w:b/>
          <w:bCs/>
          <w:sz w:val="22"/>
          <w:szCs w:val="22"/>
          <w:rFonts w:ascii="Arial" w:cs="Arial" w:eastAsia="Arial" w:hAnsi="Arial"/>
        </w:rPr>
        <w:t xml:space="preserve">Egregious violations:</w:t>
      </w:r>
      <w:r>
        <w:rPr>
          <w:sz w:val="22"/>
          <w:szCs w:val="22"/>
          <w:rFonts w:ascii="Arial" w:cs="Arial" w:eastAsia="Arial" w:hAnsi="Arial"/>
        </w:rPr>
        <w:t xml:space="preserve"> Immediate termination of engagement</w:t>
      </w:r>
    </w:p>
    <w:p>
      <w:pPr>
        <w:pStyle w:val="Heading2"/>
        <w:spacing w:before="200" w:after="120"/>
      </w:pPr>
      <w:r>
        <w:rPr>
          <w:b/>
          <w:bCs/>
          <w:sz w:val="28"/>
          <w:szCs w:val="28"/>
          <w:rFonts w:ascii="Arial" w:cs="Arial" w:eastAsia="Arial" w:hAnsi="Arial"/>
        </w:rPr>
        <w:t xml:space="preserve">Section C.15. Conflicts and Confidentiality</w:t>
      </w:r>
    </w:p>
    <w:p>
      <w:pPr>
        <w:pStyle w:val="ListParagraph"/>
        <w:numPr>
          <w:ilvl w:val="0"/>
          <w:numId w:val="4"/>
        </w:numPr>
        <w:spacing w:before="40" w:after="40"/>
      </w:pPr>
      <w:r>
        <w:rPr>
          <w:sz w:val="22"/>
          <w:szCs w:val="22"/>
          <w:rFonts w:ascii="Arial" w:cs="Arial" w:eastAsia="Arial" w:hAnsi="Arial"/>
        </w:rPr>
        <w:t xml:space="preserve">Outside counsel must disclose any actual or potential conflicts of interest prior to engagement and on an ongoing basis.</w:t>
      </w:r>
    </w:p>
    <w:p>
      <w:pPr>
        <w:pStyle w:val="ListParagraph"/>
        <w:numPr>
          <w:ilvl w:val="0"/>
          <w:numId w:val="4"/>
        </w:numPr>
        <w:spacing w:before="40" w:after="40"/>
      </w:pPr>
      <w:r>
        <w:rPr>
          <w:sz w:val="22"/>
          <w:szCs w:val="22"/>
          <w:rFonts w:ascii="Arial" w:cs="Arial" w:eastAsia="Arial" w:hAnsi="Arial"/>
        </w:rPr>
        <w:t xml:space="preserve">All Company information must be treated as confidential and may not be disclosed without written authorization.</w:t>
      </w:r>
    </w:p>
    <w:p>
      <w:pPr>
        <w:pStyle w:val="ListParagraph"/>
        <w:numPr>
          <w:ilvl w:val="0"/>
          <w:numId w:val="4"/>
        </w:numPr>
        <w:spacing w:before="40" w:after="40"/>
      </w:pPr>
      <w:r>
        <w:rPr>
          <w:sz w:val="22"/>
          <w:szCs w:val="22"/>
          <w:rFonts w:ascii="Arial" w:cs="Arial" w:eastAsia="Arial" w:hAnsi="Arial"/>
        </w:rPr>
        <w:t xml:space="preserve">Outside counsel may not issue press releases, publish articles, or make public statements regarding Company matters without prior written consent from the GC.</w:t>
      </w:r>
    </w:p>
    <w:p>
      <w:pPr>
        <w:pStyle w:val="ListParagraph"/>
        <w:numPr>
          <w:ilvl w:val="0"/>
          <w:numId w:val="4"/>
        </w:numPr>
        <w:spacing w:before="40" w:after="40"/>
      </w:pPr>
      <w:r>
        <w:rPr>
          <w:sz w:val="22"/>
          <w:szCs w:val="22"/>
          <w:rFonts w:ascii="Arial" w:cs="Arial" w:eastAsia="Arial" w:hAnsi="Arial"/>
        </w:rPr>
        <w:t xml:space="preserve">Upon termination of an engagement, outside counsel must return or destroy all Company materials in its possession.</w:t>
      </w:r>
    </w:p>
    <w:p>
      <w:pPr>
        <w:pStyle w:val="Heading2"/>
        <w:spacing w:before="200" w:after="120"/>
      </w:pPr>
      <w:r>
        <w:rPr>
          <w:b/>
          <w:bCs/>
          <w:sz w:val="28"/>
          <w:szCs w:val="28"/>
          <w:rFonts w:ascii="Arial" w:cs="Arial" w:eastAsia="Arial" w:hAnsi="Arial"/>
        </w:rPr>
        <w:t xml:space="preserve">Section C.16. Representations and Warranties Support</w:t>
      </w:r>
    </w:p>
    <w:p>
      <w:pPr>
        <w:spacing w:before="80" w:after="120"/>
      </w:pPr>
      <w:r>
        <w:rPr>
          <w:sz w:val="22"/>
          <w:szCs w:val="22"/>
          <w:rFonts w:ascii="Arial" w:cs="Arial" w:eastAsia="Arial" w:hAnsi="Arial"/>
        </w:rPr>
        <w:t xml:space="preserve">For transactional engagements involving representations and warranties, outside counsel must provide a written summary of material exceptions, risks, and recommended bring-down conditions, delivered at least five (5) business days before closing.</w:t>
      </w:r>
    </w:p>
    <w:p>
      <w:pPr>
        <w:pStyle w:val="Heading2"/>
        <w:spacing w:before="200" w:after="120"/>
      </w:pPr>
      <w:r>
        <w:rPr>
          <w:b/>
          <w:bCs/>
          <w:sz w:val="28"/>
          <w:szCs w:val="28"/>
          <w:rFonts w:ascii="Arial" w:cs="Arial" w:eastAsia="Arial" w:hAnsi="Arial"/>
        </w:rPr>
        <w:t xml:space="preserve">Section C.17. Acknowledgment</w:t>
      </w:r>
    </w:p>
    <w:p>
      <w:pPr>
        <w:spacing w:before="80" w:after="120"/>
      </w:pPr>
      <w:r>
        <w:rPr>
          <w:sz w:val="22"/>
          <w:szCs w:val="22"/>
          <w:rFonts w:ascii="Arial" w:cs="Arial" w:eastAsia="Arial" w:hAnsi="Arial"/>
        </w:rPr>
        <w:t xml:space="preserve">Outside counsel must execute a signed acknowledgment of these Billing Guidelines within ten (10) business days of receipt. Continued performance of services after receipt of these Guidelines constitutes acceptance of their terms.</w:t>
      </w:r>
    </w:p>
    <w:p>
      <w:pPr>
        <w:spacing w:before="80" w:after="120"/>
      </w:pPr>
      <w:r>
        <w:rPr>
          <w:sz w:val="22"/>
          <w:szCs w:val="22"/>
          <w:rFonts w:ascii="Arial" w:cs="Arial" w:eastAsia="Arial" w:hAnsi="Arial"/>
        </w:rPr>
        <w:t xml:space="preserve">END OF LEGAL DEPARTMENT OPERATIONS MANUAL -- VERSION 1.0</w:t>
      </w:r>
    </w:p>
    <w:p>
      <w:pPr>
        <w:spacing w:before="80" w:after="120"/>
      </w:pPr>
      <w:r>
        <w:rPr>
          <w:sz w:val="22"/>
          <w:szCs w:val="22"/>
          <w:rFonts w:ascii="Arial" w:cs="Arial" w:eastAsia="Arial" w:hAnsi="Arial"/>
        </w:rPr>
        <w:t xml:space="preserve">PIR INDUSTRIAL LLC -- CONFIDENTIAL -- FOR INTERNAL USE ONLY</w:t>
      </w: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b/>
        <w:bCs/>
        <w:color w:val="999999"/>
        <w:sz w:val="16"/>
        <w:szCs w:val="16"/>
        <w:rFonts w:ascii="Arial" w:cs="Arial" w:eastAsia="Arial" w:hAnsi="Arial"/>
      </w:rPr>
      <w:t xml:space="preserve">CONFIDENTIAL — FOR INTERNAL USE ONLY</w:t>
    </w:r>
  </w:p>
  <w:p>
    <w:pPr>
      <w:jc w:val="center"/>
    </w:pPr>
    <w:r>
      <w:rPr>
        <w:color w:val="999999"/>
        <w:sz w:val="16"/>
        <w:szCs w:val="16"/>
        <w:rFonts w:ascii="Arial" w:cs="Arial" w:eastAsia="Arial" w:hAnsi="Arial"/>
      </w:rPr>
      <w:t xml:space="preserve">Page </w:t>
    </w:r>
    <w:r>
      <w:rPr>
        <w:color w:val="999999"/>
        <w:sz w:val="16"/>
        <w:szCs w:val="16"/>
        <w:rFonts w:ascii="Arial" w:cs="Arial" w:eastAsia="Arial" w:hAnsi="Arial"/>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color w:val="999999"/>
        <w:sz w:val="16"/>
        <w:szCs w:val="16"/>
        <w:rFonts w:ascii="Arial" w:cs="Arial" w:eastAsia="Arial" w:hAnsi="Arial"/>
      </w:rPr>
      <w:t xml:space="preserve">CONFIDENTIAL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666666"/>
        <w:sz w:val="18"/>
        <w:szCs w:val="18"/>
        <w:rFonts w:ascii="Arial" w:cs="Arial" w:eastAsia="Arial" w:hAnsi="Arial"/>
      </w:rPr>
      <w:t xml:space="preserve">PIR Industrial LLC — Legal Department Operations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b/>
      <w:bCs/>
      <w:sz w:val="32"/>
      <w:szCs w:val="32"/>
      <w:rFonts w:ascii="Arial" w:cs="Arial" w:eastAsia="Arial" w:hAnsi="Arial"/>
    </w:rPr>
  </w:style>
  <w:style w:type="paragraph" w:styleId="Heading2">
    <w:name w:val="Heading 2"/>
    <w:basedOn w:val="Normal"/>
    <w:next w:val="Normal"/>
    <w:qFormat/>
    <w:pPr>
      <w:spacing w:before="200" w:after="120"/>
      <w:outlineLvl w:val="1"/>
    </w:pPr>
    <w:rPr>
      <w:b/>
      <w:bCs/>
      <w:sz w:val="28"/>
      <w:szCs w:val="28"/>
      <w:rFonts w:ascii="Arial" w:cs="Arial" w:eastAsia="Arial" w:hAnsi="Arial"/>
    </w:rPr>
  </w:style>
  <w:style w:type="paragraph" w:styleId="Heading3">
    <w:name w:val="Heading 3"/>
    <w:basedOn w:val="Normal"/>
    <w:next w:val="Normal"/>
    <w:qFormat/>
    <w:pPr>
      <w:spacing w:before="160" w:after="100"/>
      <w:outlineLvl w:val="2"/>
    </w:pPr>
    <w:rPr>
      <w:b/>
      <w:bCs/>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2026-03-19T04:34:20.246Z</dcterms:created>
  <dcterms:modified xsi:type="dcterms:W3CDTF">2026-03-19T04:34:20.246Z</dcterms:modified>
</cp:coreProperties>
</file>

<file path=docProps/custom.xml><?xml version="1.0" encoding="utf-8"?>
<Properties xmlns="http://schemas.openxmlformats.org/officeDocument/2006/custom-properties" xmlns:vt="http://schemas.openxmlformats.org/officeDocument/2006/docPropsVTypes"/>
</file>