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00" w:after="200"/>
      </w:pPr>
      <w:r>
        <w:rPr>
          <w:rFonts w:ascii="Arial Unicode MS" w:hAnsi="Arial Unicode MS" w:eastAsia="Arial Unicode MS"/>
          <w:b/>
          <w:color w:val="1F6F8B"/>
          <w:sz w:val="30"/>
        </w:rPr>
        <w:t>DMonitor Java SDK</w:t>
      </w:r>
    </w:p>
    <w:p>
      <w:pPr>
        <w:spacing w:before="240" w:after="80"/>
      </w:pPr>
      <w:r>
        <w:rPr>
          <w:rFonts w:ascii="Arial Unicode MS" w:hAnsi="Arial Unicode MS" w:eastAsia="Arial Unicode MS"/>
          <w:b/>
          <w:color w:val="24313A"/>
          <w:sz w:val="68"/>
        </w:rPr>
        <w:t>测试报告</w:t>
      </w:r>
    </w:p>
    <w:p>
      <w:pPr>
        <w:spacing w:after="560"/>
      </w:pPr>
      <w:r>
        <w:rPr>
          <w:rFonts w:ascii="Arial Unicode MS" w:hAnsi="Arial Unicode MS" w:eastAsia="Arial Unicode MS"/>
          <w:b w:val="0"/>
          <w:color w:val="66737C"/>
          <w:sz w:val="26"/>
        </w:rPr>
        <w:t>dmonitor-java-lib  |  SDK v1.0.0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4082"/>
            <w:shd w:fill="FFF4E5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4" w:color="B66B16"/>
            </w:tcBorders>
          </w:tcPr>
          <w:p>
            <w:r>
              <w:rPr>
                <w:rFonts w:ascii="Arial Unicode MS" w:hAnsi="Arial Unicode MS" w:eastAsia="Arial Unicode MS"/>
                <w:b/>
                <w:color w:val="B66B16"/>
                <w:sz w:val="20"/>
              </w:rPr>
              <w:t xml:space="preserve">测试结论  </w:t>
            </w:r>
            <w:r>
              <w:rPr>
                <w:rFonts w:ascii="Arial Unicode MS" w:hAnsi="Arial Unicode MS" w:eastAsia="Arial Unicode MS"/>
                <w:b/>
                <w:color w:val="B66B16"/>
                <w:sz w:val="30"/>
              </w:rPr>
              <w:t>条件通过</w:t>
            </w:r>
          </w:p>
        </w:tc>
      </w:tr>
    </w:tbl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rPr>
          <w:cantSplit/>
        </w:trPr>
        <w:tc>
          <w:tcPr>
            <w:tcW w:type="dxa" w:w="2353"/>
            <w:vAlign w:val="center"/>
            <w:shd w:fill="EAF3F7"/>
            <w:tcMar>
              <w:top w:w="160" w:type="dxa"/>
              <w:start w:w="80" w:type="dxa"/>
              <w:bottom w:w="150" w:type="dxa"/>
              <w:end w:w="80" w:type="dxa"/>
            </w:tcMar>
            <w:tcBorders>
              <w:top w:val="single" w:sz="4" w:color="FFFFFF"/>
              <w:left w:val="single" w:sz="7" w:color="FFFFFF"/>
              <w:bottom w:val="single" w:sz="4" w:color="FFFFFF"/>
              <w:right w:val="single" w:sz="7" w:color="FFFFFF"/>
            </w:tcBorders>
          </w:tcPr>
          <w:p>
            <w:pPr>
              <w:spacing w:after="20"/>
              <w:jc w:val="center"/>
            </w:pPr>
            <w:r>
              <w:rPr>
                <w:rFonts w:ascii="Arial Unicode MS" w:hAnsi="Arial Unicode MS" w:eastAsia="Arial Unicode MS"/>
                <w:b/>
                <w:color w:val="1F6F8B"/>
                <w:sz w:val="40"/>
              </w:rPr>
              <w:t>3</w:t>
            </w:r>
          </w:p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color w:val="66737C"/>
                <w:sz w:val="17"/>
              </w:rPr>
              <w:t>测试总数</w:t>
            </w:r>
          </w:p>
        </w:tc>
        <w:tc>
          <w:tcPr>
            <w:tcW w:type="dxa" w:w="2353"/>
            <w:vAlign w:val="center"/>
            <w:shd w:fill="EAF4EF"/>
            <w:tcMar>
              <w:top w:w="160" w:type="dxa"/>
              <w:start w:w="80" w:type="dxa"/>
              <w:bottom w:w="150" w:type="dxa"/>
              <w:end w:w="80" w:type="dxa"/>
            </w:tcMar>
            <w:tcBorders>
              <w:top w:val="single" w:sz="4" w:color="FFFFFF"/>
              <w:left w:val="single" w:sz="7" w:color="FFFFFF"/>
              <w:bottom w:val="single" w:sz="4" w:color="FFFFFF"/>
              <w:right w:val="single" w:sz="7" w:color="FFFFFF"/>
            </w:tcBorders>
          </w:tcPr>
          <w:p>
            <w:pPr>
              <w:spacing w:after="20"/>
              <w:jc w:val="center"/>
            </w:pPr>
            <w:r>
              <w:rPr>
                <w:rFonts w:ascii="Arial Unicode MS" w:hAnsi="Arial Unicode MS" w:eastAsia="Arial Unicode MS"/>
                <w:b/>
                <w:color w:val="2E7D5B"/>
                <w:sz w:val="40"/>
              </w:rPr>
              <w:t>3</w:t>
            </w:r>
          </w:p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color w:val="66737C"/>
                <w:sz w:val="17"/>
              </w:rPr>
              <w:t>JUnit 通过</w:t>
            </w:r>
          </w:p>
        </w:tc>
        <w:tc>
          <w:tcPr>
            <w:tcW w:type="dxa" w:w="2353"/>
            <w:vAlign w:val="center"/>
            <w:shd w:fill="FFF4E5"/>
            <w:tcMar>
              <w:top w:w="160" w:type="dxa"/>
              <w:start w:w="80" w:type="dxa"/>
              <w:bottom w:w="150" w:type="dxa"/>
              <w:end w:w="80" w:type="dxa"/>
            </w:tcMar>
            <w:tcBorders>
              <w:top w:val="single" w:sz="4" w:color="FFFFFF"/>
              <w:left w:val="single" w:sz="7" w:color="FFFFFF"/>
              <w:bottom w:val="single" w:sz="4" w:color="FFFFFF"/>
              <w:right w:val="single" w:sz="7" w:color="FFFFFF"/>
            </w:tcBorders>
          </w:tcPr>
          <w:p>
            <w:pPr>
              <w:spacing w:after="20"/>
              <w:jc w:val="center"/>
            </w:pPr>
            <w:r>
              <w:rPr>
                <w:rFonts w:ascii="Arial Unicode MS" w:hAnsi="Arial Unicode MS" w:eastAsia="Arial Unicode MS"/>
                <w:b/>
                <w:color w:val="B66B16"/>
                <w:sz w:val="40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color w:val="66737C"/>
                <w:sz w:val="17"/>
              </w:rPr>
              <w:t>业务告警</w:t>
            </w:r>
          </w:p>
        </w:tc>
        <w:tc>
          <w:tcPr>
            <w:tcW w:type="dxa" w:w="2353"/>
            <w:vAlign w:val="center"/>
            <w:shd w:fill="F4F6F7"/>
            <w:tcMar>
              <w:top w:w="160" w:type="dxa"/>
              <w:start w:w="80" w:type="dxa"/>
              <w:bottom w:w="150" w:type="dxa"/>
              <w:end w:w="80" w:type="dxa"/>
            </w:tcMar>
            <w:tcBorders>
              <w:top w:val="single" w:sz="4" w:color="FFFFFF"/>
              <w:left w:val="single" w:sz="7" w:color="FFFFFF"/>
              <w:bottom w:val="single" w:sz="4" w:color="FFFFFF"/>
              <w:right w:val="single" w:sz="7" w:color="FFFFFF"/>
            </w:tcBorders>
          </w:tcPr>
          <w:p>
            <w:pPr>
              <w:spacing w:after="20"/>
              <w:jc w:val="center"/>
            </w:pPr>
            <w:r>
              <w:rPr>
                <w:rFonts w:ascii="Arial Unicode MS" w:hAnsi="Arial Unicode MS" w:eastAsia="Arial Unicode MS"/>
                <w:b/>
                <w:color w:val="66737C"/>
                <w:sz w:val="40"/>
              </w:rPr>
              <w:t>0</w:t>
            </w:r>
          </w:p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color w:val="66737C"/>
                <w:sz w:val="17"/>
              </w:rPr>
              <w:t>失败/错误</w:t>
            </w:r>
          </w:p>
        </w:tc>
      </w:tr>
    </w:tbl>
    <w:p>
      <w:pPr>
        <w:spacing w:before="640" w:after="60"/>
      </w:pPr>
      <w:r>
        <w:rPr>
          <w:rFonts w:ascii="Arial Unicode MS" w:hAnsi="Arial Unicode MS" w:eastAsia="Arial Unicode MS"/>
          <w:b/>
          <w:color w:val="66737C"/>
          <w:sz w:val="18"/>
        </w:rPr>
        <w:t>测试基线</w:t>
      </w:r>
    </w:p>
    <w:p>
      <w:r>
        <w:rPr>
          <w:rFonts w:ascii="Arial Unicode MS" w:hAnsi="Arial Unicode MS" w:eastAsia="Arial Unicode MS"/>
          <w:b w:val="0"/>
          <w:color w:val="24313A"/>
          <w:sz w:val="21"/>
        </w:rPr>
        <w:t>Git 3b8136f  |  2026-07-29  |  macOS arm64</w:t>
      </w:r>
    </w:p>
    <w:p>
      <w:pPr>
        <w:spacing w:before="320" w:after="40"/>
      </w:pPr>
      <w:r>
        <w:rPr>
          <w:rFonts w:ascii="Arial Unicode MS" w:hAnsi="Arial Unicode MS" w:eastAsia="Arial Unicode MS"/>
          <w:b/>
          <w:color w:val="66737C"/>
          <w:sz w:val="18"/>
        </w:rPr>
        <w:t>报告版本</w:t>
      </w:r>
    </w:p>
    <w:p>
      <w:r>
        <w:rPr>
          <w:rFonts w:ascii="Arial Unicode MS" w:hAnsi="Arial Unicode MS" w:eastAsia="Arial Unicode MS"/>
          <w:b w:val="0"/>
          <w:color w:val="24313A"/>
          <w:sz w:val="21"/>
        </w:rPr>
        <w:t>v1.1  |  根据更新后的测试数据、Surefire 日志和构建产物修订</w:t>
      </w:r>
    </w:p>
    <w:p>
      <w:pPr>
        <w:spacing w:before="1080" w:after="0"/>
      </w:pPr>
      <w:r>
        <w:rPr>
          <w:rFonts w:ascii="Arial Unicode MS" w:hAnsi="Arial Unicode MS" w:eastAsia="Arial Unicode MS"/>
          <w:b w:val="0"/>
          <w:color w:val="66737C"/>
          <w:sz w:val="18"/>
        </w:rPr>
        <w:t>NavFirst SDK Quality Verification</w:t>
      </w:r>
    </w:p>
    <w:p>
      <w:pPr>
        <w:pStyle w:val="Heading1"/>
        <w:pageBreakBefore/>
        <w:spacing w:before="160" w:after="100"/>
        <w:keepNext/>
        <w:keepLines/>
        <w:widowControl/>
      </w:pPr>
      <w:r>
        <w:rPr>
          <w:rFonts w:ascii="Arial Unicode MS" w:hAnsi="Arial Unicode MS" w:eastAsia="Arial Unicode MS"/>
          <w:b/>
          <w:color w:val="24313A"/>
          <w:sz w:val="36"/>
        </w:rPr>
        <w:t>一、报告概述</w:t>
      </w: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1. 测试目标</w:t>
      </w:r>
    </w:p>
    <w:p>
      <w:pPr>
        <w:spacing w:line="300" w:lineRule="auto" w:after="70"/>
      </w:pPr>
      <w:r>
        <w:rPr>
          <w:rFonts w:ascii="Arial Unicode MS" w:hAnsi="Arial Unicode MS" w:eastAsia="Arial Unicode MS"/>
          <w:b w:val="0"/>
          <w:color w:val="24313A"/>
          <w:sz w:val="21"/>
        </w:rPr>
        <w:t>验证 dmonitor-java-lib 在当前 macOS arm64 环境中的构建、Spring Boot 上下文启动、原生库加载、版本与机器标识接口，以及发布包资源完整性；同时识别实际 GNSS 解算链路的执行条件和测试缺口。</w:t>
      </w: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2. 结论摘要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694"/>
            <w:shd w:fill="FFF4E5"/>
            <w:tcMar>
              <w:top w:w="130" w:type="dxa"/>
              <w:start w:w="160" w:type="dxa"/>
              <w:bottom w:w="130" w:type="dxa"/>
              <w:end w:w="160" w:type="dxa"/>
            </w:tcMar>
            <w:tcBorders>
              <w:left w:val="single" w:sz="22" w:color="B66B16"/>
            </w:tcBorders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B66B16"/>
                <w:sz w:val="20"/>
              </w:rPr>
              <w:t xml:space="preserve">结论：条件通过  </w:t>
            </w:r>
            <w:r>
              <w:rPr>
                <w:rFonts w:ascii="Arial Unicode MS" w:hAnsi="Arial Unicode MS" w:eastAsia="Arial Unicode MS"/>
                <w:b w:val="0"/>
                <w:color w:val="24313A"/>
                <w:sz w:val="20"/>
              </w:rPr>
              <w:t>标准全量测试执行 3 项，Failures、Errors、Skipped 均为 0，最终 BUILD SUCCESS。核心监测用例已实际执行并产生回调，但 fixedRate=0.0，errMsg 为 fix-rate less 0.75，业务质量阈值未达标。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rHeight w:val="425"/>
          <w:tblHeader w:val="true"/>
          <w:cantSplit/>
        </w:trPr>
        <w:tc>
          <w:tcPr>
            <w:tcW w:type="dxa" w:w="2268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1361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5783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判定依据</w:t>
            </w:r>
          </w:p>
        </w:tc>
      </w:tr>
      <w:tr>
        <w:trPr>
          <w:cantSplit/>
          <w:cantSplit/>
        </w:trPr>
        <w:tc>
          <w:tcPr>
            <w:tcW w:type="dxa" w:w="226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Spring 上下文</w:t>
            </w:r>
          </w:p>
        </w:tc>
        <w:tc>
          <w:tcPr>
            <w:tcW w:type="dxa" w:w="136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通过</w:t>
            </w:r>
          </w:p>
        </w:tc>
        <w:tc>
          <w:tcPr>
            <w:tcW w:type="dxa" w:w="5783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Spring Boot 3.2.4 正常启动，耗时 1.580 s</w:t>
            </w:r>
          </w:p>
        </w:tc>
      </w:tr>
      <w:tr>
        <w:trPr>
          <w:cantSplit/>
          <w:cantSplit/>
        </w:trPr>
        <w:tc>
          <w:tcPr>
            <w:tcW w:type="dxa" w:w="226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原生版本接口</w:t>
            </w:r>
          </w:p>
        </w:tc>
        <w:tc>
          <w:tcPr>
            <w:tcW w:type="dxa" w:w="136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通过</w:t>
            </w:r>
          </w:p>
        </w:tc>
        <w:tc>
          <w:tcPr>
            <w:tcW w:type="dxa" w:w="5783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getGVersion() 返回 2.0.6.8</w:t>
            </w:r>
          </w:p>
        </w:tc>
      </w:tr>
      <w:tr>
        <w:trPr>
          <w:cantSplit/>
          <w:cantSplit/>
        </w:trPr>
        <w:tc>
          <w:tcPr>
            <w:tcW w:type="dxa" w:w="226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机器标识接口</w:t>
            </w:r>
          </w:p>
        </w:tc>
        <w:tc>
          <w:tcPr>
            <w:tcW w:type="dxa" w:w="136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通过</w:t>
            </w:r>
          </w:p>
        </w:tc>
        <w:tc>
          <w:tcPr>
            <w:tcW w:type="dxa" w:w="5783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getUuid() 返回非空值，报告已脱敏</w:t>
            </w:r>
          </w:p>
        </w:tc>
      </w:tr>
      <w:tr>
        <w:trPr>
          <w:cantSplit/>
          <w:cantSplit/>
        </w:trPr>
        <w:tc>
          <w:tcPr>
            <w:tcW w:type="dxa" w:w="226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GNSS 解算</w:t>
            </w:r>
          </w:p>
        </w:tc>
        <w:tc>
          <w:tcPr>
            <w:tcW w:type="dxa" w:w="136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JUnit 通过</w:t>
            </w:r>
          </w:p>
        </w:tc>
        <w:tc>
          <w:tcPr>
            <w:tcW w:type="dxa" w:w="5783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已收到回调；固定率 0.0，低于阈值 0.75</w:t>
            </w:r>
          </w:p>
        </w:tc>
      </w:tr>
      <w:tr>
        <w:trPr>
          <w:cantSplit/>
          <w:cantSplit/>
        </w:trPr>
        <w:tc>
          <w:tcPr>
            <w:tcW w:type="dxa" w:w="226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Maven 打包</w:t>
            </w:r>
          </w:p>
        </w:tc>
        <w:tc>
          <w:tcPr>
            <w:tcW w:type="dxa" w:w="136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通过</w:t>
            </w:r>
          </w:p>
        </w:tc>
        <w:tc>
          <w:tcPr>
            <w:tcW w:type="dxa" w:w="5783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生成可执行 Spring Boot JAR，资源清单完整</w:t>
            </w:r>
          </w:p>
        </w:tc>
      </w:tr>
      <w:tr>
        <w:trPr>
          <w:cantSplit/>
          <w:cantSplit/>
        </w:trPr>
        <w:tc>
          <w:tcPr>
            <w:tcW w:type="dxa" w:w="226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默认测试命令</w:t>
            </w:r>
          </w:p>
        </w:tc>
        <w:tc>
          <w:tcPr>
            <w:tcW w:type="dxa" w:w="136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通过</w:t>
            </w:r>
          </w:p>
        </w:tc>
        <w:tc>
          <w:tcPr>
            <w:tcW w:type="dxa" w:w="5783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正常本机权限下 ./mvnw clean test 为 BUILD SUCCESS</w:t>
            </w:r>
          </w:p>
        </w:tc>
      </w:tr>
    </w:tbl>
    <w:p>
      <w:pPr>
        <w:spacing w:after="0"/>
      </w:pP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3. 发布判定</w:t>
      </w:r>
    </w:p>
    <w:p>
      <w:pPr>
        <w:spacing w:line="300" w:lineRule="auto" w:after="70"/>
      </w:pPr>
      <w:r>
        <w:rPr>
          <w:rFonts w:ascii="Arial Unicode MS" w:hAnsi="Arial Unicode MS" w:eastAsia="Arial Unicode MS"/>
          <w:b w:val="0"/>
          <w:color w:val="24313A"/>
          <w:sz w:val="21"/>
        </w:rPr>
        <w:t>本轮在正常本机权限下执行标准测试命令，3 项 JUnit 全部通过，testMonitor 已进入原生监测链路并收到 MonitorData 回调，可证明 Java/JNA 封装和当前数据调用链可运行。但回调返回 fixedRate=0.0、solStatus=Float，errMsg 为 fix-rate less 0.75，未达到配置的最小固定率 0.75。因此本轮维持“条件通过”，不能作为监测质量或结果精度验收通过依据。</w:t>
      </w:r>
    </w:p>
    <w:p>
      <w:pPr>
        <w:pStyle w:val="Heading1"/>
        <w:pageBreakBefore/>
        <w:spacing w:before="160" w:after="100"/>
        <w:keepNext/>
        <w:keepLines/>
        <w:widowControl/>
      </w:pPr>
      <w:r>
        <w:rPr>
          <w:rFonts w:ascii="Arial Unicode MS" w:hAnsi="Arial Unicode MS" w:eastAsia="Arial Unicode MS"/>
          <w:b/>
          <w:color w:val="24313A"/>
          <w:sz w:val="36"/>
        </w:rPr>
        <w:t>二、测试环境与范围</w:t>
      </w: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1. 环境基线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rHeight w:val="425"/>
          <w:tblHeader w:val="true"/>
          <w:cantSplit/>
        </w:trPr>
        <w:tc>
          <w:tcPr>
            <w:tcW w:type="dxa" w:w="1928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005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版本/值</w:t>
            </w:r>
          </w:p>
        </w:tc>
        <w:tc>
          <w:tcPr>
            <w:tcW w:type="dxa" w:w="4479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备注</w:t>
            </w:r>
          </w:p>
        </w:tc>
      </w:tr>
      <w:tr>
        <w:trPr>
          <w:cantSplit/>
          <w:cantSplit/>
        </w:trPr>
        <w:tc>
          <w:tcPr>
            <w:tcW w:type="dxa" w:w="192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操作系统</w:t>
            </w:r>
          </w:p>
        </w:tc>
        <w:tc>
          <w:tcPr>
            <w:tcW w:type="dxa" w:w="300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macOS 26.5.2 arm64</w:t>
            </w:r>
          </w:p>
        </w:tc>
        <w:tc>
          <w:tcPr>
            <w:tcW w:type="dxa" w:w="4479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Apple Silicon</w:t>
            </w:r>
          </w:p>
        </w:tc>
      </w:tr>
      <w:tr>
        <w:trPr>
          <w:cantSplit/>
          <w:cantSplit/>
        </w:trPr>
        <w:tc>
          <w:tcPr>
            <w:tcW w:type="dxa" w:w="192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Java 运行时</w:t>
            </w:r>
          </w:p>
        </w:tc>
        <w:tc>
          <w:tcPr>
            <w:tcW w:type="dxa" w:w="300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Oracle JDK 21.0.9 LTS</w:t>
            </w:r>
          </w:p>
        </w:tc>
        <w:tc>
          <w:tcPr>
            <w:tcW w:type="dxa" w:w="4479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项目编译 release 为 20</w:t>
            </w:r>
          </w:p>
        </w:tc>
      </w:tr>
      <w:tr>
        <w:trPr>
          <w:cantSplit/>
          <w:cantSplit/>
        </w:trPr>
        <w:tc>
          <w:tcPr>
            <w:tcW w:type="dxa" w:w="192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Maven</w:t>
            </w:r>
          </w:p>
        </w:tc>
        <w:tc>
          <w:tcPr>
            <w:tcW w:type="dxa" w:w="300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3.9.16</w:t>
            </w:r>
          </w:p>
        </w:tc>
        <w:tc>
          <w:tcPr>
            <w:tcW w:type="dxa" w:w="4479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Maven Wrapper</w:t>
            </w:r>
          </w:p>
        </w:tc>
      </w:tr>
      <w:tr>
        <w:trPr>
          <w:cantSplit/>
          <w:cantSplit/>
        </w:trPr>
        <w:tc>
          <w:tcPr>
            <w:tcW w:type="dxa" w:w="192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Spring Boot</w:t>
            </w:r>
          </w:p>
        </w:tc>
        <w:tc>
          <w:tcPr>
            <w:tcW w:type="dxa" w:w="300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3.2.4</w:t>
            </w:r>
          </w:p>
        </w:tc>
        <w:tc>
          <w:tcPr>
            <w:tcW w:type="dxa" w:w="4479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父 POM 与依赖管理</w:t>
            </w:r>
          </w:p>
        </w:tc>
      </w:tr>
      <w:tr>
        <w:trPr>
          <w:cantSplit/>
          <w:cantSplit/>
        </w:trPr>
        <w:tc>
          <w:tcPr>
            <w:tcW w:type="dxa" w:w="192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JNA</w:t>
            </w:r>
          </w:p>
        </w:tc>
        <w:tc>
          <w:tcPr>
            <w:tcW w:type="dxa" w:w="300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5.12.1</w:t>
            </w:r>
          </w:p>
        </w:tc>
        <w:tc>
          <w:tcPr>
            <w:tcW w:type="dxa" w:w="4479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jna 与 jna-platform</w:t>
            </w:r>
          </w:p>
        </w:tc>
      </w:tr>
      <w:tr>
        <w:trPr>
          <w:cantSplit/>
          <w:cantSplit/>
        </w:trPr>
        <w:tc>
          <w:tcPr>
            <w:tcW w:type="dxa" w:w="192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Surefire</w:t>
            </w:r>
          </w:p>
        </w:tc>
        <w:tc>
          <w:tcPr>
            <w:tcW w:type="dxa" w:w="300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3.1.2</w:t>
            </w:r>
          </w:p>
        </w:tc>
        <w:tc>
          <w:tcPr>
            <w:tcW w:type="dxa" w:w="4479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JUnit Platform Provider</w:t>
            </w:r>
          </w:p>
        </w:tc>
      </w:tr>
      <w:tr>
        <w:trPr>
          <w:cantSplit/>
          <w:cantSplit/>
        </w:trPr>
        <w:tc>
          <w:tcPr>
            <w:tcW w:type="dxa" w:w="192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SDK</w:t>
            </w:r>
          </w:p>
        </w:tc>
        <w:tc>
          <w:tcPr>
            <w:tcW w:type="dxa" w:w="300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1.0.0</w:t>
            </w:r>
          </w:p>
        </w:tc>
        <w:tc>
          <w:tcPr>
            <w:tcW w:type="dxa" w:w="4479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com.navfirst:dmonitor-java-lib</w:t>
            </w:r>
          </w:p>
        </w:tc>
      </w:tr>
      <w:tr>
        <w:trPr>
          <w:cantSplit/>
          <w:cantSplit/>
        </w:trPr>
        <w:tc>
          <w:tcPr>
            <w:tcW w:type="dxa" w:w="192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原生运行时</w:t>
            </w:r>
          </w:p>
        </w:tc>
        <w:tc>
          <w:tcPr>
            <w:tcW w:type="dxa" w:w="300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2.0.6.8</w:t>
            </w:r>
          </w:p>
        </w:tc>
        <w:tc>
          <w:tcPr>
            <w:tcW w:type="dxa" w:w="4479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getGVersion() 实测返回</w:t>
            </w:r>
          </w:p>
        </w:tc>
      </w:tr>
      <w:tr>
        <w:trPr>
          <w:cantSplit/>
          <w:cantSplit/>
        </w:trPr>
        <w:tc>
          <w:tcPr>
            <w:tcW w:type="dxa" w:w="192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Git 基线</w:t>
            </w:r>
          </w:p>
        </w:tc>
        <w:tc>
          <w:tcPr>
            <w:tcW w:type="dxa" w:w="300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3b8136f</w:t>
            </w:r>
          </w:p>
        </w:tc>
        <w:tc>
          <w:tcPr>
            <w:tcW w:type="dxa" w:w="4479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报告生成时 HEAD</w:t>
            </w:r>
          </w:p>
        </w:tc>
      </w:tr>
    </w:tbl>
    <w:p>
      <w:pPr>
        <w:spacing w:after="0"/>
      </w:pP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2. 测试对象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Spring Boot 自动配置与 MonitorService 注入。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MonitorLibrary 通过 JNA 加载 darwin-aarch64/libDMonitor.dylib。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getGVersion() 与 getUuid() 原生基础接口。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testMonitor 对输入文件和 license 完成前置检查，并实际调用 startMonitor 获取解算回调。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Maven 编译、Spring Boot 重打包和三平台原生资源入包。</w:t>
      </w: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3. 测试夹具状态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rHeight w:val="425"/>
          <w:tblHeader w:val="true"/>
          <w:cantSplit/>
        </w:trPr>
        <w:tc>
          <w:tcPr>
            <w:tcW w:type="dxa" w:w="2381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测试夹具</w:t>
            </w:r>
          </w:p>
        </w:tc>
        <w:tc>
          <w:tcPr>
            <w:tcW w:type="dxa" w:w="1134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5896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路径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BRDC 输入</w:t>
            </w:r>
          </w:p>
        </w:tc>
        <w:tc>
          <w:tcPr>
            <w:tcW w:type="dxa" w:w="113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可读（250039 字节）</w:t>
            </w:r>
          </w:p>
        </w:tc>
        <w:tc>
          <w:tcPr>
            <w:tcW w:type="dxa" w:w="5896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/Users/wfu/Downloads/GSSK01.2026210binRTCM3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监测站 RTCM3</w:t>
            </w:r>
          </w:p>
        </w:tc>
        <w:tc>
          <w:tcPr>
            <w:tcW w:type="dxa" w:w="113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可用（250039 字节）</w:t>
            </w:r>
          </w:p>
        </w:tc>
        <w:tc>
          <w:tcPr>
            <w:tcW w:type="dxa" w:w="5896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/Users/wfu/Downloads/GSSK01.2026210binRTCM3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基准站 RTCM3</w:t>
            </w:r>
          </w:p>
        </w:tc>
        <w:tc>
          <w:tcPr>
            <w:tcW w:type="dxa" w:w="113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可用（与监测站相同）</w:t>
            </w:r>
          </w:p>
        </w:tc>
        <w:tc>
          <w:tcPr>
            <w:tcW w:type="dxa" w:w="5896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/Users/wfu/Downloads/GSSK01.2026210binRTCM3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license.lic</w:t>
            </w:r>
          </w:p>
        </w:tc>
        <w:tc>
          <w:tcPr>
            <w:tcW w:type="dxa" w:w="113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可用（342 字节）</w:t>
            </w:r>
          </w:p>
        </w:tc>
        <w:tc>
          <w:tcPr>
            <w:tcW w:type="dxa" w:w="5896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/Users/wfu/Downloads/license.lic</w:t>
            </w:r>
          </w:p>
        </w:tc>
      </w:tr>
    </w:tbl>
    <w:p>
      <w:pPr>
        <w:spacing w:after="0"/>
      </w:pPr>
    </w:p>
    <w:p>
      <w:pPr>
        <w:pStyle w:val="Heading1"/>
        <w:pageBreakBefore/>
        <w:spacing w:before="160" w:after="100"/>
        <w:keepNext/>
        <w:keepLines/>
        <w:widowControl/>
      </w:pPr>
      <w:r>
        <w:rPr>
          <w:rFonts w:ascii="Arial Unicode MS" w:hAnsi="Arial Unicode MS" w:eastAsia="Arial Unicode MS"/>
          <w:b/>
          <w:color w:val="24313A"/>
          <w:sz w:val="36"/>
        </w:rPr>
        <w:t>三、测试方法与执行记录</w:t>
      </w: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1. 标准测试执行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cantSplit/>
        </w:trPr>
        <w:tc>
          <w:tcPr>
            <w:tcW w:type="dxa" w:w="9694"/>
            <w:shd w:fill="F4F6F7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4" w:color="D9E0E4"/>
              <w:left w:val="single" w:sz="4" w:color="D9E0E4"/>
              <w:bottom w:val="single" w:sz="4" w:color="D9E0E4"/>
              <w:right w:val="single" w:sz="4" w:color="D9E0E4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33434D"/>
                <w:sz w:val="17"/>
              </w:rPr>
              <w:t>./mvnw clean test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694"/>
            <w:shd w:fill="EAF4EF"/>
            <w:tcMar>
              <w:top w:w="130" w:type="dxa"/>
              <w:start w:w="160" w:type="dxa"/>
              <w:bottom w:w="130" w:type="dxa"/>
              <w:end w:w="160" w:type="dxa"/>
            </w:tcMar>
            <w:tcBorders>
              <w:left w:val="single" w:sz="22" w:color="2E7D5B"/>
            </w:tcBorders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2E7D5B"/>
                <w:sz w:val="20"/>
              </w:rPr>
              <w:t xml:space="preserve">结果：通过  </w:t>
            </w:r>
            <w:r>
              <w:rPr>
                <w:rFonts w:ascii="Arial Unicode MS" w:hAnsi="Arial Unicode MS" w:eastAsia="Arial Unicode MS"/>
                <w:b w:val="0"/>
                <w:color w:val="24313A"/>
                <w:sz w:val="20"/>
              </w:rPr>
              <w:t>Tests run: 3, Failures: 0, Errors: 0, Skipped: 0；testMonitor 实际执行并收到回调，Maven BUILD SUCCESS。</w:t>
            </w:r>
          </w:p>
        </w:tc>
      </w:tr>
    </w:tbl>
    <w:p>
      <w:pPr>
        <w:spacing w:after="0"/>
      </w:pP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2. 业务结果复核</w:t>
      </w:r>
    </w:p>
    <w:p>
      <w:pPr>
        <w:spacing w:line="300" w:lineRule="auto" w:after="70"/>
      </w:pPr>
      <w:r>
        <w:rPr>
          <w:rFonts w:ascii="Arial Unicode MS" w:hAnsi="Arial Unicode MS" w:eastAsia="Arial Unicode MS"/>
          <w:b w:val="0"/>
          <w:color w:val="24313A"/>
          <w:sz w:val="21"/>
        </w:rPr>
        <w:t>复测在正常本机权限下使用同一条 ./mvnw clean test 完成，无需添加 Mockito 配置或修改工程源码。testMonitor 已传入三组 250039 字节数据并收到 MonitorData 回调，业务字段通过日志进行观察性核验。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cantSplit/>
        </w:trPr>
        <w:tc>
          <w:tcPr>
            <w:tcW w:type="dxa" w:w="9694"/>
            <w:shd w:fill="F4F6F7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4" w:color="D9E0E4"/>
              <w:left w:val="single" w:sz="4" w:color="D9E0E4"/>
              <w:bottom w:val="single" w:sz="4" w:color="D9E0E4"/>
              <w:right w:val="single" w:sz="4" w:color="D9E0E4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33434D"/>
                <w:sz w:val="17"/>
              </w:rPr>
              <w:t>日志复核：startMonitor 输入、原生输出与 MonitorData 回调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694"/>
            <w:shd w:fill="FFF4E5"/>
            <w:tcMar>
              <w:top w:w="130" w:type="dxa"/>
              <w:start w:w="160" w:type="dxa"/>
              <w:bottom w:w="130" w:type="dxa"/>
              <w:end w:w="160" w:type="dxa"/>
            </w:tcMar>
            <w:tcBorders>
              <w:left w:val="single" w:sz="22" w:color="B66B16"/>
            </w:tcBorders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B66B16"/>
                <w:sz w:val="20"/>
              </w:rPr>
              <w:t xml:space="preserve">复核结果：业务告警  </w:t>
            </w:r>
            <w:r>
              <w:rPr>
                <w:rFonts w:ascii="Arial Unicode MS" w:hAnsi="Arial Unicode MS" w:eastAsia="Arial Unicode MS"/>
                <w:b w:val="0"/>
                <w:color w:val="24313A"/>
                <w:sz w:val="20"/>
              </w:rPr>
              <w:t>回调成功；fileStatus=0、navStatus=0、历元率 0.9958，但 solStatus=Float、fixedRate=0.0，errMsg=fix-rate less 0.75。</w:t>
            </w:r>
          </w:p>
        </w:tc>
      </w:tr>
    </w:tbl>
    <w:p>
      <w:pPr>
        <w:spacing w:after="0"/>
      </w:pP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3. 打包验证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cantSplit/>
        </w:trPr>
        <w:tc>
          <w:tcPr>
            <w:tcW w:type="dxa" w:w="9694"/>
            <w:shd w:fill="F4F6F7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4" w:color="D9E0E4"/>
              <w:left w:val="single" w:sz="4" w:color="D9E0E4"/>
              <w:bottom w:val="single" w:sz="4" w:color="D9E0E4"/>
              <w:right w:val="single" w:sz="4" w:color="D9E0E4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33434D"/>
                <w:sz w:val="17"/>
              </w:rPr>
              <w:t>./mvnw -DskipTests package</w:t>
            </w:r>
          </w:p>
        </w:tc>
      </w:tr>
    </w:tbl>
    <w:p>
      <w:pPr>
        <w:spacing w:after="0"/>
      </w:pPr>
    </w:p>
    <w:p>
      <w:pPr>
        <w:spacing w:line="300" w:lineRule="auto" w:after="70"/>
      </w:pPr>
      <w:r>
        <w:rPr>
          <w:rFonts w:ascii="Arial Unicode MS" w:hAnsi="Arial Unicode MS" w:eastAsia="Arial Unicode MS"/>
          <w:b w:val="0"/>
          <w:color w:val="24313A"/>
          <w:sz w:val="21"/>
        </w:rPr>
        <w:t>结果为 BUILD SUCCESS，生成 target/dmonitor-java-lib-1.0.0.jar。制品约 21 MB，三平台原生库均已入包，SHA-256 已重新记录。</w:t>
      </w: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4. 判定规则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rHeight w:val="425"/>
          <w:tblHeader w:val="true"/>
          <w:cantSplit/>
        </w:trPr>
        <w:tc>
          <w:tcPr>
            <w:tcW w:type="dxa" w:w="1757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7654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定义</w:t>
            </w:r>
          </w:p>
        </w:tc>
      </w:tr>
      <w:tr>
        <w:trPr>
          <w:cantSplit/>
          <w:cantSplit/>
        </w:trPr>
        <w:tc>
          <w:tcPr>
            <w:tcW w:type="dxa" w:w="175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JUnit 通过</w:t>
            </w:r>
          </w:p>
        </w:tc>
        <w:tc>
          <w:tcPr>
            <w:tcW w:type="dxa" w:w="765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测试方法实际执行且无失败/错误；业务结果仍需独立判定。</w:t>
            </w:r>
          </w:p>
        </w:tc>
      </w:tr>
      <w:tr>
        <w:trPr>
          <w:cantSplit/>
          <w:cantSplit/>
        </w:trPr>
        <w:tc>
          <w:tcPr>
            <w:tcW w:type="dxa" w:w="175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业务告警</w:t>
            </w:r>
          </w:p>
        </w:tc>
        <w:tc>
          <w:tcPr>
            <w:tcW w:type="dxa" w:w="765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方法无异常结束并获得回调，但结果未满足明确质量阈值。</w:t>
            </w:r>
          </w:p>
        </w:tc>
      </w:tr>
      <w:tr>
        <w:trPr>
          <w:cantSplit/>
          <w:cantSplit/>
        </w:trPr>
        <w:tc>
          <w:tcPr>
            <w:tcW w:type="dxa" w:w="175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环境阻塞</w:t>
            </w:r>
          </w:p>
        </w:tc>
        <w:tc>
          <w:tcPr>
            <w:tcW w:type="dxa" w:w="765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测试框架受限环境问题阻止用例执行，不作为本机标准结果。</w:t>
            </w:r>
          </w:p>
        </w:tc>
      </w:tr>
      <w:tr>
        <w:trPr>
          <w:cantSplit/>
          <w:cantSplit/>
        </w:trPr>
        <w:tc>
          <w:tcPr>
            <w:tcW w:type="dxa" w:w="175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条件通过</w:t>
            </w:r>
          </w:p>
        </w:tc>
        <w:tc>
          <w:tcPr>
            <w:tcW w:type="dxa" w:w="765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JUnit 与构建通过，但关键业务质量条件仍未满足。</w:t>
            </w:r>
          </w:p>
        </w:tc>
      </w:tr>
    </w:tbl>
    <w:p>
      <w:pPr>
        <w:spacing w:after="0"/>
      </w:pPr>
    </w:p>
    <w:p>
      <w:pPr>
        <w:pStyle w:val="Heading1"/>
        <w:pageBreakBefore/>
        <w:spacing w:before="160" w:after="100"/>
        <w:keepNext/>
        <w:keepLines/>
        <w:widowControl/>
      </w:pPr>
      <w:r>
        <w:rPr>
          <w:rFonts w:ascii="Arial Unicode MS" w:hAnsi="Arial Unicode MS" w:eastAsia="Arial Unicode MS"/>
          <w:b/>
          <w:color w:val="24313A"/>
          <w:sz w:val="36"/>
        </w:rPr>
        <w:t>四、用例与结果明细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rPr>
          <w:trHeight w:val="425"/>
          <w:tblHeader w:val="true"/>
          <w:cantSplit/>
        </w:trPr>
        <w:tc>
          <w:tcPr>
            <w:tcW w:type="dxa" w:w="1361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2041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目的</w:t>
            </w:r>
          </w:p>
        </w:tc>
        <w:tc>
          <w:tcPr>
            <w:tcW w:type="dxa" w:w="1020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1020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耗时</w:t>
            </w:r>
          </w:p>
        </w:tc>
        <w:tc>
          <w:tcPr>
            <w:tcW w:type="dxa" w:w="3969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实测证据</w:t>
            </w:r>
          </w:p>
        </w:tc>
      </w:tr>
      <w:tr>
        <w:trPr>
          <w:cantSplit/>
          <w:cantSplit/>
        </w:trPr>
        <w:tc>
          <w:tcPr>
            <w:tcW w:type="dxa" w:w="136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testUUid</w:t>
            </w:r>
          </w:p>
        </w:tc>
        <w:tc>
          <w:tcPr>
            <w:tcW w:type="dxa" w:w="204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验证原生机器标识接口</w:t>
            </w:r>
          </w:p>
        </w:tc>
        <w:tc>
          <w:tcPr>
            <w:tcW w:type="dxa" w:w="1020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通过</w:t>
            </w:r>
          </w:p>
        </w:tc>
        <w:tc>
          <w:tcPr>
            <w:tcW w:type="dxa" w:w="1020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0.548 s</w:t>
            </w:r>
          </w:p>
        </w:tc>
        <w:tc>
          <w:tcPr>
            <w:tcW w:type="dxa" w:w="3969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返回非空：4EB3948D-****-****-****-5D582F139CE5</w:t>
            </w:r>
          </w:p>
        </w:tc>
      </w:tr>
      <w:tr>
        <w:trPr>
          <w:cantSplit/>
          <w:cantSplit/>
        </w:trPr>
        <w:tc>
          <w:tcPr>
            <w:tcW w:type="dxa" w:w="136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testVersion</w:t>
            </w:r>
          </w:p>
        </w:tc>
        <w:tc>
          <w:tcPr>
            <w:tcW w:type="dxa" w:w="204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验证原生版本接口</w:t>
            </w:r>
          </w:p>
        </w:tc>
        <w:tc>
          <w:tcPr>
            <w:tcW w:type="dxa" w:w="1020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通过</w:t>
            </w:r>
          </w:p>
        </w:tc>
        <w:tc>
          <w:tcPr>
            <w:tcW w:type="dxa" w:w="1020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0.001 s</w:t>
            </w:r>
          </w:p>
        </w:tc>
        <w:tc>
          <w:tcPr>
            <w:tcW w:type="dxa" w:w="3969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算法版本：2.0.6.8</w:t>
            </w:r>
          </w:p>
        </w:tc>
      </w:tr>
      <w:tr>
        <w:trPr>
          <w:cantSplit/>
          <w:cantSplit/>
        </w:trPr>
        <w:tc>
          <w:tcPr>
            <w:tcW w:type="dxa" w:w="136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testMonitor</w:t>
            </w:r>
          </w:p>
        </w:tc>
        <w:tc>
          <w:tcPr>
            <w:tcW w:type="dxa" w:w="204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执行 GNSS 监测解算</w:t>
            </w:r>
          </w:p>
        </w:tc>
        <w:tc>
          <w:tcPr>
            <w:tcW w:type="dxa" w:w="1020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JUnit 通过</w:t>
            </w:r>
          </w:p>
        </w:tc>
        <w:tc>
          <w:tcPr>
            <w:tcW w:type="dxa" w:w="1020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0.589 s</w:t>
            </w:r>
          </w:p>
        </w:tc>
        <w:tc>
          <w:tcPr>
            <w:tcW w:type="dxa" w:w="3969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回调成功；Float，fixedRate 0.0，errMsg=fix-rate less 0.75</w:t>
            </w:r>
          </w:p>
        </w:tc>
      </w:tr>
    </w:tbl>
    <w:p>
      <w:pPr>
        <w:spacing w:after="0"/>
      </w:pP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1. 通过项说明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SpringBootTest 能发现 DmonitorJavaLibApplication 并完成应用上下文启动。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JNA 能在 macOS arm64 上找到并加载 libDMonitor.dylib。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getUuid() 跨越 Java/JNA/原生边界返回机器标识，未出现 UnsatisfiedLinkError 或崩溃。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getGVersion() 返回 2.0.6.8，与原生库实际运行结果一致。</w:t>
      </w: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2. 监测结果说明</w:t>
      </w:r>
    </w:p>
    <w:p>
      <w:pPr>
        <w:spacing w:line="300" w:lineRule="auto" w:after="70"/>
      </w:pPr>
      <w:r>
        <w:rPr>
          <w:rFonts w:ascii="Arial Unicode MS" w:hAnsi="Arial Unicode MS" w:eastAsia="Arial Unicode MS"/>
          <w:b w:val="0"/>
          <w:color w:val="24313A"/>
          <w:sz w:val="21"/>
        </w:rPr>
        <w:t>testMonitor 实际调用 monitorService.startMonitor(...) 并收到 GSSK01 回调。文件状态和星历状态均为正常，rover/base 历元率均为 0.9958，观测历元数均为 239；但解状态为 Float，fixedRate 为 0.0，低于 minFixedRate=0.75，原生层与 MonitorData.errMsg 均返回 fix-rate less 0.75。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694"/>
            <w:shd w:fill="FFF4E5"/>
            <w:tcMar>
              <w:top w:w="130" w:type="dxa"/>
              <w:start w:w="160" w:type="dxa"/>
              <w:bottom w:w="130" w:type="dxa"/>
              <w:end w:w="160" w:type="dxa"/>
            </w:tcMar>
            <w:tcBorders>
              <w:left w:val="single" w:sz="22" w:color="B66B16"/>
            </w:tcBorders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B66B16"/>
                <w:sz w:val="20"/>
              </w:rPr>
              <w:t xml:space="preserve">重要  </w:t>
            </w:r>
            <w:r>
              <w:rPr>
                <w:rFonts w:ascii="Arial Unicode MS" w:hAnsi="Arial Unicode MS" w:eastAsia="Arial Unicode MS"/>
                <w:b w:val="0"/>
                <w:color w:val="24313A"/>
                <w:sz w:val="20"/>
              </w:rPr>
              <w:t>JUnit 通过不等于监测质量达标。本轮已证明核心链路可执行，但仍需断言回调存在、errMsg 为空且 fixedRate 不低于 0.75。</w:t>
            </w:r>
          </w:p>
        </w:tc>
      </w:tr>
    </w:tbl>
    <w:p>
      <w:pPr>
        <w:spacing w:after="0"/>
      </w:pP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3. 断言有效性</w:t>
      </w:r>
    </w:p>
    <w:p>
      <w:pPr>
        <w:spacing w:line="300" w:lineRule="auto" w:after="70"/>
      </w:pPr>
      <w:r>
        <w:rPr>
          <w:rFonts w:ascii="Arial Unicode MS" w:hAnsi="Arial Unicode MS" w:eastAsia="Arial Unicode MS"/>
          <w:b w:val="0"/>
          <w:color w:val="24313A"/>
          <w:sz w:val="21"/>
        </w:rPr>
        <w:t>3 个 @Test 方法均未使用 assert 系列断言。testVersion 和 testUUid 仅记录返回值，testMonitor 也未断言回调发生、errMsg 为空或 fixedRate 达标。本报告根据日志进行观察性核验，但当前自动化门禁仍可能把业务告警显示为绿色。</w:t>
      </w:r>
    </w:p>
    <w:p>
      <w:pPr>
        <w:pStyle w:val="Heading1"/>
        <w:pageBreakBefore/>
        <w:spacing w:before="160" w:after="100"/>
        <w:keepNext/>
        <w:keepLines/>
        <w:widowControl/>
      </w:pPr>
      <w:r>
        <w:rPr>
          <w:rFonts w:ascii="Arial Unicode MS" w:hAnsi="Arial Unicode MS" w:eastAsia="Arial Unicode MS"/>
          <w:b/>
          <w:color w:val="24313A"/>
          <w:sz w:val="36"/>
        </w:rPr>
        <w:t>五、构建与制品验证</w:t>
      </w: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1. 编译与打包结果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rHeight w:val="425"/>
          <w:tblHeader w:val="true"/>
          <w:cantSplit/>
        </w:trPr>
        <w:tc>
          <w:tcPr>
            <w:tcW w:type="dxa" w:w="2324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191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5896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证据</w:t>
            </w:r>
          </w:p>
        </w:tc>
      </w:tr>
      <w:tr>
        <w:trPr>
          <w:cantSplit/>
          <w:cantSplit/>
        </w:trPr>
        <w:tc>
          <w:tcPr>
            <w:tcW w:type="dxa" w:w="232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主代码编译</w:t>
            </w:r>
          </w:p>
        </w:tc>
        <w:tc>
          <w:tcPr>
            <w:tcW w:type="dxa" w:w="119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通过</w:t>
            </w:r>
          </w:p>
        </w:tc>
        <w:tc>
          <w:tcPr>
            <w:tcW w:type="dxa" w:w="5896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18 个 Java 源文件，javac --release 20</w:t>
            </w:r>
          </w:p>
        </w:tc>
      </w:tr>
      <w:tr>
        <w:trPr>
          <w:cantSplit/>
          <w:cantSplit/>
        </w:trPr>
        <w:tc>
          <w:tcPr>
            <w:tcW w:type="dxa" w:w="232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测试代码编译</w:t>
            </w:r>
          </w:p>
        </w:tc>
        <w:tc>
          <w:tcPr>
            <w:tcW w:type="dxa" w:w="119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通过</w:t>
            </w:r>
          </w:p>
        </w:tc>
        <w:tc>
          <w:tcPr>
            <w:tcW w:type="dxa" w:w="5896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1 个测试源文件</w:t>
            </w:r>
          </w:p>
        </w:tc>
      </w:tr>
      <w:tr>
        <w:trPr>
          <w:cantSplit/>
          <w:cantSplit/>
        </w:trPr>
        <w:tc>
          <w:tcPr>
            <w:tcW w:type="dxa" w:w="232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Spring Boot 重打包</w:t>
            </w:r>
          </w:p>
        </w:tc>
        <w:tc>
          <w:tcPr>
            <w:tcW w:type="dxa" w:w="119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通过</w:t>
            </w:r>
          </w:p>
        </w:tc>
        <w:tc>
          <w:tcPr>
            <w:tcW w:type="dxa" w:w="5896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生成可执行 JAR，Main-Class 为 JarLauncher</w:t>
            </w:r>
          </w:p>
        </w:tc>
      </w:tr>
      <w:tr>
        <w:trPr>
          <w:cantSplit/>
          <w:cantSplit/>
        </w:trPr>
        <w:tc>
          <w:tcPr>
            <w:tcW w:type="dxa" w:w="232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制品大小</w:t>
            </w:r>
          </w:p>
        </w:tc>
        <w:tc>
          <w:tcPr>
            <w:tcW w:type="dxa" w:w="119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通过</w:t>
            </w:r>
          </w:p>
        </w:tc>
        <w:tc>
          <w:tcPr>
            <w:tcW w:type="dxa" w:w="5896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dmonitor-java-lib-1.0.0.jar，约 21 MB</w:t>
            </w:r>
          </w:p>
        </w:tc>
      </w:tr>
      <w:tr>
        <w:trPr>
          <w:cantSplit/>
          <w:cantSplit/>
        </w:trPr>
        <w:tc>
          <w:tcPr>
            <w:tcW w:type="dxa" w:w="232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SHA-256</w:t>
            </w:r>
          </w:p>
        </w:tc>
        <w:tc>
          <w:tcPr>
            <w:tcW w:type="dxa" w:w="119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记录</w:t>
            </w:r>
          </w:p>
        </w:tc>
        <w:tc>
          <w:tcPr>
            <w:tcW w:type="dxa" w:w="5896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1f628672160902383defee525e52869d8d4cb93899041fb494d74000fccc1dc9</w:t>
            </w:r>
          </w:p>
        </w:tc>
      </w:tr>
    </w:tbl>
    <w:p>
      <w:pPr>
        <w:spacing w:after="0"/>
      </w:pP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2. 原生资源入包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rHeight w:val="425"/>
          <w:tblHeader w:val="true"/>
          <w:cantSplit/>
        </w:trPr>
        <w:tc>
          <w:tcPr>
            <w:tcW w:type="dxa" w:w="1928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平台</w:t>
            </w:r>
          </w:p>
        </w:tc>
        <w:tc>
          <w:tcPr>
            <w:tcW w:type="dxa" w:w="3855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资源</w:t>
            </w:r>
          </w:p>
        </w:tc>
        <w:tc>
          <w:tcPr>
            <w:tcW w:type="dxa" w:w="3628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静态检查</w:t>
            </w:r>
          </w:p>
        </w:tc>
      </w:tr>
      <w:tr>
        <w:trPr>
          <w:cantSplit/>
          <w:cantSplit/>
        </w:trPr>
        <w:tc>
          <w:tcPr>
            <w:tcW w:type="dxa" w:w="192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macOS arm64</w:t>
            </w:r>
          </w:p>
        </w:tc>
        <w:tc>
          <w:tcPr>
            <w:tcW w:type="dxa" w:w="385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darwin-aarch64/libDMonitor.dylib</w:t>
            </w:r>
          </w:p>
        </w:tc>
        <w:tc>
          <w:tcPr>
            <w:tcW w:type="dxa" w:w="362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Mach-O 64-bit arm64；本机已加载</w:t>
            </w:r>
          </w:p>
        </w:tc>
      </w:tr>
      <w:tr>
        <w:trPr>
          <w:cantSplit/>
          <w:cantSplit/>
        </w:trPr>
        <w:tc>
          <w:tcPr>
            <w:tcW w:type="dxa" w:w="192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Linux arm64</w:t>
            </w:r>
          </w:p>
        </w:tc>
        <w:tc>
          <w:tcPr>
            <w:tcW w:type="dxa" w:w="385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linux-aarch64/libDMonitor.so</w:t>
            </w:r>
          </w:p>
        </w:tc>
        <w:tc>
          <w:tcPr>
            <w:tcW w:type="dxa" w:w="362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ELF 64-bit ARM aarch64；已入包</w:t>
            </w:r>
          </w:p>
        </w:tc>
      </w:tr>
      <w:tr>
        <w:trPr>
          <w:cantSplit/>
          <w:cantSplit/>
        </w:trPr>
        <w:tc>
          <w:tcPr>
            <w:tcW w:type="dxa" w:w="192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Linux x86-64</w:t>
            </w:r>
          </w:p>
        </w:tc>
        <w:tc>
          <w:tcPr>
            <w:tcW w:type="dxa" w:w="385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linux-x86-64/libDMonitor.so</w:t>
            </w:r>
          </w:p>
        </w:tc>
        <w:tc>
          <w:tcPr>
            <w:tcW w:type="dxa" w:w="362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ELF 64-bit x86-64；已入包</w:t>
            </w:r>
          </w:p>
        </w:tc>
      </w:tr>
    </w:tbl>
    <w:p>
      <w:pPr>
        <w:spacing w:after="0"/>
      </w:pP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3. macOS 动态依赖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CoreFoundation.framework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/usr/lib/libSystem.B.dylib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/usr/lib/libresolv.9.dylib</w:t>
      </w:r>
    </w:p>
    <w:p>
      <w:pPr>
        <w:spacing w:line="300" w:lineRule="auto" w:after="70"/>
      </w:pPr>
      <w:r>
        <w:rPr>
          <w:rFonts w:ascii="Arial Unicode MS" w:hAnsi="Arial Unicode MS" w:eastAsia="Arial Unicode MS"/>
          <w:b w:val="0"/>
          <w:color w:val="24313A"/>
          <w:sz w:val="21"/>
        </w:rPr>
        <w:t>以上依赖均为系统组件。本轮未在 Linux 主机实际加载两套 .so，因此 Linux 仅完成文件类型与入包检查，不构成运行时兼容性结论。</w:t>
      </w: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4. Surefire 通道告警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694"/>
            <w:shd w:fill="FFF4E5"/>
            <w:tcMar>
              <w:top w:w="130" w:type="dxa"/>
              <w:start w:w="160" w:type="dxa"/>
              <w:bottom w:w="130" w:type="dxa"/>
              <w:end w:w="160" w:type="dxa"/>
            </w:tcMar>
            <w:tcBorders>
              <w:left w:val="single" w:sz="22" w:color="B66B16"/>
            </w:tcBorders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B66B16"/>
                <w:sz w:val="20"/>
              </w:rPr>
              <w:t xml:space="preserve">非阻断告警  </w:t>
            </w:r>
            <w:r>
              <w:rPr>
                <w:rFonts w:ascii="Arial Unicode MS" w:hAnsi="Arial Unicode MS" w:eastAsia="Arial Unicode MS"/>
                <w:b w:val="0"/>
                <w:color w:val="24313A"/>
                <w:sz w:val="20"/>
              </w:rPr>
              <w:t>原生库直接向 forked JVM 原生输出流写入 monitor stream info、data 和 solbuf，Surefire 记录 Corrupted channel 警告并生成 dumpstream。测试仍成功，但可能污染 CI 日志或报告协议。</w:t>
            </w:r>
          </w:p>
        </w:tc>
      </w:tr>
    </w:tbl>
    <w:p>
      <w:pPr>
        <w:spacing w:after="0"/>
      </w:pPr>
    </w:p>
    <w:p>
      <w:pPr>
        <w:pStyle w:val="Heading1"/>
        <w:pageBreakBefore/>
        <w:spacing w:before="160" w:after="100"/>
        <w:keepNext/>
        <w:keepLines/>
        <w:widowControl/>
      </w:pPr>
      <w:r>
        <w:rPr>
          <w:rFonts w:ascii="Arial Unicode MS" w:hAnsi="Arial Unicode MS" w:eastAsia="Arial Unicode MS"/>
          <w:b/>
          <w:color w:val="24313A"/>
          <w:sz w:val="36"/>
        </w:rPr>
        <w:t>六、问题与风险清单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rPr>
          <w:trHeight w:val="425"/>
          <w:tblHeader w:val="true"/>
          <w:cantSplit/>
        </w:trPr>
        <w:tc>
          <w:tcPr>
            <w:tcW w:type="dxa" w:w="907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680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2268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891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2665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建议</w:t>
            </w:r>
          </w:p>
        </w:tc>
      </w:tr>
      <w:tr>
        <w:trPr>
          <w:cantSplit/>
          <w:cantSplit/>
        </w:trPr>
        <w:tc>
          <w:tcPr>
            <w:tcW w:type="dxa" w:w="90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TST-001</w:t>
            </w:r>
          </w:p>
        </w:tc>
        <w:tc>
          <w:tcPr>
            <w:tcW w:type="dxa" w:w="680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P1</w:t>
            </w:r>
          </w:p>
        </w:tc>
        <w:tc>
          <w:tcPr>
            <w:tcW w:type="dxa" w:w="226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监测结果未达到固定率阈值</w:t>
            </w:r>
          </w:p>
        </w:tc>
        <w:tc>
          <w:tcPr>
            <w:tcW w:type="dxa" w:w="289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fixedRate=0.0，errMsg=fix-rate less 0.75，不能作为质量验收通过依据</w:t>
            </w:r>
          </w:p>
        </w:tc>
        <w:tc>
          <w:tcPr>
            <w:tcW w:type="dxa" w:w="266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使用满足场景的独立 rover/base 与广播星历数据，断言固定率和 errMsg</w:t>
            </w:r>
          </w:p>
        </w:tc>
      </w:tr>
      <w:tr>
        <w:trPr>
          <w:cantSplit/>
          <w:cantSplit/>
        </w:trPr>
        <w:tc>
          <w:tcPr>
            <w:tcW w:type="dxa" w:w="90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TST-002</w:t>
            </w:r>
          </w:p>
        </w:tc>
        <w:tc>
          <w:tcPr>
            <w:tcW w:type="dxa" w:w="680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P2</w:t>
            </w:r>
          </w:p>
        </w:tc>
        <w:tc>
          <w:tcPr>
            <w:tcW w:type="dxa" w:w="226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三路输入使用同一份 RTCM 文件</w:t>
            </w:r>
          </w:p>
        </w:tc>
        <w:tc>
          <w:tcPr>
            <w:tcW w:type="dxa" w:w="289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无法代表独立监测站、基准站和广播星历的真实组合</w:t>
            </w:r>
          </w:p>
        </w:tc>
        <w:tc>
          <w:tcPr>
            <w:tcW w:type="dxa" w:w="266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分别配置受控 rover、base 和 BRDC 测试夹具</w:t>
            </w:r>
          </w:p>
        </w:tc>
      </w:tr>
      <w:tr>
        <w:trPr>
          <w:cantSplit/>
          <w:cantSplit/>
        </w:trPr>
        <w:tc>
          <w:tcPr>
            <w:tcW w:type="dxa" w:w="90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TST-003</w:t>
            </w:r>
          </w:p>
        </w:tc>
        <w:tc>
          <w:tcPr>
            <w:tcW w:type="dxa" w:w="680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P2</w:t>
            </w:r>
          </w:p>
        </w:tc>
        <w:tc>
          <w:tcPr>
            <w:tcW w:type="dxa" w:w="226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版本与 UUID 用例无断言</w:t>
            </w:r>
          </w:p>
        </w:tc>
        <w:tc>
          <w:tcPr>
            <w:tcW w:type="dxa" w:w="289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空值或异常格式可能被误判为通过</w:t>
            </w:r>
          </w:p>
        </w:tc>
        <w:tc>
          <w:tcPr>
            <w:tcW w:type="dxa" w:w="266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增加 assertNotBlank、格式和版本约束</w:t>
            </w:r>
          </w:p>
        </w:tc>
      </w:tr>
      <w:tr>
        <w:trPr>
          <w:cantSplit/>
          <w:cantSplit/>
        </w:trPr>
        <w:tc>
          <w:tcPr>
            <w:tcW w:type="dxa" w:w="90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TST-004</w:t>
            </w:r>
          </w:p>
        </w:tc>
        <w:tc>
          <w:tcPr>
            <w:tcW w:type="dxa" w:w="680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P2</w:t>
            </w:r>
          </w:p>
        </w:tc>
        <w:tc>
          <w:tcPr>
            <w:tcW w:type="dxa" w:w="226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核心 Java 逻辑缺少单元测试</w:t>
            </w:r>
          </w:p>
        </w:tc>
        <w:tc>
          <w:tcPr>
            <w:tcW w:type="dxa" w:w="289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边界输入、结果拆分和结构转换回归风险高</w:t>
            </w:r>
          </w:p>
        </w:tc>
        <w:tc>
          <w:tcPr>
            <w:tcW w:type="dxa" w:w="266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为 MonitorServiceImpl、TimeUtils、MonitorDataServiceImpl 建立隔离测试</w:t>
            </w:r>
          </w:p>
        </w:tc>
      </w:tr>
      <w:tr>
        <w:trPr>
          <w:cantSplit/>
          <w:cantSplit/>
        </w:trPr>
        <w:tc>
          <w:tcPr>
            <w:tcW w:type="dxa" w:w="90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TST-005</w:t>
            </w:r>
          </w:p>
        </w:tc>
        <w:tc>
          <w:tcPr>
            <w:tcW w:type="dxa" w:w="680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P2</w:t>
            </w:r>
          </w:p>
        </w:tc>
        <w:tc>
          <w:tcPr>
            <w:tcW w:type="dxa" w:w="226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无覆盖率统计和阈值</w:t>
            </w:r>
          </w:p>
        </w:tc>
        <w:tc>
          <w:tcPr>
            <w:tcW w:type="dxa" w:w="289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无法量化回归保护范围</w:t>
            </w:r>
          </w:p>
        </w:tc>
        <w:tc>
          <w:tcPr>
            <w:tcW w:type="dxa" w:w="266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接入 JaCoCo，并设置行/分支覆盖率门槛</w:t>
            </w:r>
          </w:p>
        </w:tc>
      </w:tr>
      <w:tr>
        <w:trPr>
          <w:cantSplit/>
          <w:cantSplit/>
        </w:trPr>
        <w:tc>
          <w:tcPr>
            <w:tcW w:type="dxa" w:w="90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TST-006</w:t>
            </w:r>
          </w:p>
        </w:tc>
        <w:tc>
          <w:tcPr>
            <w:tcW w:type="dxa" w:w="680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P3</w:t>
            </w:r>
          </w:p>
        </w:tc>
        <w:tc>
          <w:tcPr>
            <w:tcW w:type="dxa" w:w="226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原生输出破坏 Surefire 通道</w:t>
            </w:r>
          </w:p>
        </w:tc>
        <w:tc>
          <w:tcPr>
            <w:tcW w:type="dxa" w:w="2891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CI 日志出现告警与 dumpstream</w:t>
            </w:r>
          </w:p>
        </w:tc>
        <w:tc>
          <w:tcPr>
            <w:tcW w:type="dxa" w:w="266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将原生日志路由到规范日志接口或标准错误流</w:t>
            </w:r>
          </w:p>
        </w:tc>
      </w:tr>
    </w:tbl>
    <w:p>
      <w:pPr>
        <w:spacing w:after="0"/>
      </w:pP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风险评级说明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rHeight w:val="425"/>
          <w:tblHeader w:val="true"/>
          <w:cantSplit/>
        </w:trPr>
        <w:tc>
          <w:tcPr>
            <w:tcW w:type="dxa" w:w="1247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8164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  <w:cantSplit/>
        </w:trPr>
        <w:tc>
          <w:tcPr>
            <w:tcW w:type="dxa" w:w="124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P1</w:t>
            </w:r>
          </w:p>
        </w:tc>
        <w:tc>
          <w:tcPr>
            <w:tcW w:type="dxa" w:w="816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阻止完整功能验收或发布结论，需要优先关闭。</w:t>
            </w:r>
          </w:p>
        </w:tc>
      </w:tr>
      <w:tr>
        <w:trPr>
          <w:cantSplit/>
          <w:cantSplit/>
        </w:trPr>
        <w:tc>
          <w:tcPr>
            <w:tcW w:type="dxa" w:w="124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P2</w:t>
            </w:r>
          </w:p>
        </w:tc>
        <w:tc>
          <w:tcPr>
            <w:tcW w:type="dxa" w:w="816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显著影响测试可靠性、可重复性或回归防护。</w:t>
            </w:r>
          </w:p>
        </w:tc>
      </w:tr>
      <w:tr>
        <w:trPr>
          <w:cantSplit/>
          <w:cantSplit/>
        </w:trPr>
        <w:tc>
          <w:tcPr>
            <w:tcW w:type="dxa" w:w="124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P3</w:t>
            </w:r>
          </w:p>
        </w:tc>
        <w:tc>
          <w:tcPr>
            <w:tcW w:type="dxa" w:w="816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非阻断质量问题，建议在后续迭代修复。</w:t>
            </w:r>
          </w:p>
        </w:tc>
      </w:tr>
    </w:tbl>
    <w:p>
      <w:pPr>
        <w:spacing w:after="0"/>
      </w:pPr>
    </w:p>
    <w:p>
      <w:pPr>
        <w:pStyle w:val="Heading1"/>
        <w:pageBreakBefore/>
        <w:spacing w:before="160" w:after="100"/>
        <w:keepNext/>
        <w:keepLines/>
        <w:widowControl/>
      </w:pPr>
      <w:r>
        <w:rPr>
          <w:rFonts w:ascii="Arial Unicode MS" w:hAnsi="Arial Unicode MS" w:eastAsia="Arial Unicode MS"/>
          <w:b/>
          <w:color w:val="24313A"/>
          <w:sz w:val="36"/>
        </w:rPr>
        <w:t>七、覆盖分析与发布建议</w:t>
      </w: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1. 已覆盖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rHeight w:val="425"/>
          <w:tblHeader w:val="true"/>
          <w:cantSplit/>
        </w:trPr>
        <w:tc>
          <w:tcPr>
            <w:tcW w:type="dxa" w:w="1417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4535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覆盖内容</w:t>
            </w:r>
          </w:p>
        </w:tc>
        <w:tc>
          <w:tcPr>
            <w:tcW w:type="dxa" w:w="3458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证据</w:t>
            </w:r>
          </w:p>
        </w:tc>
      </w:tr>
      <w:tr>
        <w:trPr>
          <w:cantSplit/>
          <w:cantSplit/>
        </w:trPr>
        <w:tc>
          <w:tcPr>
            <w:tcW w:type="dxa" w:w="141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构建</w:t>
            </w:r>
          </w:p>
        </w:tc>
        <w:tc>
          <w:tcPr>
            <w:tcW w:type="dxa" w:w="453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Java 20 编译、测试编译、Boot 重打包</w:t>
            </w:r>
          </w:p>
        </w:tc>
        <w:tc>
          <w:tcPr>
            <w:tcW w:type="dxa" w:w="345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Maven BUILD SUCCESS</w:t>
            </w:r>
          </w:p>
        </w:tc>
      </w:tr>
      <w:tr>
        <w:trPr>
          <w:cantSplit/>
          <w:cantSplit/>
        </w:trPr>
        <w:tc>
          <w:tcPr>
            <w:tcW w:type="dxa" w:w="141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框架</w:t>
            </w:r>
          </w:p>
        </w:tc>
        <w:tc>
          <w:tcPr>
            <w:tcW w:type="dxa" w:w="453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Spring Boot 上下文、服务注入</w:t>
            </w:r>
          </w:p>
        </w:tc>
        <w:tc>
          <w:tcPr>
            <w:tcW w:type="dxa" w:w="345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测试上下文启动成功</w:t>
            </w:r>
          </w:p>
        </w:tc>
      </w:tr>
      <w:tr>
        <w:trPr>
          <w:cantSplit/>
          <w:cantSplit/>
        </w:trPr>
        <w:tc>
          <w:tcPr>
            <w:tcW w:type="dxa" w:w="141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JNA</w:t>
            </w:r>
          </w:p>
        </w:tc>
        <w:tc>
          <w:tcPr>
            <w:tcW w:type="dxa" w:w="453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macOS arm64 原生库加载</w:t>
            </w:r>
          </w:p>
        </w:tc>
        <w:tc>
          <w:tcPr>
            <w:tcW w:type="dxa" w:w="345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版本与 UUID 原生调用成功</w:t>
            </w:r>
          </w:p>
        </w:tc>
      </w:tr>
      <w:tr>
        <w:trPr>
          <w:cantSplit/>
          <w:cantSplit/>
        </w:trPr>
        <w:tc>
          <w:tcPr>
            <w:tcW w:type="dxa" w:w="141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监测链路</w:t>
            </w:r>
          </w:p>
        </w:tc>
        <w:tc>
          <w:tcPr>
            <w:tcW w:type="dxa" w:w="453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startMonitor、原生解算与回调解析</w:t>
            </w:r>
          </w:p>
        </w:tc>
        <w:tc>
          <w:tcPr>
            <w:tcW w:type="dxa" w:w="345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testMonitor 已执行并收到 MonitorData</w:t>
            </w:r>
          </w:p>
        </w:tc>
      </w:tr>
      <w:tr>
        <w:trPr>
          <w:cantSplit/>
          <w:cantSplit/>
        </w:trPr>
        <w:tc>
          <w:tcPr>
            <w:tcW w:type="dxa" w:w="1417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制品</w:t>
            </w:r>
          </w:p>
        </w:tc>
        <w:tc>
          <w:tcPr>
            <w:tcW w:type="dxa" w:w="453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三平台原生资源与核心类入包</w:t>
            </w:r>
          </w:p>
        </w:tc>
        <w:tc>
          <w:tcPr>
            <w:tcW w:type="dxa" w:w="3458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JAR 内容检查</w:t>
            </w:r>
          </w:p>
        </w:tc>
      </w:tr>
    </w:tbl>
    <w:p>
      <w:pPr>
        <w:spacing w:after="0"/>
      </w:pP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2. 未覆盖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独立 rover/base 与正确广播星历数据下，fixedRate 达到 0.75 以上且 errMsg 为空的成功结果。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MonitorTask 为空、rover/base 字节为空时的异常断言。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时间格式边界、navSys 聚合、BDS 开关与广播星历零结尾处理。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多条回调、回调缺失、字段解析边界及不同错误信息映射。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并发调用、长时运行、内存占用、native memory 生命周期和稳定性。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Linux arm64、Linux x86-64 的实际原生加载与算法执行。</w:t>
      </w:r>
    </w:p>
    <w:p>
      <w:pPr>
        <w:pStyle w:val="ListBullet"/>
        <w:spacing w:after="40" w:line="276" w:lineRule="auto"/>
        <w:ind w:left="312" w:hanging="142"/>
      </w:pPr>
      <w:r>
        <w:rPr>
          <w:rFonts w:ascii="Arial Unicode MS" w:hAnsi="Arial Unicode MS" w:eastAsia="Arial Unicode MS"/>
          <w:b w:val="0"/>
          <w:color w:val="24313A"/>
          <w:sz w:val="20"/>
        </w:rPr>
        <w:t>代码覆盖率、性能基线和结果精度基准。</w:t>
      </w: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3. 发布前建议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rHeight w:val="425"/>
          <w:tblHeader w:val="true"/>
          <w:cantSplit/>
        </w:trPr>
        <w:tc>
          <w:tcPr>
            <w:tcW w:type="dxa" w:w="1134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3685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行动</w:t>
            </w:r>
          </w:p>
        </w:tc>
        <w:tc>
          <w:tcPr>
            <w:tcW w:type="dxa" w:w="4592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完成标准</w:t>
            </w:r>
          </w:p>
        </w:tc>
      </w:tr>
      <w:tr>
        <w:trPr>
          <w:cantSplit/>
          <w:cantSplit/>
        </w:trPr>
        <w:tc>
          <w:tcPr>
            <w:tcW w:type="dxa" w:w="113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必须</w:t>
            </w:r>
          </w:p>
        </w:tc>
        <w:tc>
          <w:tcPr>
            <w:tcW w:type="dxa" w:w="368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更换独立 rover/base 与正确 BRDC 数据</w:t>
            </w:r>
          </w:p>
        </w:tc>
        <w:tc>
          <w:tcPr>
            <w:tcW w:type="dxa" w:w="4592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回调 errMsg 为空且 fixedRate 不低于 0.75</w:t>
            </w:r>
          </w:p>
        </w:tc>
      </w:tr>
      <w:tr>
        <w:trPr>
          <w:cantSplit/>
          <w:cantSplit/>
        </w:trPr>
        <w:tc>
          <w:tcPr>
            <w:tcW w:type="dxa" w:w="113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必须</w:t>
            </w:r>
          </w:p>
        </w:tc>
        <w:tc>
          <w:tcPr>
            <w:tcW w:type="dxa" w:w="368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补充业务断言并消除硬编码路径</w:t>
            </w:r>
          </w:p>
        </w:tc>
        <w:tc>
          <w:tcPr>
            <w:tcW w:type="dxa" w:w="4592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标准命令自动验证回调、阈值和可配置夹具</w:t>
            </w:r>
          </w:p>
        </w:tc>
      </w:tr>
      <w:tr>
        <w:trPr>
          <w:cantSplit/>
          <w:cantSplit/>
        </w:trPr>
        <w:tc>
          <w:tcPr>
            <w:tcW w:type="dxa" w:w="113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高</w:t>
            </w:r>
          </w:p>
        </w:tc>
        <w:tc>
          <w:tcPr>
            <w:tcW w:type="dxa" w:w="368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补充单元测试和断言</w:t>
            </w:r>
          </w:p>
        </w:tc>
        <w:tc>
          <w:tcPr>
            <w:tcW w:type="dxa" w:w="4592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关键转换、校验、解析和回调均有正反例</w:t>
            </w:r>
          </w:p>
        </w:tc>
      </w:tr>
      <w:tr>
        <w:trPr>
          <w:cantSplit/>
          <w:cantSplit/>
        </w:trPr>
        <w:tc>
          <w:tcPr>
            <w:tcW w:type="dxa" w:w="113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高</w:t>
            </w:r>
          </w:p>
        </w:tc>
        <w:tc>
          <w:tcPr>
            <w:tcW w:type="dxa" w:w="368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接入覆盖率门禁</w:t>
            </w:r>
          </w:p>
        </w:tc>
        <w:tc>
          <w:tcPr>
            <w:tcW w:type="dxa" w:w="4592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报告可追溯，阈值由团队基线确定</w:t>
            </w:r>
          </w:p>
        </w:tc>
      </w:tr>
      <w:tr>
        <w:trPr>
          <w:cantSplit/>
          <w:cantSplit/>
        </w:trPr>
        <w:tc>
          <w:tcPr>
            <w:tcW w:type="dxa" w:w="1134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中</w:t>
            </w:r>
          </w:p>
        </w:tc>
        <w:tc>
          <w:tcPr>
            <w:tcW w:type="dxa" w:w="368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增加 Linux CI 矩阵</w:t>
            </w:r>
          </w:p>
        </w:tc>
        <w:tc>
          <w:tcPr>
            <w:tcW w:type="dxa" w:w="4592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两种 Linux 架构至少完成原生加载与版本接口验证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694"/>
            <w:shd w:fill="EAF3F7"/>
            <w:tcMar>
              <w:top w:w="130" w:type="dxa"/>
              <w:start w:w="160" w:type="dxa"/>
              <w:bottom w:w="130" w:type="dxa"/>
              <w:end w:w="160" w:type="dxa"/>
            </w:tcMar>
            <w:tcBorders>
              <w:left w:val="single" w:sz="22" w:color="1F6F8B"/>
            </w:tcBorders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F6F8B"/>
                <w:sz w:val="20"/>
              </w:rPr>
              <w:t xml:space="preserve">建议发布门禁  </w:t>
            </w:r>
            <w:r>
              <w:rPr>
                <w:rFonts w:ascii="Arial Unicode MS" w:hAnsi="Arial Unicode MS" w:eastAsia="Arial Unicode MS"/>
                <w:b w:val="0"/>
                <w:color w:val="24313A"/>
                <w:sz w:val="20"/>
              </w:rPr>
              <w:t>本轮标准测试和核心调用链已通过；在使用独立有效夹具获得 errMsg 为空、fixedRate 达标的结果，并补充自动断言前，维持“条件通过”。</w:t>
            </w:r>
          </w:p>
        </w:tc>
      </w:tr>
    </w:tbl>
    <w:p>
      <w:pPr>
        <w:spacing w:after="0"/>
      </w:pPr>
    </w:p>
    <w:p>
      <w:pPr>
        <w:pStyle w:val="Heading1"/>
        <w:spacing w:before="160" w:after="100"/>
        <w:keepNext/>
        <w:keepLines/>
        <w:widowControl/>
      </w:pPr>
      <w:r>
        <w:rPr>
          <w:rFonts w:ascii="Arial Unicode MS" w:hAnsi="Arial Unicode MS" w:eastAsia="Arial Unicode MS"/>
          <w:b/>
          <w:color w:val="24313A"/>
          <w:sz w:val="36"/>
        </w:rPr>
        <w:t>附录 A：测试证据摘要</w:t>
      </w: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A.1 Surefire 汇总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cantSplit/>
        </w:trPr>
        <w:tc>
          <w:tcPr>
            <w:tcW w:type="dxa" w:w="9694"/>
            <w:shd w:fill="F4F6F7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4" w:color="D9E0E4"/>
              <w:left w:val="single" w:sz="4" w:color="D9E0E4"/>
              <w:bottom w:val="single" w:sz="4" w:color="D9E0E4"/>
              <w:right w:val="single" w:sz="4" w:color="D9E0E4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33434D"/>
                <w:sz w:val="17"/>
              </w:rPr>
              <w:t>Tests run: 3, Failures: 0, Errors: 0, Skipped: 0</w:t>
              <w:br/>
              <w:t>BUILD SUCCESS</w:t>
              <w:br/>
              <w:t>Time elapsed: 2.927 s</w:t>
              <w:br/>
              <w:t>Finished at: 2026-07-29 14:21:00 +08:00</w:t>
            </w:r>
          </w:p>
        </w:tc>
      </w:tr>
    </w:tbl>
    <w:p>
      <w:pPr>
        <w:spacing w:after="0"/>
      </w:pP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A.2 关键输出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cantSplit/>
        </w:trPr>
        <w:tc>
          <w:tcPr>
            <w:tcW w:type="dxa" w:w="9694"/>
            <w:shd w:fill="F4F6F7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4" w:color="D9E0E4"/>
              <w:left w:val="single" w:sz="4" w:color="D9E0E4"/>
              <w:bottom w:val="single" w:sz="4" w:color="D9E0E4"/>
              <w:right w:val="single" w:sz="4" w:color="D9E0E4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33434D"/>
                <w:sz w:val="17"/>
              </w:rPr>
              <w:t>Spring context: Started in 1.580 seconds</w:t>
              <w:br/>
              <w:t>Native version: 2.0.6.8</w:t>
              <w:br/>
              <w:t>Machine UUID: 4EB3948D-****-****-****-5D582F139CE5</w:t>
              <w:br/>
              <w:t>Monitor callback: Float | fixedRate: 0.0 | errMsg: fix-rate less 0.75</w:t>
            </w:r>
          </w:p>
        </w:tc>
      </w:tr>
    </w:tbl>
    <w:p>
      <w:pPr>
        <w:spacing w:after="0"/>
      </w:pP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A.3 执行命令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cantSplit/>
        </w:trPr>
        <w:tc>
          <w:tcPr>
            <w:tcW w:type="dxa" w:w="9694"/>
            <w:shd w:fill="F4F6F7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4" w:color="D9E0E4"/>
              <w:left w:val="single" w:sz="4" w:color="D9E0E4"/>
              <w:bottom w:val="single" w:sz="4" w:color="D9E0E4"/>
              <w:right w:val="single" w:sz="4" w:color="D9E0E4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33434D"/>
                <w:sz w:val="17"/>
              </w:rPr>
              <w:t># 标准全量测试</w:t>
              <w:br/>
              <w:t>./mvnw clean test</w:t>
              <w:br/>
              <w:br/>
              <w:t># 打包验证</w:t>
              <w:br/>
              <w:t>./mvnw -DskipTests package</w:t>
            </w:r>
          </w:p>
        </w:tc>
      </w:tr>
    </w:tbl>
    <w:p>
      <w:pPr>
        <w:spacing w:after="0"/>
      </w:pPr>
    </w:p>
    <w:p>
      <w:pPr>
        <w:pStyle w:val="Heading2"/>
        <w:spacing w:before="100" w:after="60"/>
        <w:keepNext/>
        <w:keepLines/>
        <w:widowControl/>
      </w:pPr>
      <w:r>
        <w:rPr>
          <w:rFonts w:ascii="Arial Unicode MS" w:hAnsi="Arial Unicode MS" w:eastAsia="Arial Unicode MS"/>
          <w:b/>
          <w:color w:val="1F6F8B"/>
          <w:sz w:val="26"/>
        </w:rPr>
        <w:t>A.4 证据来源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rHeight w:val="425"/>
          <w:tblHeader w:val="true"/>
          <w:cantSplit/>
        </w:trPr>
        <w:tc>
          <w:tcPr>
            <w:tcW w:type="dxa" w:w="5216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4195"/>
            <w:vAlign w:val="center"/>
            <w:shd w:fill="1F6F8B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1F6F8B"/>
              <w:left w:val="single" w:sz="4" w:color="FFFFFF"/>
              <w:bottom w:val="single" w:sz="4" w:color="1F6F8B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  <w:cantSplit/>
        </w:trPr>
        <w:tc>
          <w:tcPr>
            <w:tcW w:type="dxa" w:w="5216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src/test/java/.../DmonitorJavaLibApplicationTests.java</w:t>
            </w:r>
          </w:p>
        </w:tc>
        <w:tc>
          <w:tcPr>
            <w:tcW w:type="dxa" w:w="419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用例定义与夹具路径</w:t>
            </w:r>
          </w:p>
        </w:tc>
      </w:tr>
      <w:tr>
        <w:trPr>
          <w:cantSplit/>
          <w:cantSplit/>
        </w:trPr>
        <w:tc>
          <w:tcPr>
            <w:tcW w:type="dxa" w:w="5216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target/surefire-reports/TEST-*.xml</w:t>
            </w:r>
          </w:p>
        </w:tc>
        <w:tc>
          <w:tcPr>
            <w:tcW w:type="dxa" w:w="419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测试数、状态、耗时和跳过原因</w:t>
            </w:r>
          </w:p>
        </w:tc>
      </w:tr>
      <w:tr>
        <w:trPr>
          <w:cantSplit/>
          <w:cantSplit/>
        </w:trPr>
        <w:tc>
          <w:tcPr>
            <w:tcW w:type="dxa" w:w="5216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target/surefire-reports/*dumpstream</w:t>
            </w:r>
          </w:p>
        </w:tc>
        <w:tc>
          <w:tcPr>
            <w:tcW w:type="dxa" w:w="419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原生输出通道告警</w:t>
            </w:r>
          </w:p>
        </w:tc>
      </w:tr>
      <w:tr>
        <w:trPr>
          <w:cantSplit/>
          <w:cantSplit/>
        </w:trPr>
        <w:tc>
          <w:tcPr>
            <w:tcW w:type="dxa" w:w="5216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pom.xml</w:t>
            </w:r>
          </w:p>
        </w:tc>
        <w:tc>
          <w:tcPr>
            <w:tcW w:type="dxa" w:w="419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SDK、JDK、Spring Boot 与依赖版本</w:t>
            </w:r>
          </w:p>
        </w:tc>
      </w:tr>
      <w:tr>
        <w:trPr>
          <w:cantSplit/>
          <w:cantSplit/>
        </w:trPr>
        <w:tc>
          <w:tcPr>
            <w:tcW w:type="dxa" w:w="5216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target/dmonitor-java-lib-1.0.0.jar</w:t>
            </w:r>
          </w:p>
        </w:tc>
        <w:tc>
          <w:tcPr>
            <w:tcW w:type="dxa" w:w="419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制品大小、清单和资源入包验证</w:t>
            </w:r>
          </w:p>
        </w:tc>
      </w:tr>
      <w:tr>
        <w:trPr>
          <w:cantSplit/>
          <w:cantSplit/>
        </w:trPr>
        <w:tc>
          <w:tcPr>
            <w:tcW w:type="dxa" w:w="5216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Git HEAD 3b8136f</w:t>
            </w:r>
          </w:p>
        </w:tc>
        <w:tc>
          <w:tcPr>
            <w:tcW w:type="dxa" w:w="419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8FAFB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测试基线</w:t>
            </w:r>
          </w:p>
        </w:tc>
      </w:tr>
      <w:tr>
        <w:trPr>
          <w:cantSplit/>
          <w:cantSplit/>
        </w:trPr>
        <w:tc>
          <w:tcPr>
            <w:tcW w:type="dxa" w:w="5216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报告限制</w:t>
            </w:r>
          </w:p>
        </w:tc>
        <w:tc>
          <w:tcPr>
            <w:tcW w:type="dxa" w:w="4195"/>
            <w:vAlign w:val="center"/>
            <w:tcMar>
              <w:top w:w="82" w:type="dxa"/>
              <w:start w:w="100" w:type="dxa"/>
              <w:bottom w:w="82" w:type="dxa"/>
              <w:end w:w="100" w:type="dxa"/>
            </w:tcMar>
            <w:shd w:fill="FFFFFF"/>
            <w:tcBorders>
              <w:top w:val="single" w:sz="3" w:color="D9E0E4"/>
              <w:left w:val="single" w:sz="3" w:color="D9E0E4"/>
              <w:bottom w:val="single" w:sz="3" w:color="D9E0E4"/>
              <w:right w:val="single" w:sz="3" w:color="D9E0E4"/>
            </w:tcBorders>
          </w:tcPr>
          <w:p>
            <w:pPr>
              <w:spacing w:after="0" w:line="252" w:lineRule="auto"/>
            </w:pPr>
            <w:r>
              <w:rPr>
                <w:rFonts w:ascii="Arial Unicode MS" w:hAnsi="Arial Unicode MS" w:eastAsia="Arial Unicode MS"/>
                <w:b w:val="0"/>
                <w:color w:val="24313A"/>
                <w:sz w:val="17"/>
              </w:rPr>
              <w:t>未计算覆盖率；未获得 fixedRate 达标结果，未执行性能、安全性或 Linux 运行时测试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92" w:right="1077" w:bottom="879" w:left="1077" w:header="425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737C"/>
        <w:sz w:val="17"/>
      </w:rPr>
      <w:t xml:space="preserve">DMonitor Java SDK - 第 </w:t>
      <w:fldChar w:fldCharType="begin"/>
      <w:instrText xml:space="preserve"> PAGE </w:instrText>
      <w:fldChar w:fldCharType="end"/>
    </w:r>
    <w:r>
      <w:rPr>
        <w:rFonts w:ascii="Arial Unicode MS" w:hAnsi="Arial Unicode MS" w:eastAsia="Arial Unicode MS"/>
        <w:b w:val="0"/>
        <w:color w:val="66737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5" w:color="D9E0E4"/>
      </w:pBdr>
    </w:pPr>
    <w:r>
      <w:rPr>
        <w:rFonts w:ascii="Arial Unicode MS" w:hAnsi="Arial Unicode MS" w:eastAsia="Arial Unicode MS"/>
        <w:b w:val="0"/>
        <w:color w:val="66737C"/>
        <w:sz w:val="17"/>
      </w:rPr>
      <w:t>DMonitor Java SDK 测试报告  | 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88" w:lineRule="auto"/>
    </w:pPr>
    <w:rPr>
      <w:rFonts w:ascii="Arial Unicode MS" w:hAnsi="Arial Unicode MS" w:eastAsia="Arial Unicode MS"/>
      <w:color w:val="243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 Unicode MS" w:hAnsi="Arial Unicode MS" w:eastAsia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DMonitor Java SDK 测试报告</dc:title>
  <dc:subject>dmonitor-java-lib v1.0.0 测试结果与风险</dc:subject>
  <dc:creator>Codex</dc:creator>
  <cp:keywords>DMonitor, Java, SDK, 测试报告, JNA</cp:keywords>
  <dc:description>基于 Git 3b8136f 和 2026-07-29 测试执行结果生成</dc:description>
  <cp:lastModifiedBy/>
  <cp:revision>1</cp:revision>
  <dcterms:created xsi:type="dcterms:W3CDTF">2013-12-23T23:15:00Z</dcterms:created>
  <dcterms:modified xsi:type="dcterms:W3CDTF">2013-12-23T23:15:00Z</dcterms:modified>
  <cp:category/>
  <cp:version>1.1</cp:version>
</cp:coreProperties>
</file>