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200"/>
        <w:jc w:val="center"/>
        <w:pBdr>
          <w:bottom w:val="single" w:sz="6" w:space="3" w:color="E0E0E0"/>
        </w:pBdr>
      </w:pPr>
      <w:r>
        <w:rPr>
          <w:rFonts w:ascii="Arial Unicode MS" w:hAnsi="Arial Unicode MS" w:eastAsia="Arial Unicode MS"/>
          <w:b/>
          <w:color w:val="2B2B2B"/>
          <w:sz w:val="48"/>
        </w:rPr>
        <w:t>LMonitor Java SDK集成开发指南</w:t>
      </w:r>
    </w:p>
    <w:p>
      <w:pPr>
        <w:spacing w:after="360"/>
        <w:jc w:val="center"/>
        <w:pBdr>
          <w:bottom w:val="single" w:sz="4" w:space="3" w:color="E8E8E8"/>
        </w:pBdr>
      </w:pPr>
      <w:r>
        <w:t>v1.0.1</w:t>
      </w:r>
    </w:p>
    <w:p>
      <w:pPr>
        <w:pStyle w:val="Heading1"/>
        <w:keepNext/>
        <w:widowControl/>
        <w:pBdr>
          <w:bottom w:val="single" w:sz="6" w:space="3" w:color="E7E7E7"/>
        </w:pBdr>
      </w:pPr>
      <w:r>
        <w:t>文档说明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本指南面向 LMonitor 长基线算法 SDK 的集成人员，说明 Java 公共接口、JNA 结构、输入输出、状态码与排查方法。内容以 lmonitor-java-lib 当前源码及本轮验证为准。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本项目封装的 libLMonitor 原生算法库及其 license 授权范围，以实际交付协议和原生库许可为准。项目中使用的第三方组件遵循各自的开源许可。</w:t>
      </w:r>
    </w:p>
    <w:p>
      <w:pPr>
        <w:widowControl/>
      </w:pPr>
      <w:r>
        <w:t>文档基线：Java SDK 1.0.0，文档修订 2026-09-18，长基线 Go 封装输出已扩展为 30 列。JNA 输入结构仍为 256 字节；当前 macOS 原生库可返回 E/N/U 与 X/Y/Z/B/L/H。完整 Maven 回归 6 项通过，详见 Markdown 测试报告中的 2026-09-18 协议适配复测。</w:t>
      </w:r>
    </w:p>
    <w:p>
      <w:pPr>
        <w:pStyle w:val="Heading1"/>
        <w:keepNext/>
        <w:widowControl/>
        <w:pBdr>
          <w:bottom w:val="single" w:sz="6" w:space="3" w:color="E7E7E7"/>
        </w:pBdr>
      </w:pPr>
      <w:r>
        <w:t>免责声明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本指南按当前源码的实际行为编写，不构成对特定业务适用性、结果精度或持续兼容性的额外保证。调用方应自行核验 RTCM3 数据质量、星历覆盖范围、license 有效性、时间窗口及原生库平台匹配关系。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文档后续可随 SDK 演进更新。接口行为发生变更时，应同时更新版本记录、示例和兼容性说明。</w:t>
      </w:r>
    </w:p>
    <w:p>
      <w:pPr>
        <w:pStyle w:val="Heading1"/>
        <w:keepNext/>
        <w:widowControl/>
        <w:pBdr>
          <w:bottom w:val="single" w:sz="6" w:space="3" w:color="E7E7E7"/>
        </w:pBdr>
      </w:pPr>
      <w:r>
        <w:t>文档修改记录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47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版本</w:t>
            </w:r>
          </w:p>
        </w:tc>
        <w:tc>
          <w:tcPr>
            <w:tcW w:type="dxa" w:w="204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修改日期</w:t>
            </w:r>
          </w:p>
        </w:tc>
        <w:tc>
          <w:tcPr>
            <w:tcW w:type="dxa" w:w="566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描述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v1.0.1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2026-09-18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同步长基线 30 列结果协议，新增 X/Y/Z/B/L/H 与 isMoved 解析和说明；保留 23/24 列兼容。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  <w:pBdr>
          <w:bottom w:val="single" w:sz="6" w:space="3" w:color="E7E7E7"/>
        </w:pBdr>
      </w:pPr>
      <w:r>
        <w:t>一、SDK简介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LMonitor Java SDK 封装 libLMonitor 长基线算法，接收双站 RTCM3、可选广播星历与精密星历，执行监测解算并生成 MonitorData。当前 Java 已提供电离层、对流层、模糊度、频点和预热参数；结果质量需按实际基线与观测条件验证。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SDK 提供两种调用层级：在 Spring Boot 应用中推荐注入 MonitorService；非 Spring 场景可直接使用 MonitorLibrary.INSTANCE 调用原生接口。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41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层级</w:t>
            </w:r>
          </w:p>
        </w:tc>
        <w:tc>
          <w:tcPr>
            <w:tcW w:type="dxa" w:w="192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入口</w:t>
            </w:r>
          </w:p>
        </w:tc>
        <w:tc>
          <w:tcPr>
            <w:tcW w:type="dxa" w:w="226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适用场景</w:t>
            </w:r>
          </w:p>
        </w:tc>
        <w:tc>
          <w:tcPr>
            <w:tcW w:type="dxa" w:w="3515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主要职责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业务服务层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MonitorService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Spring Boot 应用，推荐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校验输入、映射原生结构、调用算法、解析结果并回调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结果解析层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MonitorDataService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自定义结果处理或同步解析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将原生结果文本转换为 MonitorData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原生绑定层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MonitorLibrary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非 Spring 或高级集成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通过 JNA 直接加载并调用 libLMonitor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  <w:pBdr>
          <w:bottom w:val="single" w:sz="6" w:space="3" w:color="E7E7E7"/>
        </w:pBdr>
      </w:pPr>
      <w:r>
        <w:t>二、名词解释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181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名词</w:t>
            </w:r>
          </w:p>
        </w:tc>
        <w:tc>
          <w:tcPr>
            <w:tcW w:type="dxa" w:w="7370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GNSS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全球卫星导航系统的统称。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RTCM3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监测站和基准站输入使用的二进制差分数据格式。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BRDC / RINEX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广播星历数据。当前 Java 包允许不传，传入时会自动补 0 结尾。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Rover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监测站或流动站，映射到 roverBytes、roverName。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Base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基准站，映射到 baseBytes、baseName。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JNA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Java Native Access，用于将 Java 调用映射到 libLMonitor 的 C ABI。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ECEF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地心地固坐标系。baseX、baseY、baseZ 对应基准站 ECEF 坐标。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E / N / U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解算结果的东、北、天方向分量；X / Y / Z 为监测站 ECEF，B / L / H 为 WGS84 大地坐标。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Fixed Rate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固定解比例，对应 minFixedRate 输入和 fixedRate 输出。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navsys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传给原生库的卫星系统聚合值，由 navSys 中的整数项求和得到。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  <w:pBdr>
          <w:bottom w:val="single" w:sz="6" w:space="3" w:color="E7E7E7"/>
        </w:pBdr>
      </w:pPr>
      <w:r>
        <w:t>三、快速开始</w:t>
      </w:r>
    </w:p>
    <w:p>
      <w:pPr>
        <w:pStyle w:val="Heading2"/>
        <w:keepNext/>
        <w:widowControl/>
      </w:pPr>
      <w:r>
        <w:t>1. 准备工作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准备与运行平台及 ABI 匹配的原生库、有效 license、同步双站 RTCM3 和匹配日期的星历。先核验版本与结构布局，再运行小样本并检查解状态、固定率和错误信息。下面示例展示当前 API；有回调不等于精度或质量验收通过。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181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项目</w:t>
            </w:r>
          </w:p>
        </w:tc>
        <w:tc>
          <w:tcPr>
            <w:tcW w:type="dxa" w:w="7370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JDK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20 或以上；工程编译 release 为 20，验证环境使用 Java 21。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Spring Boot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3.2.x；当前 pom.xml 使用 3.2.4。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JNA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5.12.1；由工程依赖提供。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Maven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使用项目自带 Maven Wrapper，或兼容的 Maven 3.x。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license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调用 startMonitor/startLMonitor 时提供有效文件路径。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输入数据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roverBytes 与 baseBytes 必须非空；brdcBytes 可空。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t>2. 支持平台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70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操作系统</w:t>
            </w:r>
          </w:p>
        </w:tc>
        <w:tc>
          <w:tcPr>
            <w:tcW w:type="dxa" w:w="181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架构</w:t>
            </w:r>
          </w:p>
        </w:tc>
        <w:tc>
          <w:tcPr>
            <w:tcW w:type="dxa" w:w="396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工程内置资源</w:t>
            </w:r>
          </w:p>
        </w:tc>
        <w:tc>
          <w:tcPr>
            <w:tcW w:type="dxa" w:w="170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Linux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x86-64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linux-x86-64/libLMonitor.so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已内置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Linux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AArch64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linux-aarch64/libLMonitor.so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已内置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macOS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Apple Silicon / arm64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darwin-aarch64/libLMonitor.dylib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已内置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Windows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未提供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无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当前工程不支持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macOS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Intel x86-64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无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当前工程不支持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>注意：</w:t>
            </w:r>
            <w:r>
              <w:rPr>
                <w:rFonts w:ascii="Arial Unicode MS" w:hAnsi="Arial Unicode MS" w:eastAsia="Arial Unicode MS"/>
                <w:color w:val="333333"/>
                <w:sz w:val="21"/>
              </w:rPr>
              <w:t>JNA 通过 Native.load("LMonitor") 加载原生库。若打包方式或类路径导致自动提取失败，可用 -Djna.library.path=/path/to/native/lib/dir 显式指定目录。</w:t>
            </w:r>
          </w:p>
        </w:tc>
        <w:trPr>
          <w:cantSplit/>
        </w:trPr>
      </w:tr>
    </w:tbl>
    <w:p>
      <w:pPr>
        <w:pStyle w:val="Heading2"/>
        <w:keepNext/>
        <w:widowControl/>
      </w:pPr>
      <w:r>
        <w:t>3. 安装 SDK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Maven 坐标为 com.navfirst:lmonitor-java-lib:1.0.0。默认 package 生成 Spring Boot 可执行 JAR，不能直接作为普通依赖使用。开发联调可关闭 repackage 安装普通 JAR；下例跳过测试仅用于制品准备，不代表解算验收通过。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./mvnw -DskipTests -Dspring-boot.repackage.skip=true clean install</w:t>
            </w:r>
          </w:p>
        </w:tc>
        <w:trPr>
          <w:cantSplit/>
        </w:trPr>
      </w:tr>
    </w:tbl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在调用方项目中加入依赖：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&lt;dependency&gt;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 xml:space="preserve">    &lt;groupId&gt;com.navfirst&lt;/groupId&gt;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 xml:space="preserve">    &lt;artifactId&gt;lmonitor-java-lib&lt;/artifactId&gt;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 xml:space="preserve">    &lt;version&gt;1.0.0&lt;/version&gt;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>&lt;/dependency&gt;</w:t>
            </w:r>
          </w:p>
        </w:tc>
        <w:trPr>
          <w:cantSplit/>
        </w:trPr>
      </w:tr>
    </w:tbl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Spring Boot 3 通过 AutoConfiguration.imports 加载 LmonitorAutoConfiguration，注册 MonitorService 和 MonitorDataService。配置同时使用组件扫描与条件 Bean，自定义替换需在调用方上下文验证，避免重复注册。</w:t>
      </w:r>
    </w:p>
    <w:p>
      <w:pPr>
        <w:pStyle w:val="Heading2"/>
        <w:keepNext/>
        <w:widowControl/>
      </w:pPr>
      <w:r>
        <w:t>4. 接入流程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594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onitor-acces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747474"/>
          <w:sz w:val="17"/>
        </w:rPr>
        <w:t>图 1  MonitorService 推荐接入流程</w:t>
      </w:r>
    </w:p>
    <w:p>
      <w:pPr>
        <w:pStyle w:val="Heading2"/>
        <w:keepNext/>
        <w:widowControl/>
      </w:pPr>
      <w:r>
        <w:t>5. 获取算法版本和机器标识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String nativeVersion = monitorService.getVersion();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>String machineUuid = monitorService.getUuid();</w:t>
            </w:r>
          </w:p>
        </w:tc>
        <w:trPr>
          <w:cantSplit/>
        </w:trPr>
      </w:tr>
    </w:tbl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getVersion() 返回当前平台实际原生版本，本轮为 1.0.0。getUuid() 返回申请设备 license 所需的机器标识。当前 macOS 已完成加载与解算回调验证，其他平台版本和运行能力应各自确认。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>安全：</w:t>
            </w:r>
            <w:r>
              <w:rPr>
                <w:rFonts w:ascii="Arial Unicode MS" w:hAnsi="Arial Unicode MS" w:eastAsia="Arial Unicode MS"/>
                <w:color w:val="333333"/>
                <w:sz w:val="21"/>
              </w:rPr>
              <w:t>机器 UUID 属于设备标识信息。日志、截图和工单中应按项目安全要求处理，不要写入公共代码仓库。</w:t>
            </w:r>
          </w:p>
        </w:tc>
        <w:trPr>
          <w:cantSplit/>
        </w:trPr>
      </w:tr>
    </w:tbl>
    <w:p>
      <w:pPr>
        <w:pStyle w:val="Heading2"/>
        <w:keepNext/>
        <w:widowControl/>
      </w:pPr>
      <w:r>
        <w:t>6. 构建任务并启动解算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>import com.navfirst.lmonitor.lib.domains.MonitorTask;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>import com.navfirst.lmonitor.lib.services.MonitorService;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>import java.nio.file.Files;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>import java.nio.file.Path;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>Path brdcPath = Path.of("/data/BRDM2490.rnx");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>byte[] brdc = Files.isRegularFile(brdcPath)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? Files.readAllBytes(brdcPath)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: null;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>MonitorTask task = MonitorTask.builder()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.rtMode(3)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.timeStart("2026/09/06 00:00:00")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.timeEnd("2026/09/06 01:00:00")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.sample(0)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.vrs(0)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.roverName("PSYCMM0010")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.baseName("PSYCMM129")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.brdcBytes(brdc)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.roverBytes(Files.readAllBytes(Path.of("/data/rover.rtcm3")))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.baseBytes(Files.readAllBytes(Path.of("/data/base.rtcm3")))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.outMode(1)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.minFixedRate(0.75)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.navSys("1,4,8,32")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.bds(1)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.build();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>monitorService.setHandlerData(result -&gt; {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System.out.println("解算结果: " + result);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>});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>monitorService.startMonitor(task, "/data/license.lic");</w:t>
            </w:r>
          </w:p>
        </w:tc>
        <w:trPr>
          <w:cantSplit/>
        </w:trPr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>注意：</w:t>
            </w:r>
            <w:r>
              <w:rPr>
                <w:rFonts w:ascii="Arial Unicode MS" w:hAnsi="Arial Unicode MS" w:eastAsia="Arial Unicode MS"/>
                <w:color w:val="333333"/>
                <w:sz w:val="21"/>
              </w:rPr>
              <w:t>当前 startMonitor() 是同步调用：它在调用线程上执行原生算法，解析完成后再调用已注册的 HandlerDataInterface。耗时任务应由调用方放到受控的后台线程或任务执行器中。</w:t>
            </w:r>
          </w:p>
        </w:tc>
        <w:trPr>
          <w:cantSplit/>
        </w:trPr>
      </w:tr>
    </w:tbl>
    <w:p>
      <w:pPr>
        <w:pStyle w:val="Heading1"/>
        <w:keepNext/>
        <w:widowControl/>
        <w:pBdr>
          <w:bottom w:val="single" w:sz="6" w:space="3" w:color="E7E7E7"/>
        </w:pBdr>
      </w:pPr>
      <w:r>
        <w:t>四、详细接口描述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>注意：</w:t>
            </w:r>
            <w:r>
              <w:rPr>
                <w:rFonts w:ascii="Arial Unicode MS" w:hAnsi="Arial Unicode MS" w:eastAsia="Arial Unicode MS"/>
                <w:color w:val="333333"/>
                <w:sz w:val="21"/>
              </w:rPr>
              <w:t>本章只描述当前工程实际公开的 Java 接口。方法签名与默认行为以源码为准。</w:t>
            </w:r>
          </w:p>
        </w:tc>
        <w:trPr>
          <w:cantSplit/>
        </w:trPr>
      </w:tr>
    </w:tbl>
    <w:p>
      <w:pPr>
        <w:pStyle w:val="Heading2"/>
        <w:keepNext/>
        <w:widowControl/>
      </w:pPr>
      <w:r>
        <w:rPr>
          <w:color w:val="2F75B5"/>
        </w:rPr>
        <w:t>1. 获取原生算法版本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返回当前进程实际加载的 libLMonitor 版本，用于部署核验和问题定位。</w:t>
      </w:r>
    </w:p>
    <w:p>
      <w:pPr>
        <w:pStyle w:val="Heading3"/>
        <w:keepNext/>
        <w:widowControl/>
      </w:pPr>
      <w:r>
        <w:t>1.1 接口定义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String MonitorService.getVersion();</w:t>
            </w:r>
          </w:p>
        </w:tc>
        <w:trPr>
          <w:cantSplit/>
        </w:trPr>
      </w:tr>
    </w:tbl>
    <w:p>
      <w:pPr>
        <w:pStyle w:val="Heading3"/>
        <w:keepNext/>
        <w:widowControl/>
      </w:pPr>
      <w:r>
        <w:t>1.2 参数说明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无。</w:t>
      </w:r>
    </w:p>
    <w:p>
      <w:pPr>
        <w:pStyle w:val="Heading3"/>
        <w:keepNext/>
        <w:widowControl/>
      </w:pPr>
      <w:r>
        <w:t>1.3 返回值说明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226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返回类型</w:t>
            </w:r>
          </w:p>
        </w:tc>
        <w:tc>
          <w:tcPr>
            <w:tcW w:type="dxa" w:w="691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String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原生算法版本字符串；验证环境返回 1.0.0。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color w:val="2F75B5"/>
        </w:rPr>
        <w:t>2. 获取机器唯一标识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获取当前机器标识，通常用于生成或申请设备绑定 license。</w:t>
      </w:r>
    </w:p>
    <w:p>
      <w:pPr>
        <w:pStyle w:val="Heading3"/>
        <w:keepNext/>
        <w:widowControl/>
      </w:pPr>
      <w:r>
        <w:t>2.1 接口定义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String MonitorService.getUuid();</w:t>
            </w:r>
          </w:p>
        </w:tc>
        <w:trPr>
          <w:cantSplit/>
        </w:trPr>
      </w:tr>
    </w:tbl>
    <w:p>
      <w:pPr>
        <w:pStyle w:val="Heading3"/>
        <w:keepNext/>
        <w:widowControl/>
      </w:pPr>
      <w:r>
        <w:t>2.2 参数说明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无。</w:t>
      </w:r>
    </w:p>
    <w:p>
      <w:pPr>
        <w:pStyle w:val="Heading3"/>
        <w:keepNext/>
        <w:widowControl/>
      </w:pPr>
      <w:r>
        <w:t>2.3 返回值说明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226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返回类型</w:t>
            </w:r>
          </w:p>
        </w:tc>
        <w:tc>
          <w:tcPr>
            <w:tcW w:type="dxa" w:w="691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String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当前设备唯一标识。具体格式由原生库决定。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color w:val="2F75B5"/>
        </w:rPr>
        <w:t>3. 注册结果处理器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设置解算结果回调。MonitorService 将其转交给 MonitorDataService 保存。</w:t>
      </w:r>
    </w:p>
    <w:p>
      <w:pPr>
        <w:pStyle w:val="Heading3"/>
        <w:keepNext/>
        <w:widowControl/>
      </w:pPr>
      <w:r>
        <w:t>3.1 接口定义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void MonitorService.setHandlerData(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 xml:space="preserve">        HandlerDataInterface handlerDataInterface);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>@FunctionalInterface // 语义上可用 Lambda，源码未显式标注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>public interface HandlerDataInterface {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 xml:space="preserve">    void handlerData(MonitorData monitorData);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>}</w:t>
            </w:r>
          </w:p>
        </w:tc>
        <w:trPr>
          <w:cantSplit/>
        </w:trPr>
      </w:tr>
    </w:tbl>
    <w:p>
      <w:pPr>
        <w:pStyle w:val="Heading3"/>
        <w:keepNext/>
        <w:widowControl/>
      </w:pPr>
      <w:r>
        <w:t>3.2 参数说明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92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参数名</w:t>
            </w:r>
          </w:p>
        </w:tc>
        <w:tc>
          <w:tcPr>
            <w:tcW w:type="dxa" w:w="1020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必填</w:t>
            </w:r>
          </w:p>
        </w:tc>
        <w:tc>
          <w:tcPr>
            <w:tcW w:type="dxa" w:w="238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参数类型</w:t>
            </w:r>
          </w:p>
        </w:tc>
        <w:tc>
          <w:tcPr>
            <w:tcW w:type="dxa" w:w="3855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handlerDataInterface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建议是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HandlerDataInterface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结果回调；可使用 Lambda。传 null 会清除当前处理器，之后不再回调。</w:t>
            </w:r>
          </w:p>
        </w:tc>
      </w:tr>
    </w:tbl>
    <w:p>
      <w:pPr>
        <w:spacing w:after="0"/>
      </w:pPr>
    </w:p>
    <w:p>
      <w:pPr>
        <w:pStyle w:val="Heading3"/>
        <w:keepNext/>
        <w:widowControl/>
      </w:pPr>
      <w:r>
        <w:t>3.3 线程与实例行为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默认 MonitorDataService 是 Spring 单例，内部只保存一个 handlerDataInterface；后一次注册会覆盖前一次。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回调在 startMonitor() 的调用线程中执行，SDK 未创建专用回调线程。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回调异常不会被 SDK 捕获，会继续向调用方传播。</w:t>
      </w:r>
    </w:p>
    <w:p>
      <w:pPr>
        <w:pStyle w:val="Heading2"/>
        <w:keepNext/>
        <w:widowControl/>
      </w:pPr>
      <w:r>
        <w:rPr>
          <w:color w:val="2F75B5"/>
        </w:rPr>
        <w:t>4. 启动监测解算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校验输入数据、构建 JNA 结构、调用 libLMonitor，并将原生返回结果转换为 MonitorData 后执行回调。</w:t>
      </w:r>
    </w:p>
    <w:p>
      <w:pPr>
        <w:pStyle w:val="Heading3"/>
        <w:keepNext/>
        <w:widowControl/>
      </w:pPr>
      <w:r>
        <w:t>4.1 接口定义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void MonitorService.startMonitor(MonitorTask monitorTask, String license);</w:t>
            </w:r>
          </w:p>
        </w:tc>
        <w:trPr>
          <w:cantSplit/>
        </w:trPr>
      </w:tr>
    </w:tbl>
    <w:p>
      <w:pPr>
        <w:pStyle w:val="Heading3"/>
        <w:keepNext/>
        <w:widowControl/>
      </w:pPr>
      <w:r>
        <w:t>4.2 参数说明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81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参数名</w:t>
            </w:r>
          </w:p>
        </w:tc>
        <w:tc>
          <w:tcPr>
            <w:tcW w:type="dxa" w:w="124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必填</w:t>
            </w:r>
          </w:p>
        </w:tc>
        <w:tc>
          <w:tcPr>
            <w:tcW w:type="dxa" w:w="181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参数类型</w:t>
            </w:r>
          </w:p>
        </w:tc>
        <w:tc>
          <w:tcPr>
            <w:tcW w:type="dxa" w:w="430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monitorTask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是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MonitorTask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监测任务。对象本身、roverBytes、baseBytes 会在 Java 层校验。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license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业务必填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String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license 文件路径。Java 层不校验空值或文件存在性，结果由原生库决定。</w:t>
            </w:r>
          </w:p>
        </w:tc>
      </w:tr>
    </w:tbl>
    <w:p>
      <w:pPr>
        <w:spacing w:after="0"/>
      </w:pPr>
    </w:p>
    <w:p>
      <w:pPr>
        <w:pStyle w:val="Heading3"/>
        <w:keepNext/>
        <w:widowControl/>
      </w:pPr>
      <w:r>
        <w:t>4.3 返回值说明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无直接返回值。原生结果通过 HandlerDataInterface 回调。未注册回调时，算法仍会执行，但结构化结果不会交给业务方。</w:t>
      </w:r>
    </w:p>
    <w:p>
      <w:pPr>
        <w:pStyle w:val="Heading3"/>
        <w:keepNext/>
        <w:widowControl/>
      </w:pPr>
      <w:r>
        <w:t>4.4 异常与边界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2835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场景</w:t>
            </w:r>
          </w:p>
        </w:tc>
        <w:tc>
          <w:tcPr>
            <w:tcW w:type="dxa" w:w="6350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行为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monitorTask 为 null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抛出 RtkconvException，消息为“监测任务不能为空”。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roverBytes 为 null 或空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抛出 RtkconvException，消息为“监测站数据流不能为空”。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baseBytes 为 null 或空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抛出 RtkconvException，消息为“基准站数据流不能为空”。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时间格式不支持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TimeUtils.parseEpoch() 抛出 IllegalArgumentException。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navSys 含非整数项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整数解析失败并抛出 NumberFormatException。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原生返回空数据、字段数量不是 23/24/30 项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MonitorDataService 不触发回调。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roverName/baseName 为 null 且结果可解析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结果构建阶段调用 trim()，可能抛出 NullPointerException。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color w:val="2F75B5"/>
        </w:rPr>
        <w:t>5. 同步解析原生结果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高级场景可直接使用 MonitorDataService 将原生文本转换为 MonitorData，而不触发回调。</w:t>
      </w:r>
    </w:p>
    <w:p>
      <w:pPr>
        <w:pStyle w:val="Heading3"/>
        <w:keepNext/>
        <w:widowControl/>
      </w:pPr>
      <w:r>
        <w:t>5.1 接口定义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MonitorData MonitorDataService.handlerDataSync(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 xml:space="preserve">        MonitorTask monitorTask,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 xml:space="preserve">        String data,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 xml:space="preserve">        String errMsg);</w:t>
            </w:r>
          </w:p>
        </w:tc>
        <w:trPr>
          <w:cantSplit/>
        </w:trPr>
      </w:tr>
    </w:tbl>
    <w:p>
      <w:pPr>
        <w:pStyle w:val="Heading3"/>
        <w:keepNext/>
        <w:widowControl/>
      </w:pPr>
      <w:r>
        <w:t>5.2 参数说明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70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参数名</w:t>
            </w:r>
          </w:p>
        </w:tc>
        <w:tc>
          <w:tcPr>
            <w:tcW w:type="dxa" w:w="1020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必填</w:t>
            </w:r>
          </w:p>
        </w:tc>
        <w:tc>
          <w:tcPr>
            <w:tcW w:type="dxa" w:w="181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参数类型</w:t>
            </w:r>
          </w:p>
        </w:tc>
        <w:tc>
          <w:tcPr>
            <w:tcW w:type="dxa" w:w="464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monitorTask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是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MonitorTask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为结果补充站名、任务模式、卫星系统等上下文。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data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是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String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原生结果第一行；空白或字段不足时返回 null。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errMsg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否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String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原生结果第二行；非空时写入 MonitorData.errMsg。</w:t>
            </w:r>
          </w:p>
        </w:tc>
      </w:tr>
    </w:tbl>
    <w:p>
      <w:pPr>
        <w:spacing w:after="0"/>
      </w:pPr>
    </w:p>
    <w:p>
      <w:pPr>
        <w:pStyle w:val="Heading3"/>
        <w:keepNext/>
        <w:widowControl/>
      </w:pPr>
      <w:r>
        <w:t>5.3 返回值说明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226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返回类型</w:t>
            </w:r>
          </w:p>
        </w:tc>
        <w:tc>
          <w:tcPr>
            <w:tcW w:type="dxa" w:w="691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MonitorData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解析成功时返回结构化结果；data 为空或字段数量不是 23/24/30 项时返回 null。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color w:val="2F75B5"/>
        </w:rPr>
        <w:t>6. 直接调用原生监测接口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非 Spring 场景可直接调用 MonitorLibrary。当前 MonitorStreamInfo 已补齐长基线扩展；调用方应按交付头文件核对尺寸、偏移和默认值，并确认原生返回字符串的释放协议。</w:t>
      </w:r>
    </w:p>
    <w:p>
      <w:pPr>
        <w:pStyle w:val="Heading3"/>
        <w:keepNext/>
        <w:widowControl/>
      </w:pPr>
      <w:r>
        <w:t>6.1 接口定义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String MonitorLibrary.startLMonitor(MonitorStreamInfo monitorInfo, String license);</w:t>
            </w:r>
          </w:p>
        </w:tc>
        <w:trPr>
          <w:cantSplit/>
        </w:trPr>
      </w:tr>
    </w:tbl>
    <w:p>
      <w:pPr>
        <w:pStyle w:val="Heading3"/>
        <w:keepNext/>
        <w:widowControl/>
      </w:pPr>
      <w:r>
        <w:t>6.2 参数说明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81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参数名</w:t>
            </w:r>
          </w:p>
        </w:tc>
        <w:tc>
          <w:tcPr>
            <w:tcW w:type="dxa" w:w="113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必填</w:t>
            </w:r>
          </w:p>
        </w:tc>
        <w:tc>
          <w:tcPr>
            <w:tcW w:type="dxa" w:w="226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参数类型</w:t>
            </w:r>
          </w:p>
        </w:tc>
        <w:tc>
          <w:tcPr>
            <w:tcW w:type="dxa" w:w="396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monitorInfo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是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MonitorStreamInfo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当前 25 字段结构；macOS 实测 256 字节。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license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是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String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license 文件路径。</w:t>
            </w:r>
          </w:p>
        </w:tc>
      </w:tr>
    </w:tbl>
    <w:p>
      <w:pPr>
        <w:spacing w:after="0"/>
      </w:pPr>
    </w:p>
    <w:p>
      <w:pPr>
        <w:pStyle w:val="Heading3"/>
        <w:keepNext/>
        <w:widowControl/>
      </w:pPr>
      <w:r>
        <w:t>6.3 返回值说明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返回两行文本：第一行为解算数据 solBuf，第二行为错误信息 errMsg。Java 服务层使用 split(\R, 2) 拆分，因此第二行之后的剩余内容会整体归入 errMsg。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&lt;solBuf&gt;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>&lt;errMsg&gt;</w:t>
            </w:r>
          </w:p>
        </w:tc>
        <w:trPr>
          <w:cantSplit/>
        </w:trPr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>注意：</w:t>
            </w:r>
            <w:r>
              <w:rPr>
                <w:rFonts w:ascii="Arial Unicode MS" w:hAnsi="Arial Unicode MS" w:eastAsia="Arial Unicode MS"/>
                <w:color w:val="333333"/>
                <w:sz w:val="21"/>
              </w:rPr>
              <w:t>MonitorLibrary 同时声明 INSTANCE 和 INSTANTCES。INSTANTCES 是 JNA synchronizedLibrary 包装，但默认 MonitorServiceImpl 使用的是 INSTANCE，因此 SDK 服务层不会自动串行化并发原生调用。</w:t>
            </w:r>
          </w:p>
        </w:tc>
        <w:trPr>
          <w:cantSplit/>
        </w:trPr>
      </w:tr>
    </w:tbl>
    <w:p>
      <w:pPr>
        <w:pStyle w:val="Heading2"/>
        <w:keepNext/>
        <w:widowControl/>
      </w:pPr>
      <w:r>
        <w:rPr>
          <w:color w:val="2F75B5"/>
        </w:rPr>
        <w:t>7. 原生结果字段映射</w:t>
      </w:r>
    </w:p>
    <w:p>
      <w:pPr>
        <w:widowControl/>
      </w:pPr>
      <w:r>
        <w:t>解析器按连续空白拆分，优先处理当前长基线 30 列文本，同时兼容历史 23/24 列结果。30 列在 E/N/U 后包含监测站 ECEF X/Y/Z 与 WGS84 B/L/H，卫星数量后的字段为 isMoved。没有基准站 ECEF 或结果状态为 NONE 时，六个绝对坐标字段为 0。 基准站 ECEF 通过 MonitorTask.baseX/baseY/baseZ 传入，单位米；B/L 为十进制度，H 为 WGS84 椭球高。Java 只解析原生返回值。有效解的 ENU 全零时，XYZ 等于基准站坐标；坐标转换失败时六列为 0，原因通过 errMsg 返回。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73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序号</w:t>
            </w:r>
          </w:p>
        </w:tc>
        <w:tc>
          <w:tcPr>
            <w:tcW w:type="dxa" w:w="192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原生字段</w:t>
            </w:r>
          </w:p>
        </w:tc>
        <w:tc>
          <w:tcPr>
            <w:tcW w:type="dxa" w:w="232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MonitorData 字段</w:t>
            </w:r>
          </w:p>
        </w:tc>
        <w:tc>
          <w:tcPr>
            <w:tcW w:type="dxa" w:w="4195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说明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startDate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不映射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结果开始日期。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startTime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不映射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结果开始时间。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endDate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gpsTime / lastObsTime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与第 4 项拼接为结束时间。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endTime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gpsTime / lastObsTime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与第 3 项拼接为结束时间。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dposMax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dposmax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位置差最大值。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dposAvg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dposavg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位置差平均值。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dposStd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dposstd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位置差标准差。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fixedRate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fixedRate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固定率。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roverEpochRate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roverEpochRate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监测站历元完整率。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baseEpochRate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baseEpochRate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基准站历元完整率。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相对基准站东向分量，单位米。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相对基准站北向分量，单位米。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13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U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相对基准站天向分量，单位米。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14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X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X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监测站 ECEF X，单位米；无基准站坐标时为 0。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Y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监测站 ECEF Y，单位米；无基准站坐标时为 0。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16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Z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Z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监测站 ECEF Z，单位米；无基准站坐标时为 0。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17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WGS84 大地纬度，单位度；无基准站坐标时为 0。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18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WGS84 大地经度，单位度；无基准站坐标时为 0。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19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WGS84 椭球高，单位米；无基准站坐标时为 0。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20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solStatus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solStatus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解算状态文本。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21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solutionType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solutionType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解算质量类型。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22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satNum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satNum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卫星数量。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23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isMoved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isMoved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长基线测站移动标志。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24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roverSample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roverSample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监测站采样率。</w:t>
            </w:r>
          </w:p>
        </w:tc>
      </w:tr>
      <w:tr>
        <w:trPr>
          <w:cantSplit/>
        </w:trPr>
        <w:tc>
          <w:tcPr>
            <w:tcW w:type="dxa" w:w="2353"/>
          </w:tcPr>
          <w:p>
            <w:r>
              <w:t>25</w:t>
            </w:r>
          </w:p>
        </w:tc>
        <w:tc>
          <w:tcPr>
            <w:tcW w:type="dxa" w:w="2353"/>
          </w:tcPr>
          <w:p>
            <w:r>
              <w:t>baseSample</w:t>
            </w:r>
          </w:p>
        </w:tc>
        <w:tc>
          <w:tcPr>
            <w:tcW w:type="dxa" w:w="2353"/>
          </w:tcPr>
          <w:p>
            <w:r>
              <w:t>baseSample</w:t>
            </w:r>
          </w:p>
        </w:tc>
        <w:tc>
          <w:tcPr>
            <w:tcW w:type="dxa" w:w="2353"/>
          </w:tcPr>
          <w:p>
            <w:r>
              <w:t>基准站采样率。</w:t>
            </w:r>
          </w:p>
        </w:tc>
      </w:tr>
      <w:tr>
        <w:trPr>
          <w:cantSplit/>
        </w:trPr>
        <w:tc>
          <w:tcPr>
            <w:tcW w:type="dxa" w:w="2353"/>
          </w:tcPr>
          <w:p>
            <w:r>
              <w:t>26</w:t>
            </w:r>
          </w:p>
        </w:tc>
        <w:tc>
          <w:tcPr>
            <w:tcW w:type="dxa" w:w="2353"/>
          </w:tcPr>
          <w:p>
            <w:r>
              <w:t>roverObsNum</w:t>
            </w:r>
          </w:p>
        </w:tc>
        <w:tc>
          <w:tcPr>
            <w:tcW w:type="dxa" w:w="2353"/>
          </w:tcPr>
          <w:p>
            <w:r>
              <w:t>roverObsNum</w:t>
            </w:r>
          </w:p>
        </w:tc>
        <w:tc>
          <w:tcPr>
            <w:tcW w:type="dxa" w:w="2353"/>
          </w:tcPr>
          <w:p>
            <w:r>
              <w:t>监测站历元数量。</w:t>
            </w:r>
          </w:p>
        </w:tc>
      </w:tr>
      <w:tr>
        <w:trPr>
          <w:cantSplit/>
        </w:trPr>
        <w:tc>
          <w:tcPr>
            <w:tcW w:type="dxa" w:w="2353"/>
          </w:tcPr>
          <w:p>
            <w:r>
              <w:t>27</w:t>
            </w:r>
          </w:p>
        </w:tc>
        <w:tc>
          <w:tcPr>
            <w:tcW w:type="dxa" w:w="2353"/>
          </w:tcPr>
          <w:p>
            <w:r>
              <w:t>baseObsNum</w:t>
            </w:r>
          </w:p>
        </w:tc>
        <w:tc>
          <w:tcPr>
            <w:tcW w:type="dxa" w:w="2353"/>
          </w:tcPr>
          <w:p>
            <w:r>
              <w:t>baseObsNum</w:t>
            </w:r>
          </w:p>
        </w:tc>
        <w:tc>
          <w:tcPr>
            <w:tcW w:type="dxa" w:w="2353"/>
          </w:tcPr>
          <w:p>
            <w:r>
              <w:t>基准站历元数量。</w:t>
            </w:r>
          </w:p>
        </w:tc>
      </w:tr>
      <w:tr>
        <w:trPr>
          <w:cantSplit/>
        </w:trPr>
        <w:tc>
          <w:tcPr>
            <w:tcW w:type="dxa" w:w="2353"/>
          </w:tcPr>
          <w:p>
            <w:r>
              <w:t>28</w:t>
            </w:r>
          </w:p>
        </w:tc>
        <w:tc>
          <w:tcPr>
            <w:tcW w:type="dxa" w:w="2353"/>
          </w:tcPr>
          <w:p>
            <w:r>
              <w:t>fileStatus</w:t>
            </w:r>
          </w:p>
        </w:tc>
        <w:tc>
          <w:tcPr>
            <w:tcW w:type="dxa" w:w="2353"/>
          </w:tcPr>
          <w:p>
            <w:r>
              <w:t>fileStatus</w:t>
            </w:r>
          </w:p>
        </w:tc>
        <w:tc>
          <w:tcPr>
            <w:tcW w:type="dxa" w:w="2353"/>
          </w:tcPr>
          <w:p>
            <w:r>
              <w:t>观测文件状态码。</w:t>
            </w:r>
          </w:p>
        </w:tc>
      </w:tr>
      <w:tr>
        <w:trPr>
          <w:cantSplit/>
        </w:trPr>
        <w:tc>
          <w:tcPr>
            <w:tcW w:type="dxa" w:w="2353"/>
          </w:tcPr>
          <w:p>
            <w:r>
              <w:t>29</w:t>
            </w:r>
          </w:p>
        </w:tc>
        <w:tc>
          <w:tcPr>
            <w:tcW w:type="dxa" w:w="2353"/>
          </w:tcPr>
          <w:p>
            <w:r>
              <w:t>navStatus</w:t>
            </w:r>
          </w:p>
        </w:tc>
        <w:tc>
          <w:tcPr>
            <w:tcW w:type="dxa" w:w="2353"/>
          </w:tcPr>
          <w:p>
            <w:r>
              <w:t>navStatus</w:t>
            </w:r>
          </w:p>
        </w:tc>
        <w:tc>
          <w:tcPr>
            <w:tcW w:type="dxa" w:w="2353"/>
          </w:tcPr>
          <w:p>
            <w:r>
              <w:t>星历状态码。</w:t>
            </w:r>
          </w:p>
        </w:tc>
      </w:tr>
      <w:tr>
        <w:trPr>
          <w:cantSplit/>
        </w:trPr>
        <w:tc>
          <w:tcPr>
            <w:tcW w:type="dxa" w:w="2353"/>
          </w:tcPr>
          <w:p>
            <w:r>
              <w:t>30</w:t>
            </w:r>
          </w:p>
        </w:tc>
        <w:tc>
          <w:tcPr>
            <w:tcW w:type="dxa" w:w="2353"/>
          </w:tcPr>
          <w:p>
            <w:r>
              <w:t>offTime</w:t>
            </w:r>
          </w:p>
        </w:tc>
        <w:tc>
          <w:tcPr>
            <w:tcW w:type="dxa" w:w="2353"/>
          </w:tcPr>
          <w:p>
            <w:r>
              <w:t>offTime</w:t>
            </w:r>
          </w:p>
        </w:tc>
        <w:tc>
          <w:tcPr>
            <w:tcW w:type="dxa" w:w="2353"/>
          </w:tcPr>
          <w:p>
            <w:r>
              <w:t>解算耗时。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当前 SDK 优先解析 30 项长基线格式；23/24 项用于兼容历史原生库。30 项格式在 E/N/U 后追加 X/Y/Z/B/L/H，satNum 后保留 isMoved；旧格式没有绝对坐标时对应字段为 0。</w:t>
            </w:r>
          </w:p>
        </w:tc>
        <w:trPr>
          <w:cantSplit/>
        </w:trPr>
      </w:tr>
    </w:tbl>
    <w:p>
      <w:pPr>
        <w:pStyle w:val="Heading1"/>
        <w:keepNext/>
        <w:widowControl/>
        <w:pBdr>
          <w:bottom w:val="single" w:sz="6" w:space="3" w:color="E7E7E7"/>
        </w:pBdr>
      </w:pPr>
      <w:r>
        <w:t>五、数据模型</w:t>
      </w:r>
    </w:p>
    <w:p>
      <w:pPr>
        <w:pStyle w:val="Heading2"/>
        <w:keepNext/>
        <w:widowControl/>
      </w:pPr>
      <w:r>
        <w:rPr>
          <w:color w:val="2F75B5"/>
        </w:rPr>
        <w:t>1. MonitorTask 输入模型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MonitorTask 是推荐服务层的统一输入。下表将“SDK校验”和“业务建议”区分开，便于识别当前代码实际强制项。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/>
        </w:trPr>
        <w:tc>
          <w:tcPr>
            <w:tcW w:type="dxa" w:w="158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字段</w:t>
            </w:r>
          </w:p>
        </w:tc>
        <w:tc>
          <w:tcPr>
            <w:tcW w:type="dxa" w:w="124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类型</w:t>
            </w:r>
          </w:p>
        </w:tc>
        <w:tc>
          <w:tcPr>
            <w:tcW w:type="dxa" w:w="141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默认值</w:t>
            </w:r>
          </w:p>
        </w:tc>
        <w:tc>
          <w:tcPr>
            <w:tcW w:type="dxa" w:w="119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要求</w:t>
            </w:r>
          </w:p>
        </w:tc>
        <w:tc>
          <w:tcPr>
            <w:tcW w:type="dxa" w:w="396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rtMode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3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建议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解算模式：0 为 SPP，1 为 DGPS，2 为动态，3 为静态。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timeStart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建议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开始时间；支持 yyyy/MM/dd HH:mm:ss 和 yyyy-MM-dd HH:mm:ss。空白时传全 0 时间。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timeEnd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建议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结束时间；格式同 timeStart。空白时传全 0 时间。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filterPeriod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Integer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滤波时长，单位秒；不传原生库，仅复制到结果。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processInterval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Integer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任务间隔，单位秒；不传原生库，仅复制到结果。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sample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Integer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 -&gt; 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采样间隔；0 表示由算法估算。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vrs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VRS 模式：0 否，1 是。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roverName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业务必填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监测站名称；结果解析时会调用 trim()。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baseName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业务必填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基准站名称；结果解析时会调用 trim()。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brdcBytes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byte[]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广播星历；非空时服务层自动补 0 终止字节。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baseBytes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byte[]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是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 RTCM3 数据；Java 层校验非空。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roverBytes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byte[]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是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监测站 RTCM3 数据；Java 层校验非空。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outMode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1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输出模式：0 为历元解，1 为单一解。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outFile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 -&gt; 空串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底层算法输出文件路径。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minFixedRate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 -&gt; 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最小固定率阈值，例如 0.75。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taskType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任务类型：0 准实时，1 重算；仅复制到结果。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navSys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空白 -&gt; 13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逗号分隔整数，服务层求和后写入 navsys。常用示例为 1,4,8,32。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bds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源码注释：0 为 B1I+B3I，1 为 B1C+B2A；当前实现还会在 0 且 navSys 含 32 时减去 32。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extra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业务扩展信息；仅复制到结果。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baseX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 -&gt; 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 ECEF X 坐标，单位米。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baseY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 -&gt; 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 ECEF Y 坐标，单位米。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baseZ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 -&gt; 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 ECEF Z 坐标，单位米。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precBytes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byte[]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SP3 精密星历文本；通过 setPrec 原样复制，不自动追加终止字节。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ionoopt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int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0 使用原生默认 IFLC；其他值按原生约定。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tropopt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int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0 使用原生默认 ZTD 估计。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armode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int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0 使用原生默认 continuous。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sateph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int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0 自动选择：有精密星历为 PREC，否则 BRDC。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nf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int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0 使用原生默认 2 个频点。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minfix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int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0 使用原生默认连续 5 个历元确认。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warmupMin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double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预热时长，单位分钟；0 关闭，预热期不计入报告。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>注意：</w:t>
            </w:r>
            <w:r>
              <w:rPr>
                <w:rFonts w:ascii="Arial Unicode MS" w:hAnsi="Arial Unicode MS" w:eastAsia="Arial Unicode MS"/>
                <w:color w:val="333333"/>
                <w:sz w:val="21"/>
              </w:rPr>
              <w:t>当 navSys 为空时，传给原生库的 navsys 默认值为 13；但结果对象 navSys 会显示默认字符串 1,4,8,32。两者并不等价，生产调用建议显式传 navSys。</w:t>
            </w:r>
          </w:p>
        </w:tc>
        <w:trPr>
          <w:cantSplit/>
        </w:trPr>
      </w:tr>
    </w:tbl>
    <w:p>
      <w:pPr>
        <w:pStyle w:val="Heading2"/>
        <w:keepNext/>
        <w:widowControl/>
      </w:pPr>
      <w:r>
        <w:rPr>
          <w:color w:val="2F75B5"/>
        </w:rPr>
        <w:t>2. MonitorData 输出模型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92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字段</w:t>
            </w:r>
          </w:p>
        </w:tc>
        <w:tc>
          <w:tcPr>
            <w:tcW w:type="dxa" w:w="170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类型</w:t>
            </w:r>
          </w:p>
        </w:tc>
        <w:tc>
          <w:tcPr>
            <w:tcW w:type="dxa" w:w="5556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roverName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监测站名称，来自 MonitorTask。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baseName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基准站名称，来自 MonitorTask。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gpsTime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解算坐标时间，由原生结果第 3、4 项拼接。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lastObsTime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最后历元时间；当前实现与 gpsTime 相同。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相对基准站东向分量，单位米。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相对基准站北向分量，单位米。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U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相对基准站天向分量，单位米。</w:t>
            </w:r>
          </w:p>
        </w:tc>
      </w:tr>
      <w:tr>
        <w:trPr>
          <w:cantSplit/>
        </w:trPr>
        <w:tc>
          <w:tcPr>
            <w:tcW w:type="dxa" w:w="3137"/>
          </w:tcPr>
          <w:p>
            <w:r>
              <w:t>X</w:t>
            </w:r>
          </w:p>
        </w:tc>
        <w:tc>
          <w:tcPr>
            <w:tcW w:type="dxa" w:w="3137"/>
          </w:tcPr>
          <w:p>
            <w:r>
              <w:t>Double</w:t>
            </w:r>
          </w:p>
        </w:tc>
        <w:tc>
          <w:tcPr>
            <w:tcW w:type="dxa" w:w="3137"/>
          </w:tcPr>
          <w:p>
            <w:r>
              <w:t>监测站 ECEF X，单位米；无基准站坐标或 NONE 结果时为 0。</w:t>
            </w:r>
          </w:p>
        </w:tc>
      </w:tr>
      <w:tr>
        <w:trPr>
          <w:cantSplit/>
        </w:trPr>
        <w:tc>
          <w:tcPr>
            <w:tcW w:type="dxa" w:w="3137"/>
          </w:tcPr>
          <w:p>
            <w:r>
              <w:t>Y</w:t>
            </w:r>
          </w:p>
        </w:tc>
        <w:tc>
          <w:tcPr>
            <w:tcW w:type="dxa" w:w="3137"/>
          </w:tcPr>
          <w:p>
            <w:r>
              <w:t>Double</w:t>
            </w:r>
          </w:p>
        </w:tc>
        <w:tc>
          <w:tcPr>
            <w:tcW w:type="dxa" w:w="3137"/>
          </w:tcPr>
          <w:p>
            <w:r>
              <w:t>监测站 ECEF Y，单位米；无基准站坐标或 NONE 结果时为 0。</w:t>
            </w:r>
          </w:p>
        </w:tc>
      </w:tr>
      <w:tr>
        <w:trPr>
          <w:cantSplit/>
        </w:trPr>
        <w:tc>
          <w:tcPr>
            <w:tcW w:type="dxa" w:w="3137"/>
          </w:tcPr>
          <w:p>
            <w:r>
              <w:t>Z</w:t>
            </w:r>
          </w:p>
        </w:tc>
        <w:tc>
          <w:tcPr>
            <w:tcW w:type="dxa" w:w="3137"/>
          </w:tcPr>
          <w:p>
            <w:r>
              <w:t>Double</w:t>
            </w:r>
          </w:p>
        </w:tc>
        <w:tc>
          <w:tcPr>
            <w:tcW w:type="dxa" w:w="3137"/>
          </w:tcPr>
          <w:p>
            <w:r>
              <w:t>监测站 ECEF Z，单位米；无基准站坐标或 NONE 结果时为 0。</w:t>
            </w:r>
          </w:p>
        </w:tc>
      </w:tr>
      <w:tr>
        <w:trPr>
          <w:cantSplit/>
        </w:trPr>
        <w:tc>
          <w:tcPr>
            <w:tcW w:type="dxa" w:w="3137"/>
          </w:tcPr>
          <w:p>
            <w:r>
              <w:t>B</w:t>
            </w:r>
          </w:p>
        </w:tc>
        <w:tc>
          <w:tcPr>
            <w:tcW w:type="dxa" w:w="3137"/>
          </w:tcPr>
          <w:p>
            <w:r>
              <w:t>Double</w:t>
            </w:r>
          </w:p>
        </w:tc>
        <w:tc>
          <w:tcPr>
            <w:tcW w:type="dxa" w:w="3137"/>
          </w:tcPr>
          <w:p>
            <w:r>
              <w:t>WGS84 大地纬度，单位度；无基准站坐标或 NONE 结果时为 0。</w:t>
            </w:r>
          </w:p>
        </w:tc>
      </w:tr>
      <w:tr>
        <w:trPr>
          <w:cantSplit/>
        </w:trPr>
        <w:tc>
          <w:tcPr>
            <w:tcW w:type="dxa" w:w="3137"/>
          </w:tcPr>
          <w:p>
            <w:r>
              <w:t>L</w:t>
            </w:r>
          </w:p>
        </w:tc>
        <w:tc>
          <w:tcPr>
            <w:tcW w:type="dxa" w:w="3137"/>
          </w:tcPr>
          <w:p>
            <w:r>
              <w:t>Double</w:t>
            </w:r>
          </w:p>
        </w:tc>
        <w:tc>
          <w:tcPr>
            <w:tcW w:type="dxa" w:w="3137"/>
          </w:tcPr>
          <w:p>
            <w:r>
              <w:t>WGS84 大地经度，单位度；无基准站坐标或 NONE 结果时为 0。</w:t>
            </w:r>
          </w:p>
        </w:tc>
      </w:tr>
      <w:tr>
        <w:trPr>
          <w:cantSplit/>
        </w:trPr>
        <w:tc>
          <w:tcPr>
            <w:tcW w:type="dxa" w:w="3137"/>
          </w:tcPr>
          <w:p>
            <w:r>
              <w:t>H</w:t>
            </w:r>
          </w:p>
        </w:tc>
        <w:tc>
          <w:tcPr>
            <w:tcW w:type="dxa" w:w="3137"/>
          </w:tcPr>
          <w:p>
            <w:r>
              <w:t>Double</w:t>
            </w:r>
          </w:p>
        </w:tc>
        <w:tc>
          <w:tcPr>
            <w:tcW w:type="dxa" w:w="3137"/>
          </w:tcPr>
          <w:p>
            <w:r>
              <w:t>WGS84 椭球高，单位米；无基准站坐标或 NONE 结果时为 0。</w:t>
            </w:r>
          </w:p>
        </w:tc>
      </w:tr>
      <w:tr>
        <w:trPr>
          <w:cantSplit/>
        </w:trPr>
        <w:tc>
          <w:tcPr>
            <w:tcW w:type="dxa" w:w="3137"/>
          </w:tcPr>
          <w:p>
            <w:r>
              <w:t>isMoved</w:t>
            </w:r>
          </w:p>
        </w:tc>
        <w:tc>
          <w:tcPr>
            <w:tcW w:type="dxa" w:w="3137"/>
          </w:tcPr>
          <w:p>
            <w:r>
              <w:t>Integer</w:t>
            </w:r>
          </w:p>
        </w:tc>
        <w:tc>
          <w:tcPr>
            <w:tcW w:type="dxa" w:w="3137"/>
          </w:tcPr>
          <w:p>
            <w:r>
              <w:t>长基线测站移动标志。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solStatus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原生解算状态文本。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satNum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Integer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参与解算的卫星数量。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roverSample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Integer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监测站采样率。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baseSample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Integer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基准站采样率。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fileStatus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观测文件状态码。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fileStatusDesc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由 ObsErrorEnum 转换的中文说明。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navStatus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星历状态码。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navStatusDesc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由 NavErrorEnum 转换的中文说明；未知值返回 null。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roverObsNum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监测站历元数量。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baseObsNum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基准站历元数量。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offTime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解算耗时文本。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rtMode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来自 MonitorTask。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vrs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来自 MonitorTask。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taskType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来自 MonitorTask。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filterPeriod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Integer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来自 MonitorTask，单位秒。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processInterval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Integer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来自 MonitorTask，单位秒。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fixedRate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原生结果固定率。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dposmax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位置差最大值。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dposavg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位置差平均值。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dposstd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位置差标准差。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outMode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来自 MonitorTask。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errMsg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原生返回第二行，非空时写入。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roverEpochRate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监测站历元完整率。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baseEpochRate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基准站历元完整率。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solutionType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解算质量类型。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navSys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任务卫星系统字符串；空白时显示 1,4,8,32。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extra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任务扩展信息。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color w:val="2F75B5"/>
        </w:rPr>
        <w:t>3. MonitorStreamInfo 原生结构映射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MonitorStreamInfo 对应 LMonitorStreamInfo，当前包含 25 个公开字段。macOS arm64 实测结构尺寸 256 字节，各字段偏移与本机原生源接口一致。下方先列完整 C 布局，再列基础与长基线扩展字段映射。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typedef struct LMonitorStreamInfo {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int32_t calMode;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double es[6];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double ee[6];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int32_t ti;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int32_t vrsMode;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int32_t navsys;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int32_t solstatic;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double fixThresh;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double rb[3];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const char* outfile;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const uint8_t* brdc_buf;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uint64_t brdc_len;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const uint8_t* rover_buf;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uint64_t rover_len;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const uint8_t* base_buf;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uint64_t base_len;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const uint8_t* prec_buf;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uint64_t prec_len;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int32_t ionoopt;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int32_t tropopt;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int32_t armode;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int32_t sateph;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int32_t nf;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int32_t minfix;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	double warmup_min;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 xml:space="preserve">} LMonitorStreamInfo;</w:t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 xml:space="preserve"/>
            </w:r>
            <w:r/>
            <w:r>
              <w:rPr>
                <w:rFonts w:ascii="Menlo" w:hAnsi="Menlo" w:eastAsia="Menlo"/>
                <w:color w:val="202020"/>
                <w:sz w:val="15"/>
              </w:rPr>
              <w:t/>
            </w:r>
          </w:p>
        </w:tc>
        <w:trPr>
          <w:cantSplit/>
        </w:trPr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70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Java 字段</w:t>
            </w:r>
          </w:p>
        </w:tc>
        <w:tc>
          <w:tcPr>
            <w:tcW w:type="dxa" w:w="170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原生字段</w:t>
            </w:r>
          </w:p>
        </w:tc>
        <w:tc>
          <w:tcPr>
            <w:tcW w:type="dxa" w:w="181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原生类型</w:t>
            </w:r>
          </w:p>
        </w:tc>
        <w:tc>
          <w:tcPr>
            <w:tcW w:type="dxa" w:w="396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calMode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calMode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int32_t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解算模式。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es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es[6]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double[6]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开始时间：年、月、日、时、分、秒。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ee[6]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double[6]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结束时间：年、月、日、时、分、秒。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ti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ti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int32_t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采样间隔。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vrsMode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vrsMode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int32_t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VRS 模式。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navsys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navsys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int32_t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卫星系统聚合值。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solstatic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solstatic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int32_t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输出模式。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fixThresh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fixThresh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最小固定率。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rb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rb[3]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double[3]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 ECEF 坐标。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outfile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outfile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const char*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输出文件路径。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brdcBuf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brdc_buf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const uint8_t*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广播星历内存指针。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brdcLen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brdc_len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uint64_t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广播星历字节数。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roverBuf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rover_buf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const uint8_t*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监测站数据内存指针。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roverLen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rover_len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uint64_t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监测站数据字节数。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baseBuf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base_buf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const uint8_t*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基准站数据内存指针。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baseLen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base_len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uint64_t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基准站数据字节数。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>注意：</w:t>
            </w:r>
            <w:r>
              <w:rPr>
                <w:rFonts w:ascii="Arial Unicode MS" w:hAnsi="Arial Unicode MS" w:eastAsia="Arial Unicode MS"/>
                <w:color w:val="333333"/>
                <w:sz w:val="21"/>
              </w:rPr>
              <w:t>setBrdc/setRover/setBase/setPrec 会把 byte[] 写入 JNA Memory，并由 MonitorStreamInfo 的 transient 字段持有该内存，避免原生调用期间被回收。直接调用时不要只设置长度而遗漏对应指针。</w:t>
            </w:r>
          </w:p>
        </w:tc>
        <w:trPr>
          <w:cantSplit/>
        </w:trPr>
      </w:tr>
    </w:tbl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长基线扩展映射如下。当前字段已由 MonitorTask 传给原生结构；默认值含义来自当前 Java 注释及原生实现，应与具体交付版本核对。与 filterPeriod/processInterval 不同，warmupMin 实际传入原生预热参数。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70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 xml:space="preserve">Java / 原生字段</w:t>
            </w:r>
          </w:p>
        </w:tc>
        <w:tc>
          <w:tcPr>
            <w:tcW w:type="dxa" w:w="170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 xml:space="preserve">类型</w:t>
            </w:r>
          </w:p>
        </w:tc>
        <w:tc>
          <w:tcPr>
            <w:tcW w:type="dxa" w:w="181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 xml:space="preserve">偏移 B</w:t>
            </w:r>
          </w:p>
        </w:tc>
        <w:tc>
          <w:tcPr>
            <w:tcW w:type="dxa" w:w="396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precBuf / prec_buf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Pointer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208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setPrec(precBytes) 分配并持有内存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precLen / prec_len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long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216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精密星历实际字节数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ionoopt / tropopt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int × 2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224 / 228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电离层 / 对流层选项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armode / sateph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int × 2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232 / 236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模糊度固定 / 星历选项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nf / minfix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int × 2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240 / 244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频点数 / 固定确认历元数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warmupMin / warmup_min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double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248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 xml:space="preserve">预热分钟数；默认 0 关闭</w:t>
            </w:r>
          </w:p>
        </w:tc>
      </w:tr>
    </w:tbl>
    <w:p>
      <w:pPr>
        <w:pStyle w:val="Heading1"/>
        <w:keepNext/>
        <w:pageBreakBefore/>
        <w:widowControl/>
        <w:pBdr>
          <w:bottom w:val="single" w:sz="6" w:space="3" w:color="E7E7E7"/>
        </w:pBdr>
      </w:pPr>
      <w:r>
        <w:t>六、状态码</w:t>
      </w:r>
    </w:p>
    <w:p>
      <w:pPr>
        <w:pStyle w:val="Heading2"/>
        <w:keepNext/>
        <w:widowControl/>
      </w:pPr>
      <w:r>
        <w:rPr>
          <w:color w:val="2F75B5"/>
        </w:rPr>
        <w:t>1. 观测数据状态 ObsErrorEnum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515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6"/>
              </w:rPr>
              <w:t>枚举项</w:t>
            </w:r>
          </w:p>
        </w:tc>
        <w:tc>
          <w:tcPr>
            <w:tcW w:type="dxa" w:w="113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6"/>
              </w:rPr>
              <w:t>值</w:t>
            </w:r>
          </w:p>
        </w:tc>
        <w:tc>
          <w:tcPr>
            <w:tcW w:type="dxa" w:w="4535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NORMAL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0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正常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ROVER_RTCM_NOT_UPDATE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1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监测站数据未更新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BASE_RTCM_NOT_UPDATE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2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基准站数据未更新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ALL_RTCM_NOT_UPDATE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3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基准站和监测站数据都未更新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ROVER_RTCM_NOT_ENOUGH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4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监测站数据不足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BASE_RTCM_NOT_ENOUGH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8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基准站数据不足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ALL_RTCM_NOT_ENOUGH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12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基准站和监测站数据都不足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ROVER_RTCM_ERROR_FORMAT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16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监测站无数据或数据格式不为 RTCM3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ROVER_NO_DATA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21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监测站无数据或数据格式不为 RTCM3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RTCM_ERROR_FORMAT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29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监测站无数据或基准站数据不足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BASE_RTCM_ERROR_FORMAT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32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基准站无数据或数据格式不为 RTCM3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BASE_NO_DATA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42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基准站无数据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NO_ALL_DATA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63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任何数据都没有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OTHER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999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基准站或监测站数据不足；未知 fileStatus 也映射到此说明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color w:val="2F75B5"/>
        </w:rPr>
        <w:t>2. 星历状态 NavErrorEnum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515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6"/>
              </w:rPr>
              <w:t>枚举项</w:t>
            </w:r>
          </w:p>
        </w:tc>
        <w:tc>
          <w:tcPr>
            <w:tcW w:type="dxa" w:w="113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6"/>
              </w:rPr>
              <w:t>值</w:t>
            </w:r>
          </w:p>
        </w:tc>
        <w:tc>
          <w:tcPr>
            <w:tcW w:type="dxa" w:w="4535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NORMAL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0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正常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ROVER_RTCM_NOT_NAV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1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监测站无星历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BASE_RTCM_NOT_NAV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2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基准站无星历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NAV_NOT_ENOUGH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4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星历不足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NAV_NOT_ROVER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5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监测站无星历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NAV_NOT_BASE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6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基准站无星历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NAV_FILE_NOT_ENOUGH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8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设置的星历文件星历不足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NAV_ERROR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15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无任何星历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>注意：</w:t>
            </w:r>
            <w:r>
              <w:rPr>
                <w:rFonts w:ascii="Arial Unicode MS" w:hAnsi="Arial Unicode MS" w:eastAsia="Arial Unicode MS"/>
                <w:color w:val="333333"/>
                <w:sz w:val="21"/>
              </w:rPr>
              <w:t>NavErrorEnum 对未知 navStatus 返回 null；调用方展示状态时应保留原始数值，并为未知描述提供兜底文本。</w:t>
            </w:r>
          </w:p>
        </w:tc>
        <w:trPr>
          <w:cantSplit/>
        </w:trPr>
      </w:tr>
    </w:tbl>
    <w:p>
      <w:pPr>
        <w:pStyle w:val="Heading1"/>
        <w:keepNext/>
        <w:widowControl/>
        <w:pBdr>
          <w:bottom w:val="single" w:sz="6" w:space="3" w:color="E7E7E7"/>
        </w:pBdr>
      </w:pPr>
      <w:r>
        <w:t>七、使用限制说明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平台必须与工程内置原生库匹配。当前不包含 Windows 和 Intel macOS 原生库。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startMonitor() 为同步阻塞调用，回调在调用线程执行。应由调用方安排后台任务和超时隔离；SDK 没有取消正在执行的原生调用接口。原生进程级崩溃不能由 Java try/catch 恢复。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默认 MonitorServiceImpl 使用非同步包装的 MonitorLibrary.INSTANCE。并发调用是否安全取决于原生库，当前 Java 层未提供互斥保护。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默认结果处理器是单槽位可变状态。多个业务方共用同一 Spring 单例时，后注册的回调会覆盖先注册的回调。</w:t>
      </w:r>
    </w:p>
    <w:p>
      <w:pPr>
        <w:pStyle w:val="ListBullet"/>
        <w:widowControl/>
      </w:pPr>
      <w:r>
        <w:t>当前结构已包含 precBuf/precLen、ionoopt、tropopt、armode、sateph、nf、minfix 和 warmupMin。字段顺序、数组长度及整数宽度必须匹配原生 ABI；不可仅改库名称而沿用旧结构。结果文本另有 30 列协议，升级原生库时必须同步检查 Java 解析器。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roverBytes 和 baseBytes 必须非空；brdcBytes 可以为空。直接 JNA 调用时，非空 BRDC 建议手动追加 0 终止字节。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license 路径、时间范围、数据格式和站名完整性未被 Java 层完全校验，调用方应在进入 SDK 前完成业务校验。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navSys 使用逗号分隔的整数项并直接求和，不接受空项、空格项或非整数文本。建议使用受控配置生成该字符串。</w:t>
      </w:r>
    </w:p>
    <w:p>
      <w:pPr>
        <w:pStyle w:val="ListBullet"/>
        <w:widowControl/>
      </w:pPr>
      <w:r>
        <w:t>当前原生结果解析按字段数识别 30 列、24 列和 23 列协议；格式变化可能导致无回调或数值转换异常，升级原生库时必须执行兼容性回归。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Java API 未声明 cleanup/close 或返回字符串释放接口。本机原生源实现使用 C.CString，并导出 freeL；JNA String 映射未调用 freeL，返回内存的所有权和释放方式仍需补齐验证。</w:t>
      </w:r>
    </w:p>
    <w:p>
      <w:pPr>
        <w:pStyle w:val="Heading1"/>
        <w:keepNext/>
        <w:widowControl/>
        <w:pBdr>
          <w:bottom w:val="single" w:sz="6" w:space="3" w:color="E7E7E7"/>
        </w:pBdr>
      </w:pPr>
      <w:r>
        <w:t>八、常见问题</w:t>
      </w:r>
    </w:p>
    <w:p>
      <w:pPr>
        <w:pStyle w:val="Heading2"/>
        <w:keepNext/>
        <w:widowControl/>
      </w:pPr>
      <w:r>
        <w:t>1. 启动时报 UnsatisfiedLinkError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确认运行系统与 CPU 架构在支持矩阵内。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确认 libLMonitor.so 或 libLMonitor.dylib 已进入最终应用 classpath。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必要时设置 -Djna.library.path=/absolute/path/to/native/lib。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检查原生库的间接动态依赖是否齐全，可使用 ldd 或 otool -L 排查。</w:t>
      </w:r>
    </w:p>
    <w:p>
      <w:pPr>
        <w:pStyle w:val="Heading2"/>
        <w:keepNext/>
        <w:widowControl/>
      </w:pPr>
      <w:r>
        <w:t>2. 如何申请 license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在目标部署机器上调用 monitorService.getUuid() 获取机器标识。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按交付流程使用该标识申请 license，并将 license 文件部署到应用可读路径。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不要在其他机器生成 UUID 后复用设备绑定 license。</w:t>
      </w:r>
    </w:p>
    <w:p>
      <w:pPr>
        <w:pStyle w:val="Heading2"/>
        <w:keepNext/>
        <w:widowControl/>
      </w:pPr>
      <w:r>
        <w:t>3. startMonitor() 执行后没有回调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确认已在调用前注册 HandlerDataInterface，且未被其他组件覆盖。</w:t>
      </w:r>
    </w:p>
    <w:p>
      <w:pPr>
        <w:pStyle w:val="ListBullet"/>
        <w:widowControl/>
      </w:pPr>
      <w:r>
        <w:t>确认原生返回第一行非空，并包含当前 30 列或兼容的 23/24 列结果字段。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若没有回调，先检查 Java 异常或原生进程退出，再核对实际返回数据。原生只返回错误文本或字段不足时，当前解析器可能直接不回调，也不会另行分发错误。</w:t>
      </w:r>
    </w:p>
    <w:p>
      <w:pPr>
        <w:pStyle w:val="ListBullet"/>
        <w:widowControl/>
      </w:pPr>
      <w:r>
        <w:t>确认 roverName、baseName 非空，避免结果构建阶段异常。</w:t>
      </w:r>
    </w:p>
    <w:p>
      <w:pPr>
        <w:pStyle w:val="Heading2"/>
        <w:keepNext/>
        <w:widowControl/>
      </w:pPr>
      <w:r>
        <w:t>4. 监测结果提示数据不足或格式错误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核对 roverBytes/baseBytes 是否为 RTCM3 数据，而非路径字符串或压缩包字节。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确认两个数据流覆盖相同或可解算的时间窗口。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根据 fileStatus 和 fileStatusDesc 定位监测站、基准站或双方的数据问题。</w:t>
      </w:r>
    </w:p>
    <w:p>
      <w:pPr>
        <w:pStyle w:val="Heading2"/>
        <w:keepNext/>
        <w:widowControl/>
      </w:pPr>
      <w:r>
        <w:t>5. 星历状态异常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确认 BRDC/RINEX 文件日期与观测数据时间一致。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即使 brdcBytes 为空，RTCM3 流中也需要有足够星历信息。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结合 navStatus 原始值和 navStatusDesc 判断缺少监测站星历、基准站星历或星历文件覆盖。</w:t>
      </w:r>
    </w:p>
    <w:p>
      <w:pPr>
        <w:pStyle w:val="Heading2"/>
        <w:keepNext/>
        <w:widowControl/>
      </w:pPr>
      <w:r>
        <w:t>6. 时间格式报错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只使用 yyyy/MM/dd HH:mm:ss 或 yyyy-MM-dd HH:mm:ss。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不要携带时区、毫秒、小数秒或 ISO 字母 T。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空白时间不会报错，但会传入 double[6] 全 0；生产任务建议显式提供。</w:t>
      </w:r>
    </w:p>
    <w:p>
      <w:pPr>
        <w:pStyle w:val="Heading2"/>
        <w:keepNext/>
        <w:widowControl/>
      </w:pPr>
      <w:r>
        <w:t>7. 如何处理并发任务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原生并发需先确认交付库线程安全。本轮双线程样本与串行结果一致，但不足以证明任意负载线程安全；默认服务使用 INSTANCE，未启用 synchronizedLibrary。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共享服务仅保存一个回调。建议固定注册一次，通过 extra 关联任务，并为每个任务分配独立输入与 outFile；不要逐任务并发替换全局回调。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如需直接 JNA 串行包装，可评估 MonitorLibrary.INSTANTCES，但默认服务未使用它。</w:t>
      </w:r>
    </w:p>
    <w:p>
      <w:pPr>
        <w:pStyle w:val="Heading2"/>
        <w:keepNext/>
        <w:widowControl/>
      </w:pPr>
      <w:r>
        <w:t>8. 如何重置 SDK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当前 Java API 没有初始化或关闭方法。完成一次调用后可构建新的 MonitorTask 再次调用。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若原生库进入不可恢复状态，应依据原生库交付说明决定是否重启进程。</w:t>
      </w:r>
    </w:p>
    <w:p>
      <w:pPr>
        <w:pStyle w:val="Heading1"/>
        <w:keepNext/>
        <w:pageBreakBefore/>
        <w:widowControl/>
        <w:pBdr>
          <w:bottom w:val="single" w:sz="6" w:space="3" w:color="E7E7E7"/>
        </w:pBdr>
      </w:pPr>
      <w:r>
        <w:t>附录 A：完整 Spring Boot 示例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4"/>
              </w:rPr>
              <w:t>package com.example.monitor;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com.navfirst.lmonitor.lib.domains.MonitorTask;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com.navfirst.lmonitor.lib.services.MonitorService;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lombok.RequiredArgsConstructor;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org.springframework.stereotype.Service;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java.nio.file.Files;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java.nio.file.Path;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@Service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@RequiredArgsConstructor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public class LMonitorRunner {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private final MonitorService monitorService;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public void run() throws Exception {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Path brdcPath = Path.of("/data/BRDM2490.rnx");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byte[] brdc = Files.isRegularFile(brdcPath)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? Files.readAllBytes(brdcPath)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: null;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MonitorTask task = MonitorTask.builder()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.rtMode(3)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.timeStart("2026/09/06 00:00:00")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.timeEnd("2026/09/06 01:00:00")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.filterPeriod(7200)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.processInterval(600)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.sample(0)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.vrs(0)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.roverName("PSYCMM0010")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.baseName("PSYCMM129")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.brdcBytes(brdc)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.roverBytes(Files.readAllBytes(Path.of("/data/rover.rtcm3")))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.baseBytes(Files.readAllBytes(Path.of("/data/base.rtcm3")))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.outMode(1)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.minFixedRate(0.75)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.navSys("1,4,8,32")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.bds(1)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.build();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monitorService.setHandlerData(result -&gt; {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if (result.getErrMsg() != null &amp;&amp; !result.getErrMsg().isBlank()) {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System.err.println("算法信息: " + result.getErrMsg());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}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System.out.printf(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    "time=%s, E=%f, N=%f, U=%f, fixedRate=%f%n",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    result.getGpsTime(),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    result.getE(),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    result.getN(),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    result.getU(),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    result.getFixedRate());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});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System.out.println("native version=" + monitorService.getVersion());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monitorService.startMonitor(task, "/data/license.lic");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}</w:t>
            </w:r>
          </w:p>
        </w:tc>
      </w:tr>
    </w:tbl>
    <w:p>
      <w:pPr>
        <w:pStyle w:val="Heading1"/>
        <w:keepNext/>
        <w:widowControl/>
        <w:pBdr>
          <w:bottom w:val="single" w:sz="6" w:space="3" w:color="E7E7E7"/>
        </w:pBdr>
        <w:pageBreakBefore/>
      </w:pPr>
      <w:r>
        <w:t>附录 B：直接 JNA 调用示例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4"/>
              </w:rPr>
              <w:t>import com.navfirst.lmonitor.lib.library.MonitorLibrary;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com.navfirst.lmonitor.lib.library.MonitorStreamInfo;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com.navfirst.lmonitor.lib.utils.TimeUtils;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java.nio.file.Files;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java.nio.file.Path;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java.util.Arrays;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public class DirectCallDemo {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public static void main(String[] args) throws Exception {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byte[] rover = Files.readAllBytes(Path.of("/data/rover.rtcm3"));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byte[] base = Files.readAllBytes(Path.of("/data/base.rtcm3"));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byte[] brdc = Files.readAllBytes(Path.of("/data/BRDM2490.rnx"));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MonitorStreamInfo info = MonitorStreamInfo.builder()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.calMode(3)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.es(TimeUtils.parseEpoch("2026/09/06 00:00:00"))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.ee(TimeUtils.parseEpoch("2026/09/06 01:00:00"))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.ti(0)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.vrsMode(0)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.navsys(45)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.solstatic(1)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.fixThresh(0.75)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.rb(new double[] {0D, 0D, 0D})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.outfile("")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.build();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info.setBrdc(appendZero(brdc));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info.setRover(rover);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info.setBase(base);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String raw = MonitorLibrary.INSTANCE.startLMonitor(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info,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"/data/license.lic");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String[] lines = raw == null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? new String[] {"", ""}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: raw.split("\\R", 2);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System.out.println("solBuf=" + lines[0]);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System.out.println("errMsg=" + (lines.length &gt; 1 ? lines[1] : ""));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private static byte[] appendZero(byte[] value) {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if (value == null || value.length == 0) {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return value;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if (value[value.length - 1] == 0) {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return value;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return Arrays.copyOf(value, value.length + 1);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}</w:t>
            </w:r>
          </w:p>
        </w:tc>
      </w:tr>
    </w:tbl>
    <w:p>
      <w:pPr>
        <w:pStyle w:val="Heading1"/>
        <w:keepNext/>
        <w:widowControl/>
        <w:pBdr>
          <w:bottom w:val="single" w:sz="6" w:space="3" w:color="E7E7E7"/>
        </w:pBdr>
      </w:pPr>
      <w:r>
        <w:t>附录 C：工程包结构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396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6"/>
              </w:rPr>
              <w:t>包 / 资源</w:t>
            </w:r>
          </w:p>
        </w:tc>
        <w:tc>
          <w:tcPr>
            <w:tcW w:type="dxa" w:w="5216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com.navfirst.lmonitor.lib.services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公共服务接口与结果回调接口。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com.navfirst.lmonitor.lib.services.impl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默认服务实现和原生结果解析。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com.navfirst.lmonitor.lib.domains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MonitorTask 输入模型与 MonitorData 输出模型。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com.navfirst.lmonitor.lib.library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JNA 接口、结构体和原生内存封装。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com.navfirst.lmonitor.lib.enums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观测数据状态与星历状态说明。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com.navfirst.lmonitor.lib.configurations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Spring Boot 自动配置。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com.navfirst.lmonitor.lib.utils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时间转换与字节字符串辅助方法。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src/main/resources/&lt;platform&gt;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各平台 libLMonitor 原生库。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META-INF/spring/...AutoConfiguration.imports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Spring Boot 3 自动配置入口。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  <w:pBdr>
          <w:bottom w:val="single" w:sz="6" w:space="3" w:color="E7E7E7"/>
        </w:pBdr>
      </w:pPr>
      <w:r>
        <w:t>附录 D：构建与验证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运行完整工程回归：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./mvnw clean test</w:t>
            </w:r>
          </w:p>
        </w:tc>
        <w:trPr>
          <w:cantSplit/>
        </w:trPr>
      </w:tr>
    </w:tbl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只验证版本和 UUID 接口：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./mvnw '-Dtest=LmonitorJavaLibApplicationTests#testVersion+testUUid' test</w:t>
            </w:r>
          </w:p>
        </w:tc>
        <w:trPr>
          <w:cantSplit/>
        </w:trPr>
      </w:tr>
    </w:tbl>
    <w:p>
      <w:pPr>
        <w:widowControl/>
      </w:pPr>
      <w:r>
        <w:t>2026-09-18 执行 ./mvnw test：6 项通过，0 失败、0 错误、0 跳过；本地原生版本 1.0.0。新增 30 列结果解析测试，覆盖 X/Y/Z/B/L/H、isMoved、零坐标、连续空白和不支持字段数；testMonitor 使用同站数据返回 Float、绝对坐标为 0，并产生质量告警；JUnit 结果不能代替业务验收。</w:t>
      </w:r>
    </w:p>
    <w:p>
      <w:pPr>
        <w:spacing w:before="440" w:after="0"/>
        <w:jc w:val="center"/>
        <w:pBdr>
          <w:bottom w:val="single" w:sz="4" w:space="3" w:color="E0E0E0"/>
        </w:pBdr>
      </w:pPr>
      <w:r>
        <w:t>文档结束  |  v1.0.1  |  2026-09-18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1134" w:right="1247" w:bottom="1020" w:left="1247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 Unicode MS" w:hAnsi="Arial Unicode MS" w:eastAsia="Arial Unicode MS"/>
        <w:color w:val="8A8A8A"/>
        <w:sz w:val="16"/>
      </w:rPr>
      <w:t xml:space="preserve">LMonitor Java SDK  -  第 </w:t>
    </w:r>
    <w:r>
      <w:rPr>
        <w:rFonts w:ascii="Arial Unicode MS" w:hAnsi="Arial Unicode MS" w:eastAsia="Arial Unicode MS"/>
        <w:color w:val="8A8A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8A8A8A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3" w:color="DADADA"/>
      </w:pBdr>
    </w:pPr>
    <w:r>
      <w:rPr>
        <w:rFonts w:ascii="Arial Unicode MS" w:hAnsi="Arial Unicode MS" w:eastAsia="Arial Unicode MS"/>
        <w:color w:val="8A8A8A"/>
        <w:sz w:val="17"/>
      </w:rPr>
      <w:t>LMonitor Java SDK集成开发指南  |  v1.0.1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Arial Unicode MS" w:hAnsi="Arial Unicode MS" w:eastAsia="Arial Unicode MS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333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60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60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LMonitor Java SDK集成开发指南</dc:title>
  <dc:subject>lmonitor-java-lib 集成、API 与数据模型说明</dc:subject>
  <dc:creator>NavFirst</dc:creator>
  <cp:keywords>LMonitor, Java, SDK, JNA, GNSS, RTCM3</cp:keywords>
  <dc:description>依据源码提交 3b8136f 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