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空調設備 定期点検 作業要領書 (改訂案)</w:t>
      </w:r>
    </w:p>
    <w:p>
      <w:pPr>
        <w:pStyle w:val="Heading1"/>
      </w:pPr>
      <w:r>
        <w:t>1. 適用範囲</w:t>
      </w:r>
    </w:p>
    <w:p>
      <w:r>
        <w:rPr>
          <w:strike w:val="0"/>
          <w:u w:val="none"/>
        </w:rPr>
        <w:t>本要領書は、第2棟の空調設備の定期点検に適用する。</w:t>
      </w:r>
    </w:p>
    <w:p>
      <w:r>
        <w:rPr>
          <w:strike/>
          <w:u w:val="none"/>
        </w:rPr>
        <w:t>第1棟の空調設備にも準用する。</w:t>
      </w:r>
    </w:p>
    <w:p>
      <w:pPr>
        <w:pStyle w:val="Heading1"/>
      </w:pPr>
      <w:r>
        <w:t>2. 点検周期</w:t>
      </w:r>
    </w:p>
    <w:p>
      <w:r>
        <w:rPr>
          <w:strike/>
          <w:u w:val="none"/>
        </w:rPr>
        <w:t>点検は 6 か月ごとに実施する。</w:t>
      </w:r>
    </w:p>
    <w:p>
      <w:r>
        <w:rPr>
          <w:strike w:val="0"/>
          <w:u w:val="none"/>
        </w:rPr>
        <w:t>点検は 12 か月ごとに実施する。</w:t>
      </w:r>
    </w:p>
    <w:p>
      <w:pPr>
        <w:pStyle w:val="Heading1"/>
      </w:pPr>
      <w:r>
        <w:t>3. 作業手順</w:t>
      </w:r>
    </w:p>
    <w:p>
      <w:r>
        <w:rPr>
          <w:strike w:val="0"/>
          <w:u w:val="none"/>
        </w:rPr>
        <w:t>(1) フィルターを取り外し、清掃する。</w:t>
      </w:r>
    </w:p>
    <w:p>
      <w:r>
        <w:rPr>
          <w:strike w:val="0"/>
          <w:u w:val="none"/>
        </w:rPr>
        <w:t>(2) ベルトの張りを</w:t>
      </w:r>
      <w:r>
        <w:rPr>
          <w:strike/>
          <w:u w:val="none"/>
        </w:rPr>
        <w:t>目視で確認する。</w:t>
      </w:r>
      <w:r>
        <w:rPr>
          <w:strike w:val="0"/>
          <w:u w:val="none"/>
        </w:rPr>
        <w:t>張力計で測定し、記録する。</w:t>
      </w:r>
    </w:p>
    <w:p>
      <w:r>
        <w:rPr>
          <w:strike w:val="0"/>
          <w:u w:val="none"/>
        </w:rPr>
        <w:t>(3) 試運転を行い、</w:t>
      </w:r>
      <w:r>
        <w:rPr>
          <w:strike w:val="0"/>
          <w:u w:val="single"/>
        </w:rPr>
        <w:t>異音のないこと</w:t>
      </w:r>
      <w:r>
        <w:rPr>
          <w:strike w:val="0"/>
          <w:u w:val="none"/>
        </w:rPr>
        <w:t>を確認する。</w:t>
      </w:r>
    </w:p>
    <w:p>
      <w:r>
        <w:rPr>
          <w:strike/>
          <w:u w:val="none"/>
        </w:rPr>
        <w:t>(4) 作業後、担当者が点検記録に押印する。</w:t>
      </w:r>
    </w:p>
    <w:p>
      <w:pPr>
        <w:pStyle w:val="Heading1"/>
      </w:pPr>
      <w:r>
        <w:t>4. 判定基準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trike w:val="0"/>
                <w:u w:val="none"/>
              </w:rPr>
              <w:t>項目</w:t>
            </w:r>
          </w:p>
        </w:tc>
        <w:tc>
          <w:tcPr>
            <w:tcW w:type="dxa" w:w="2880"/>
          </w:tcPr>
          <w:p>
            <w:r>
              <w:rPr>
                <w:strike w:val="0"/>
                <w:u w:val="none"/>
              </w:rPr>
              <w:t>基準値</w:t>
            </w:r>
          </w:p>
        </w:tc>
        <w:tc>
          <w:tcPr>
            <w:tcW w:type="dxa" w:w="2880"/>
          </w:tcPr>
          <w:p>
            <w:r>
              <w:rPr>
                <w:strike w:val="0"/>
                <w:u w:val="none"/>
              </w:rPr>
              <w:t>備考</w:t>
            </w:r>
          </w:p>
        </w:tc>
      </w:tr>
      <w:tr>
        <w:tc>
          <w:tcPr>
            <w:tcW w:type="dxa" w:w="2880"/>
          </w:tcPr>
          <w:p>
            <w:r>
              <w:rPr>
                <w:strike w:val="0"/>
                <w:u w:val="none"/>
              </w:rPr>
              <w:t>風量</w:t>
            </w:r>
          </w:p>
        </w:tc>
        <w:tc>
          <w:tcPr>
            <w:tcW w:type="dxa" w:w="2880"/>
          </w:tcPr>
          <w:p>
            <w:r>
              <w:rPr>
                <w:strike/>
                <w:u w:val="none"/>
              </w:rPr>
              <w:t>1,200</w:t>
            </w:r>
            <w:r>
              <w:rPr>
                <w:strike w:val="0"/>
                <w:u w:val="none"/>
              </w:rPr>
              <w:t xml:space="preserve"> 1,500 m3/h 以上</w:t>
            </w:r>
          </w:p>
        </w:tc>
        <w:tc>
          <w:tcPr>
            <w:tcW w:type="dxa" w:w="2880"/>
          </w:tcPr>
          <w:p>
            <w:r>
              <w:rPr>
                <w:strike w:val="0"/>
                <w:u w:val="none"/>
              </w:rPr>
              <w:t>設計値の 90 % 以上</w:t>
            </w:r>
          </w:p>
        </w:tc>
      </w:tr>
      <w:tr>
        <w:tc>
          <w:tcPr>
            <w:tcW w:type="dxa" w:w="2880"/>
          </w:tcPr>
          <w:p>
            <w:r>
              <w:rPr>
                <w:strike w:val="0"/>
                <w:u w:val="none"/>
              </w:rPr>
              <w:t>運転電流</w:t>
            </w:r>
          </w:p>
        </w:tc>
        <w:tc>
          <w:tcPr>
            <w:tcW w:type="dxa" w:w="2880"/>
          </w:tcPr>
          <w:p>
            <w:r>
              <w:rPr>
                <w:strike w:val="0"/>
                <w:u w:val="none"/>
              </w:rPr>
              <w:t>12.5 A 以下</w:t>
            </w:r>
          </w:p>
        </w:tc>
        <w:tc>
          <w:tcPr>
            <w:tcW w:type="dxa" w:w="2880"/>
          </w:tcPr>
          <w:p>
            <w:r>
              <w:rPr>
                <w:strike/>
                <w:u w:val="none"/>
              </w:rPr>
              <w:t>定格の 110 % 以下</w:t>
            </w:r>
          </w:p>
        </w:tc>
      </w:tr>
      <w:tr>
        <w:tc>
          <w:tcPr>
            <w:tcW w:type="dxa" w:w="2880"/>
          </w:tcPr>
          <w:p>
            <w:r>
              <w:rPr>
                <w:strike w:val="0"/>
                <w:u w:val="none"/>
              </w:rPr>
              <w:t>振動</w:t>
            </w:r>
          </w:p>
        </w:tc>
        <w:tc>
          <w:tcPr>
            <w:tcW w:type="dxa" w:w="2880"/>
          </w:tcPr>
          <w:p>
            <w:r>
              <w:rPr>
                <w:strike w:val="0"/>
                <w:u w:val="none"/>
              </w:rPr>
              <w:t>異常のないこと</w:t>
            </w:r>
          </w:p>
        </w:tc>
        <w:tc>
          <w:tcPr>
            <w:tcW w:type="dxa" w:w="2880"/>
          </w:tcPr>
          <w:p>
            <w:r>
              <w:rPr>
                <w:strike w:val="0"/>
                <w:u w:val="none"/>
              </w:rPr>
              <w:t>触診による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