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80" w:line="240" w:lineRule="auto"/>
        <w:pBdr>
          <w:left w:val="single" w:sz="14" w:space="4" w:color="E74C3C"/>
          <w:bottom w:val="single" w:sz="4" w:space="2" w:color="BFBFBF"/>
        </w:pBdr>
      </w:pPr>
      <w:r>
        <w:rPr>
          <w:rFonts w:ascii="Noto Sans CJK JP" w:hAnsi="Noto Sans CJK JP" w:eastAsia="Noto Sans CJK JP"/>
          <w:b/>
          <w:sz w:val="26"/>
        </w:rPr>
        <w:t>17-金属技研の加速器に関する受けとめ</w:t>
      </w:r>
    </w:p>
    <w:p>
      <w:pPr>
        <w:spacing w:before="100" w:after="80" w:line="240" w:lineRule="auto"/>
        <w:pBdr>
          <w:left w:val="single" w:sz="14" w:space="4" w:color="E74C3C"/>
          <w:bottom w:val="single" w:sz="4" w:space="2" w:color="BFBFBF"/>
        </w:pBdr>
      </w:pPr>
      <w:r>
        <w:rPr>
          <w:rFonts w:ascii="Noto Sans CJK JP" w:hAnsi="Noto Sans CJK JP" w:eastAsia="Noto Sans CJK JP"/>
          <w:b/>
          <w:sz w:val="22"/>
        </w:rPr>
        <w:t>西田の意見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以前からの大きな意見変更はなし　（ただし、新規資料につき、確認事項、多数。）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基本的に、柏木先生より適切な評価を西田はできないため、柏木先生の意見を正、としていただきたい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が、拝見した（先生方の）評価は、「定格1mA機」、「理想的な加速器」を前提とした評価で、少し酷評過ぎるのでは？と感じている。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あくまで、Ac-225製造用電子ライナックを「安く」「早く」つくるために、金技の加速器を活用できないか、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１００点の加速器をつくることが目的ではなく、事業化に有効利用ことが目的、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その観点で流用する余地は全くないのか、という前提で評価すれば、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「 全く使い物にならない」、「手出しすべきではない」、という評価にはならないのではないか、と考えている。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勿論、資金が潤沢にある、ある程度お金をかけてもよいから、失敗・隘路事項を減らすのが優先、となった場合は、メジ撤退機の流用リスクを回避するのはあり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金技の加速器の評価について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現状、そのままで事業導入は困難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設置施設の制約を外し、問題箇所に十分な対策適用の上で導入すべき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40 MeV / 40 kW (1mA) 定格運転は、チャレンジング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定格(1mA)がでない、元々メジで失敗、で否定的・懐疑的なのは、承知した上での運用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計画した 1 mAが出ないから失敗、はその通りだが、電子ライナックで 40 MeV 1mA でるマシンは世界にない （評価は酷評）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300-400 uAで運転は、瞬間最大風速では、既に実績あり。これが連続運転できるかが、一番の注視ポイント。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金技の加速器を入れる "スピードメリット"、”コストメリット” は、日立の”これまでの境界条件”での話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日立主導　（サイト・建屋の目処）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投資金額：制限あり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世界の施設建設ラッシュに遅れない（時間軸重視）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上記が外れるのであれば、他のとれる選択肢はでてくる。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金属技研製で採用案を進める当初の前提 (重要なチェック項目)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1- 事業の採算を 300-400 uA 前提で設計する。(1mAはチャレンジング、世界最強級をまずはめざさない。)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2- 100h 以上の連続運転が現実的となる改善をしっかりやる　＆　注視する。</w:t>
      </w:r>
    </w:p>
    <w:p>
      <w:pPr>
        <w:spacing w:after="10" w:before="0" w:line="240" w:lineRule="auto"/>
        <w:ind w:left="979" w:hanging="173"/>
      </w:pPr>
      <w:r>
        <w:rPr>
          <w:rFonts w:ascii="Noto Sans CJK JP" w:hAnsi="Noto Sans CJK JP" w:eastAsia="Noto Sans CJK JP"/>
          <w:b w:val="0"/>
          <w:sz w:val="16"/>
        </w:rPr>
        <w:t>• 現状、14 kW で、電子逆流・270度ベンド下でも、300–350 uA の数時間運転をした、との記載あり。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3- メジがやった「検収条件を定めて、それが達成されないと受け取らない」とする、（性能保証させる）</w:t>
      </w:r>
    </w:p>
    <w:p>
      <w:pPr>
        <w:spacing w:before="100" w:after="80" w:line="240" w:lineRule="auto"/>
        <w:pBdr>
          <w:left w:val="single" w:sz="14" w:space="4" w:color="E74C3C"/>
          <w:bottom w:val="single" w:sz="4" w:space="2" w:color="BFBFBF"/>
        </w:pBdr>
      </w:pPr>
      <w:r>
        <w:rPr>
          <w:rFonts w:ascii="Noto Sans CJK JP" w:hAnsi="Noto Sans CJK JP" w:eastAsia="Noto Sans CJK JP"/>
          <w:b/>
          <w:sz w:val="22"/>
        </w:rPr>
        <w:t>評価の前提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EL4040 の定格仕様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40 MeV / 1 mA / 40 kW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運転実績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40 MeV / 最大平均電流：約 350 μA / 14 kW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680"/>
      </w:tblGrid>
      <w:tr>
        <w:tc>
          <w:tcPr>
            <w:tcW w:type="dxa" w:w="4320"/>
            <w:vAlign w:val="top"/>
            <w:shd w:fill="DDEBF7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出力</w:t>
            </w:r>
          </w:p>
        </w:tc>
        <w:tc>
          <w:tcPr>
            <w:tcW w:type="dxa" w:w="4680"/>
            <w:vAlign w:val="top"/>
            <w:shd w:fill="DDEBF7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運転実績</w:t>
            </w:r>
          </w:p>
        </w:tc>
      </w:tr>
      <w:tr>
        <w:tc>
          <w:tcPr>
            <w:tcW w:type="dxa" w:w="4320"/>
            <w:vAlign w:val="top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8 kW 級</w:t>
            </w:r>
          </w:p>
        </w:tc>
        <w:tc>
          <w:tcPr>
            <w:tcW w:type="dxa" w:w="4680"/>
            <w:vAlign w:val="top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数１０時間</w:t>
            </w:r>
          </w:p>
        </w:tc>
      </w:tr>
      <w:tr>
        <w:tc>
          <w:tcPr>
            <w:tcW w:type="dxa" w:w="4320"/>
            <w:vAlign w:val="top"/>
            <w:shd w:fill="F7F7F7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14 kW 級</w:t>
            </w:r>
          </w:p>
        </w:tc>
        <w:tc>
          <w:tcPr>
            <w:tcW w:type="dxa" w:w="4680"/>
            <w:vAlign w:val="top"/>
            <w:shd w:fill="F7F7F7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数時間</w:t>
            </w:r>
          </w:p>
        </w:tc>
      </w:tr>
      <w:tr>
        <w:tc>
          <w:tcPr>
            <w:tcW w:type="dxa" w:w="4320"/>
            <w:vAlign w:val="top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40 kW</w:t>
            </w:r>
          </w:p>
        </w:tc>
        <w:tc>
          <w:tcPr>
            <w:tcW w:type="dxa" w:w="4680"/>
            <w:vAlign w:val="top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なし</w:t>
            </w:r>
          </w:p>
        </w:tc>
      </w:tr>
    </w:tbl>
    <w:p>
      <w:pPr>
        <w:spacing w:after="20"/>
      </w:pP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評価の見方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40 kW 定格機としての評価：　かなりチャレンジング、一度、失敗済み。リスク高。</w:t>
      </w:r>
    </w:p>
    <w:p>
      <w:pPr>
        <w:spacing w:after="10" w:before="0" w:line="240" w:lineRule="auto"/>
        <w:ind w:left="979" w:hanging="173"/>
      </w:pPr>
      <w:r>
        <w:rPr>
          <w:rFonts w:ascii="Noto Sans CJK JP" w:hAnsi="Noto Sans CJK JP" w:eastAsia="Noto Sans CJK JP"/>
          <w:b w:val="0"/>
          <w:sz w:val="16"/>
        </w:rPr>
        <w:t>• （　↑　先生方の意見は、こちらベースでは？　世界でも 1 mAだせる 電子ライナックはない。 ）</w:t>
      </w:r>
    </w:p>
    <w:p>
      <w:pPr>
        <w:spacing w:after="10" w:before="0" w:line="240" w:lineRule="auto"/>
        <w:ind w:left="979" w:hanging="173"/>
      </w:pPr>
      <w:r>
        <w:rPr>
          <w:rFonts w:ascii="Noto Sans CJK JP" w:hAnsi="Noto Sans CJK JP" w:eastAsia="Noto Sans CJK JP"/>
          <w:b w:val="0"/>
          <w:sz w:val="16"/>
        </w:rPr>
        <w:t>• （ 東北大でも avg. 9 kW。金技は瞬間最大風速だが、14 kW だしている。 8 kW は数１０時間。　）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300–400 uA 級実証機としての評価：検討可能の考え</w:t>
      </w:r>
    </w:p>
    <w:p>
      <w:pPr>
        <w:spacing w:after="10" w:before="0" w:line="240" w:lineRule="auto"/>
        <w:ind w:left="979" w:hanging="173"/>
      </w:pPr>
      <w:r>
        <w:rPr>
          <w:rFonts w:ascii="Noto Sans CJK JP" w:hAnsi="Noto Sans CJK JP" w:eastAsia="Noto Sans CJK JP"/>
          <w:b w:val="0"/>
          <w:sz w:val="16"/>
        </w:rPr>
        <w:t>• （　↑　日立の導入計画はこの前提、1 mA でれば儲けもの、それで事業設計する、だったのでは？ 　という西田の認識。）</w:t>
      </w:r>
    </w:p>
    <w:p>
      <w:r>
        <w:rPr>
          <w:rFonts w:ascii="Noto Sans CJK JP" w:hAnsi="Noto Sans CJK JP" w:eastAsia="Noto Sans CJK JP"/>
          <w:sz w:val="16"/>
        </w:rPr>
        <w:br w:type="page"/>
      </w:r>
    </w:p>
    <w:p>
      <w:pPr>
        <w:spacing w:before="100" w:after="80" w:line="240" w:lineRule="auto"/>
        <w:pBdr>
          <w:left w:val="single" w:sz="14" w:space="4" w:color="F39C12"/>
          <w:bottom w:val="single" w:sz="4" w:space="2" w:color="BFBFBF"/>
        </w:pBdr>
      </w:pPr>
      <w:r>
        <w:rPr>
          <w:rFonts w:ascii="Noto Sans CJK JP" w:hAnsi="Noto Sans CJK JP" w:eastAsia="Noto Sans CJK JP"/>
          <w:b/>
          <w:sz w:val="22"/>
        </w:rPr>
        <w:t>これまで懸案だった問題点のまとめ</w:t>
      </w:r>
    </w:p>
    <w:p>
      <w:pPr>
        <w:spacing w:before="60" w:after="40" w:line="240" w:lineRule="auto"/>
        <w:pBdr>
          <w:left w:val="single" w:sz="10" w:space="4" w:color="F1C40F"/>
        </w:pBdr>
      </w:pPr>
      <w:r>
        <w:rPr>
          <w:rFonts w:ascii="Noto Sans CJK JP" w:hAnsi="Noto Sans CJK JP" w:eastAsia="Noto Sans CJK JP"/>
          <w:b/>
          <w:sz w:val="20"/>
        </w:rPr>
        <w:t>主な問題と対策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"/>
        <w:gridCol w:w="2376"/>
        <w:gridCol w:w="2376"/>
        <w:gridCol w:w="648"/>
        <w:gridCol w:w="3096"/>
      </w:tblGrid>
      <w:tr>
        <w:tc>
          <w:tcPr>
            <w:tcW w:type="dxa" w:w="504"/>
            <w:vAlign w:val="top"/>
            <w:shd w:fill="DDEBF7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No.</w:t>
            </w:r>
          </w:p>
        </w:tc>
        <w:tc>
          <w:tcPr>
            <w:tcW w:type="dxa" w:w="2376"/>
            <w:vAlign w:val="top"/>
            <w:shd w:fill="DDEBF7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問題</w:t>
            </w:r>
          </w:p>
        </w:tc>
        <w:tc>
          <w:tcPr>
            <w:tcW w:type="dxa" w:w="2376"/>
            <w:vAlign w:val="top"/>
            <w:shd w:fill="DDEBF7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主因</w:t>
            </w:r>
          </w:p>
        </w:tc>
        <w:tc>
          <w:tcPr>
            <w:tcW w:type="dxa" w:w="648"/>
            <w:vAlign w:val="top"/>
            <w:shd w:fill="DDEBF7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問題</w:t>
            </w:r>
            <w:r>
              <w:br/>
            </w:r>
            <w:r>
              <w:rPr>
                <w:rFonts w:ascii="Noto Sans CJK JP" w:hAnsi="Noto Sans CJK JP" w:eastAsia="Noto Sans CJK JP"/>
                <w:b/>
                <w:sz w:val="14"/>
              </w:rPr>
              <w:t>度</w:t>
            </w:r>
          </w:p>
        </w:tc>
        <w:tc>
          <w:tcPr>
            <w:tcW w:type="dxa" w:w="3096"/>
            <w:vAlign w:val="top"/>
            <w:shd w:fill="DDEBF7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対策</w:t>
            </w:r>
          </w:p>
        </w:tc>
      </w:tr>
      <w:tr>
        <w:tc>
          <w:tcPr>
            <w:tcW w:type="dxa" w:w="504"/>
            <w:vAlign w:val="top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1</w:t>
            </w:r>
          </w:p>
        </w:tc>
        <w:tc>
          <w:tcPr>
            <w:tcW w:type="dxa" w:w="2376"/>
            <w:vAlign w:val="top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ビームが絞れない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ダクト加熱</w:t>
            </w:r>
          </w:p>
        </w:tc>
        <w:tc>
          <w:tcPr>
            <w:tcW w:type="dxa" w:w="2376"/>
            <w:vAlign w:val="top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270度ベンド、最終直線部の短さ、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四極電磁石スペース不足</w:t>
            </w:r>
          </w:p>
        </w:tc>
        <w:tc>
          <w:tcPr>
            <w:tcW w:type="dxa" w:w="648"/>
            <w:vAlign w:val="top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低</w:t>
            </w:r>
          </w:p>
        </w:tc>
        <w:tc>
          <w:tcPr>
            <w:tcW w:type="dxa" w:w="3096"/>
            <w:vAlign w:val="top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十分な設置スペース確保、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270度ベンドの回避、直線または単純なベンドへ変更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ビームシミュレーションの精緻化</w:t>
            </w:r>
          </w:p>
        </w:tc>
      </w:tr>
      <w:tr>
        <w:tc>
          <w:tcPr>
            <w:tcW w:type="dxa" w:w="504"/>
            <w:vAlign w:val="top"/>
            <w:shd w:fill="F7F7F7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2</w:t>
            </w:r>
          </w:p>
        </w:tc>
        <w:tc>
          <w:tcPr>
            <w:tcW w:type="dxa" w:w="2376"/>
            <w:vAlign w:val="top"/>
            <w:shd w:fill="F7F7F7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RF電源周辺の放射線</w:t>
            </w:r>
          </w:p>
        </w:tc>
        <w:tc>
          <w:tcPr>
            <w:tcW w:type="dxa" w:w="2376"/>
            <w:vAlign w:val="top"/>
            <w:shd w:fill="F7F7F7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RF電源が加速器直近、遮蔽不足、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冷却水系分離不足</w:t>
            </w:r>
          </w:p>
        </w:tc>
        <w:tc>
          <w:tcPr>
            <w:tcW w:type="dxa" w:w="648"/>
            <w:vAlign w:val="top"/>
            <w:shd w:fill="F7F7F7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中</w:t>
            </w:r>
          </w:p>
        </w:tc>
        <w:tc>
          <w:tcPr>
            <w:tcW w:type="dxa" w:w="3096"/>
            <w:vAlign w:val="top"/>
            <w:shd w:fill="F7F7F7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電源・制御系を遮蔽壁外へ配置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冷却水系分離、線量評価</w:t>
            </w:r>
          </w:p>
        </w:tc>
      </w:tr>
      <w:tr>
        <w:tc>
          <w:tcPr>
            <w:tcW w:type="dxa" w:w="504"/>
            <w:vAlign w:val="top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3</w:t>
            </w:r>
          </w:p>
        </w:tc>
        <w:tc>
          <w:tcPr>
            <w:tcW w:type="dxa" w:w="2376"/>
            <w:vAlign w:val="top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電子逆流（バックボンバードメント）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15 kW 以上で出力制限</w:t>
            </w:r>
          </w:p>
        </w:tc>
        <w:tc>
          <w:tcPr>
            <w:tcW w:type="dxa" w:w="2376"/>
            <w:vAlign w:val="top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EBBにより、電圧印加が頭打ち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電子銃不安定</w:t>
            </w:r>
          </w:p>
        </w:tc>
        <w:tc>
          <w:tcPr>
            <w:tcW w:type="dxa" w:w="648"/>
            <w:vAlign w:val="top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高</w:t>
            </w:r>
          </w:p>
        </w:tc>
        <w:tc>
          <w:tcPr>
            <w:tcW w:type="dxa" w:w="3096"/>
            <w:vAlign w:val="top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電子銃高圧パルス化、LEBT / シケイン、入射側偏向電磁石</w:t>
            </w:r>
          </w:p>
        </w:tc>
      </w:tr>
    </w:tbl>
    <w:p>
      <w:pPr>
        <w:spacing w:after="20"/>
      </w:pPr>
    </w:p>
    <w:p>
      <w:pPr>
        <w:spacing w:before="60" w:after="40" w:line="240" w:lineRule="auto"/>
        <w:pBdr>
          <w:left w:val="single" w:sz="10" w:space="4" w:color="F1C40F"/>
        </w:pBdr>
      </w:pPr>
      <w:r>
        <w:rPr>
          <w:rFonts w:ascii="Noto Sans CJK JP" w:hAnsi="Noto Sans CJK JP" w:eastAsia="Noto Sans CJK JP"/>
          <w:b/>
          <w:sz w:val="20"/>
        </w:rPr>
        <w:t>No.1：ビームが絞れない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メジ設置室が狭く、270度偏向が必須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270度偏向後にエネルギー分散が大きい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ターゲット前に十分な四極電磁石を置けず、ビームを絞り切れず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ビームサイズ仕様にも認識齟齬</w:t>
      </w:r>
    </w:p>
    <w:p>
      <w:pPr>
        <w:spacing w:after="10" w:before="0" w:line="240" w:lineRule="auto"/>
        <w:ind w:left="979" w:hanging="173"/>
      </w:pPr>
      <w:r>
        <w:rPr>
          <w:rFonts w:ascii="Noto Sans CJK JP" w:hAnsi="Noto Sans CJK JP" w:eastAsia="Noto Sans CJK JP"/>
          <w:b w:val="0"/>
          <w:sz w:val="16"/>
        </w:rPr>
        <w:t>• メジ：全ビームが Φ15 mm 内 (フル (100%)ビームサイズ)　⇔　金技：ガウシアンの FWHM が Φ15 mm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ビームシミュレーションに問題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270度ベンド要素なし → 90deg x 3 で代用 (設計ミス)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相互チェックなし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15"/>
      </w:tblGrid>
      <w:tr>
        <w:tc>
          <w:tcPr>
            <w:tcW w:type="dxa" w:w="9115"/>
            <w:shd w:fill="E8F3FE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60" w:before="20"/>
              <w:ind w:left="72"/>
            </w:pPr>
            <w:r>
              <w:rPr>
                <w:rFonts w:ascii="Noto Sans CJK JP" w:hAnsi="Noto Sans CJK JP" w:eastAsia="Noto Sans CJK JP"/>
                <w:b/>
                <w:color w:val="0066CC"/>
                <w:sz w:val="16"/>
              </w:rPr>
              <w:t>✓ 対策</w:t>
            </w:r>
          </w:p>
          <w:p>
            <w:pPr>
              <w:spacing w:after="10" w:line="240" w:lineRule="auto"/>
              <w:ind w:left="317" w:hanging="173"/>
            </w:pPr>
            <w:r>
              <w:rPr>
                <w:rFonts w:ascii="Noto Sans CJK JP" w:hAnsi="Noto Sans CJK JP" w:eastAsia="Noto Sans CJK JP"/>
                <w:sz w:val="16"/>
              </w:rPr>
              <w:t>• 施設に十分なスペースを取れれば、対策可能性は高い</w:t>
            </w:r>
          </w:p>
          <w:p>
            <w:pPr>
              <w:spacing w:after="10" w:line="240" w:lineRule="auto"/>
              <w:ind w:left="317" w:hanging="173"/>
            </w:pPr>
            <w:r>
              <w:rPr>
                <w:rFonts w:ascii="Noto Sans CJK JP" w:hAnsi="Noto Sans CJK JP" w:eastAsia="Noto Sans CJK JP"/>
                <w:sz w:val="16"/>
              </w:rPr>
              <w:t>• ビームシミュレーションのバリデーション</w:t>
            </w:r>
          </w:p>
        </w:tc>
      </w:tr>
    </w:tbl>
    <w:p>
      <w:pPr>
        <w:spacing w:after="20"/>
      </w:pPr>
    </w:p>
    <w:p>
      <w:pPr>
        <w:spacing w:before="60" w:after="40" w:line="240" w:lineRule="auto"/>
        <w:pBdr>
          <w:left w:val="single" w:sz="10" w:space="4" w:color="F1C40F"/>
        </w:pBdr>
      </w:pPr>
      <w:r>
        <w:rPr>
          <w:rFonts w:ascii="Noto Sans CJK JP" w:hAnsi="Noto Sans CJK JP" w:eastAsia="Noto Sans CJK JP"/>
          <w:b/>
          <w:sz w:val="20"/>
        </w:rPr>
        <w:t>No.2：RF電源周辺の線量率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RF電源が加速管、真横で近すぎる （レイアウトが土台無理）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冷却水が放射化（ターゲット水とRF電源の冷却水が分離されていない）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放射線起因とみられる PLC 等のエラーが頻発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遮蔽壁を置くスペースがない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15"/>
      </w:tblGrid>
      <w:tr>
        <w:tc>
          <w:tcPr>
            <w:tcW w:type="dxa" w:w="9115"/>
            <w:shd w:fill="E8F3FE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60" w:before="20"/>
              <w:ind w:left="72"/>
            </w:pPr>
            <w:r>
              <w:rPr>
                <w:rFonts w:ascii="Noto Sans CJK JP" w:hAnsi="Noto Sans CJK JP" w:eastAsia="Noto Sans CJK JP"/>
                <w:b/>
                <w:color w:val="0066CC"/>
                <w:sz w:val="16"/>
              </w:rPr>
              <w:t>✓ 対策</w:t>
            </w:r>
          </w:p>
          <w:p>
            <w:pPr>
              <w:spacing w:after="10" w:line="240" w:lineRule="auto"/>
              <w:ind w:left="317" w:hanging="173"/>
            </w:pPr>
            <w:r>
              <w:rPr>
                <w:rFonts w:ascii="Noto Sans CJK JP" w:hAnsi="Noto Sans CJK JP" w:eastAsia="Noto Sans CJK JP"/>
                <w:sz w:val="16"/>
              </w:rPr>
              <w:t>• 電源は別室</w:t>
            </w:r>
          </w:p>
          <w:p>
            <w:pPr>
              <w:spacing w:after="10" w:line="240" w:lineRule="auto"/>
              <w:ind w:left="317" w:hanging="173"/>
            </w:pPr>
            <w:r>
              <w:rPr>
                <w:rFonts w:ascii="Noto Sans CJK JP" w:hAnsi="Noto Sans CJK JP" w:eastAsia="Noto Sans CJK JP"/>
                <w:sz w:val="16"/>
              </w:rPr>
              <w:t>• ターゲット冷却水系を分離</w:t>
            </w:r>
          </w:p>
          <w:p>
            <w:pPr>
              <w:spacing w:after="10" w:line="240" w:lineRule="auto"/>
              <w:ind w:left="317" w:hanging="173"/>
            </w:pPr>
            <w:r>
              <w:rPr>
                <w:rFonts w:ascii="Noto Sans CJK JP" w:hAnsi="Noto Sans CJK JP" w:eastAsia="Noto Sans CJK JP"/>
                <w:sz w:val="16"/>
              </w:rPr>
              <w:t>• 十分なレイアウトがあれば、対策可能な問題</w:t>
            </w:r>
          </w:p>
        </w:tc>
      </w:tr>
    </w:tbl>
    <w:p>
      <w:pPr>
        <w:spacing w:after="20"/>
      </w:pPr>
    </w:p>
    <w:p>
      <w:pPr>
        <w:spacing w:before="60" w:after="40" w:line="240" w:lineRule="auto"/>
        <w:pBdr>
          <w:left w:val="single" w:sz="10" w:space="4" w:color="F1C40F"/>
        </w:pBdr>
      </w:pPr>
      <w:r>
        <w:rPr>
          <w:rFonts w:ascii="Noto Sans CJK JP" w:hAnsi="Noto Sans CJK JP" w:eastAsia="Noto Sans CJK JP"/>
          <w:b/>
          <w:sz w:val="20"/>
        </w:rPr>
        <w:t>No.3：電子逆流（バックボンバードメント）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不要電子が逆流し、電子銃へ　（負電荷により印加電圧を上げられない）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約 13–14 kW 以上で電子銃が不安定化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高出力電子ライナックでは本質的に抱えられる問題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15"/>
      </w:tblGrid>
      <w:tr>
        <w:tc>
          <w:tcPr>
            <w:tcW w:type="dxa" w:w="9115"/>
            <w:shd w:fill="E8F3FE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60" w:before="20"/>
              <w:ind w:left="72"/>
            </w:pPr>
            <w:r>
              <w:rPr>
                <w:rFonts w:ascii="Noto Sans CJK JP" w:hAnsi="Noto Sans CJK JP" w:eastAsia="Noto Sans CJK JP"/>
                <w:b/>
                <w:color w:val="0066CC"/>
                <w:sz w:val="16"/>
              </w:rPr>
              <w:t>✓ 対策</w:t>
            </w:r>
          </w:p>
          <w:p>
            <w:pPr>
              <w:spacing w:after="10" w:line="240" w:lineRule="auto"/>
              <w:ind w:left="317" w:hanging="173"/>
            </w:pPr>
            <w:r>
              <w:rPr>
                <w:rFonts w:ascii="Noto Sans CJK JP" w:hAnsi="Noto Sans CJK JP" w:eastAsia="Noto Sans CJK JP"/>
                <w:sz w:val="16"/>
              </w:rPr>
              <w:t>• 電子銃高圧のパルス化　（逆流電子の加速時間を減らす）</w:t>
            </w:r>
          </w:p>
          <w:p>
            <w:pPr>
              <w:spacing w:after="10" w:line="240" w:lineRule="auto"/>
              <w:ind w:left="317" w:hanging="173"/>
            </w:pPr>
            <w:r>
              <w:rPr>
                <w:rFonts w:ascii="Noto Sans CJK JP" w:hAnsi="Noto Sans CJK JP" w:eastAsia="Noto Sans CJK JP"/>
                <w:sz w:val="16"/>
              </w:rPr>
              <w:t>• 電子銃–バンチャー間の ベンド（シケイン）　（逆流電子を曲げて他へ）</w:t>
            </w:r>
          </w:p>
        </w:tc>
      </w:tr>
    </w:tbl>
    <w:p>
      <w:pPr>
        <w:spacing w:after="20"/>
      </w:pPr>
    </w:p>
    <w:p>
      <w:r>
        <w:rPr>
          <w:rFonts w:ascii="Noto Sans CJK JP" w:hAnsi="Noto Sans CJK JP" w:eastAsia="Noto Sans CJK JP"/>
          <w:sz w:val="16"/>
        </w:rPr>
        <w:br w:type="page"/>
      </w:r>
    </w:p>
    <w:p>
      <w:pPr>
        <w:spacing w:before="60" w:after="40" w:line="240" w:lineRule="auto"/>
        <w:pBdr>
          <w:left w:val="single" w:sz="10" w:space="4" w:color="F1C40F"/>
        </w:pBdr>
      </w:pPr>
      <w:r>
        <w:rPr>
          <w:rFonts w:ascii="Noto Sans CJK JP" w:hAnsi="Noto Sans CJK JP" w:eastAsia="Noto Sans CJK JP"/>
          <w:b/>
          <w:sz w:val="20"/>
        </w:rPr>
        <w:t>対策と所見まとめ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既存問題の多くは、メジの狭隘な設置条件により顕在化（当初要求時の施設設計がわるい）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十分な設置スペースがあれば、No.1 と No.2 は大きく改善可能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No.3 は本質的課題だが、対策余地はあるか　（専門家でも容易ではない課題ではある）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15"/>
      </w:tblGrid>
      <w:tr>
        <w:tc>
          <w:tcPr>
            <w:tcW w:type="dxa" w:w="9115"/>
            <w:shd w:fill="E8F3FE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60" w:before="20"/>
              <w:ind w:left="72"/>
            </w:pPr>
            <w:r>
              <w:rPr>
                <w:rFonts w:ascii="Noto Sans CJK JP" w:hAnsi="Noto Sans CJK JP" w:eastAsia="Noto Sans CJK JP"/>
                <w:b/>
                <w:color w:val="0066CC"/>
                <w:sz w:val="16"/>
              </w:rPr>
              <w:t>✓ 重要ポイント</w:t>
            </w:r>
          </w:p>
          <w:p>
            <w:pPr>
              <w:spacing w:after="10" w:line="240" w:lineRule="auto"/>
              <w:ind w:left="317" w:hanging="173"/>
            </w:pPr>
            <w:r>
              <w:rPr>
                <w:rFonts w:ascii="Noto Sans CJK JP" w:hAnsi="Noto Sans CJK JP" w:eastAsia="Noto Sans CJK JP"/>
                <w:sz w:val="16"/>
              </w:rPr>
              <w:t>• 1 mA化 (No.3) に注力よりも、長時間安定して稼働できる改良 (No.1, No.2) に注力し、これでAc-225製造事業の採算性が取れるかどうか</w:t>
            </w:r>
          </w:p>
        </w:tc>
      </w:tr>
    </w:tbl>
    <w:p>
      <w:pPr>
        <w:spacing w:after="20"/>
      </w:pPr>
    </w:p>
    <w:p>
      <w:pPr>
        <w:spacing w:before="100" w:after="80" w:line="240" w:lineRule="auto"/>
        <w:pBdr>
          <w:left w:val="single" w:sz="14" w:space="4" w:color="E74C3C"/>
          <w:bottom w:val="single" w:sz="4" w:space="2" w:color="BFBFBF"/>
        </w:pBdr>
      </w:pPr>
      <w:r>
        <w:rPr>
          <w:rFonts w:ascii="Noto Sans CJK JP" w:hAnsi="Noto Sans CJK JP" w:eastAsia="Noto Sans CJK JP"/>
          <w:b/>
          <w:sz w:val="22"/>
        </w:rPr>
        <w:t>新規資料（金技のレビュー資料）２件に対する評価</w:t>
      </w:r>
    </w:p>
    <w:p>
      <w:pPr>
        <w:spacing w:before="60" w:after="40" w:line="240" w:lineRule="auto"/>
        <w:pBdr>
          <w:left w:val="single" w:sz="10" w:space="4" w:color="F39C12"/>
        </w:pBdr>
      </w:pPr>
      <w:r>
        <w:rPr>
          <w:rFonts w:ascii="Noto Sans CJK JP" w:hAnsi="Noto Sans CJK JP" w:eastAsia="Noto Sans CJK JP"/>
          <w:b/>
          <w:sz w:val="20"/>
        </w:rPr>
        <w:t>評価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計画・実機製作・検証の３プロセスのうち、計画部分に多少の疑義があると受け止められる。</w:t>
      </w:r>
    </w:p>
    <w:p>
      <w:pPr>
        <w:spacing w:before="100" w:after="80" w:line="240" w:lineRule="auto"/>
        <w:pBdr>
          <w:left w:val="single" w:sz="14" w:space="4" w:color="E74C3C"/>
          <w:bottom w:val="single" w:sz="4" w:space="2" w:color="BFBFBF"/>
        </w:pBdr>
      </w:pPr>
      <w:r>
        <w:rPr>
          <w:rFonts w:ascii="Noto Sans CJK JP" w:hAnsi="Noto Sans CJK JP" w:eastAsia="Noto Sans CJK JP"/>
          <w:b/>
          <w:sz w:val="22"/>
        </w:rPr>
        <w:t>新規資料（金技レビュー資料）への評価</w:t>
      </w:r>
    </w:p>
    <w:p>
      <w:pPr>
        <w:spacing w:before="60" w:after="40" w:line="240" w:lineRule="auto"/>
        <w:pBdr>
          <w:left w:val="single" w:sz="10" w:space="4" w:color="F39C12"/>
        </w:pBdr>
      </w:pPr>
      <w:r>
        <w:rPr>
          <w:rFonts w:ascii="Noto Sans CJK JP" w:hAnsi="Noto Sans CJK JP" w:eastAsia="Noto Sans CJK JP"/>
          <w:b/>
          <w:sz w:val="20"/>
        </w:rPr>
        <w:t>評価の見方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15"/>
      </w:tblGrid>
      <w:tr>
        <w:tc>
          <w:tcPr>
            <w:tcW w:type="dxa" w:w="9115"/>
            <w:shd w:fill="E8F3FE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60" w:before="20"/>
              <w:ind w:left="72"/>
            </w:pPr>
            <w:r>
              <w:rPr>
                <w:rFonts w:ascii="Noto Sans CJK JP" w:hAnsi="Noto Sans CJK JP" w:eastAsia="Noto Sans CJK JP"/>
                <w:b/>
                <w:color w:val="0066CC"/>
                <w:sz w:val="16"/>
              </w:rPr>
              <w:t>✓ 要点</w:t>
            </w:r>
          </w:p>
          <w:p>
            <w:pPr>
              <w:spacing w:after="10" w:line="240" w:lineRule="auto"/>
              <w:ind w:left="317" w:hanging="173"/>
            </w:pPr>
            <w:r>
              <w:rPr>
                <w:rFonts w:ascii="Noto Sans CJK JP" w:hAnsi="Noto Sans CJK JP" w:eastAsia="Noto Sans CJK JP"/>
                <w:sz w:val="16"/>
              </w:rPr>
              <w:t>• 新規資料を踏まえると、実機製作後のトラブルだけでなく、設計・シミュレーション段階の見通しに甘さがあった可能性 があるのでは。</w:t>
            </w:r>
          </w:p>
        </w:tc>
      </w:tr>
    </w:tbl>
    <w:p>
      <w:pPr>
        <w:spacing w:after="20"/>
      </w:pP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加速器本体は、40 MeV 加速器としては成立、一方、40 kW / 1 mA 機としては未達、 14 kW / 350 uA 機としては懸念あり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問題は「実機の不具合」 + 「いくつかの設計判断」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ビーム透過率に関して、90 %を切る（88%）、とは伺っていたが、あくまで実測かと認識。（計算で88%, 実測で60-70%）というのは初めて見た。</w:t>
      </w:r>
    </w:p>
    <w:p>
      <w:pPr>
        <w:spacing w:before="60" w:after="40" w:line="240" w:lineRule="auto"/>
        <w:pBdr>
          <w:left w:val="single" w:sz="10" w:space="4" w:color="F1C40F"/>
        </w:pBdr>
      </w:pPr>
      <w:r>
        <w:rPr>
          <w:rFonts w:ascii="Noto Sans CJK JP" w:hAnsi="Noto Sans CJK JP" w:eastAsia="Noto Sans CJK JP"/>
          <w:b/>
          <w:sz w:val="20"/>
        </w:rPr>
        <w:t>特に注記・指摘・要確認したい箇所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影響がでているのは、基本的に”HEBT” という書きっぷりだが、問題の根幹は本当にHEBTなのか？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加速管 - HEBTのビームシミュレーション接続時の処理が適正か？</w:t>
      </w:r>
    </w:p>
    <w:p>
      <w:pPr>
        <w:spacing w:after="10" w:before="0" w:line="240" w:lineRule="auto"/>
        <w:ind w:left="979" w:hanging="173"/>
      </w:pPr>
      <w:r>
        <w:rPr>
          <w:rFonts w:ascii="Noto Sans CJK JP" w:hAnsi="Noto Sans CJK JP" w:eastAsia="Noto Sans CJK JP"/>
          <w:b w:val="0"/>
          <w:sz w:val="16"/>
        </w:rPr>
        <w:t>• ビームハローの取り扱い</w:t>
      </w:r>
    </w:p>
    <w:p>
      <w:pPr>
        <w:spacing w:after="10" w:before="0" w:line="240" w:lineRule="auto"/>
        <w:ind w:left="979" w:hanging="173"/>
      </w:pPr>
      <w:r>
        <w:rPr>
          <w:rFonts w:ascii="Noto Sans CJK JP" w:hAnsi="Noto Sans CJK JP" w:eastAsia="Noto Sans CJK JP"/>
          <w:b w:val="0"/>
          <w:sz w:val="16"/>
        </w:rPr>
        <w:t>• 90% エミッタンスを用いた BT 設計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ビームシミュレーションのクロスバリデーションは十分か？</w:t>
      </w:r>
    </w:p>
    <w:p>
      <w:pPr>
        <w:spacing w:after="10" w:before="0" w:line="240" w:lineRule="auto"/>
        <w:ind w:left="979" w:hanging="173"/>
      </w:pPr>
      <w:r>
        <w:rPr>
          <w:rFonts w:ascii="Noto Sans CJK JP" w:hAnsi="Noto Sans CJK JP" w:eastAsia="Noto Sans CJK JP"/>
          <w:b w:val="0"/>
          <w:sz w:val="16"/>
        </w:rPr>
        <w:t>• 270 度ベンドのモデル化　（実際に問題があった箇所）</w:t>
      </w:r>
    </w:p>
    <w:p>
      <w:pPr>
        <w:spacing w:after="10" w:before="0" w:line="240" w:lineRule="auto"/>
        <w:ind w:left="979" w:hanging="173"/>
      </w:pPr>
      <w:r>
        <w:rPr>
          <w:rFonts w:ascii="Noto Sans CJK JP" w:hAnsi="Noto Sans CJK JP" w:eastAsia="Noto Sans CJK JP"/>
          <w:b w:val="0"/>
          <w:sz w:val="16"/>
        </w:rPr>
        <w:t>• COMSOL計算も、ハローやディスパージョン無しのビームのみ？　（エミッタンスも90%でリセット？　Waterbagを置いている？ (Gaussian) ）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上記に問題が、もしあれば、LEBT / 加速 部分に改善点はないか？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加速管出口のビームプロファイルの取り扱いに不適切があるのであれば、加速管出口までで解消する必要はないか。</w:t>
      </w:r>
    </w:p>
    <w:p>
      <w:pPr>
        <w:spacing w:after="10" w:before="0" w:line="240" w:lineRule="auto"/>
        <w:ind w:left="979" w:hanging="173"/>
      </w:pPr>
      <w:r>
        <w:rPr>
          <w:rFonts w:ascii="Noto Sans CJK JP" w:hAnsi="Noto Sans CJK JP" w:eastAsia="Noto Sans CJK JP"/>
          <w:b w:val="0"/>
          <w:sz w:val="16"/>
        </w:rPr>
        <w:t>• LEBT / 加速管でのマッチング・ビームシミュレーション見直し</w:t>
      </w:r>
    </w:p>
    <w:p>
      <w:pPr>
        <w:spacing w:after="10" w:before="0" w:line="240" w:lineRule="auto"/>
        <w:ind w:left="979" w:hanging="173"/>
      </w:pPr>
      <w:r>
        <w:rPr>
          <w:rFonts w:ascii="Noto Sans CJK JP" w:hAnsi="Noto Sans CJK JP" w:eastAsia="Noto Sans CJK JP"/>
          <w:b w:val="0"/>
          <w:sz w:val="16"/>
        </w:rPr>
        <w:t>• プリバンチャの追加（現状の構成では不可、電子銃とバンチャが一体化）</w:t>
      </w:r>
    </w:p>
    <w:p>
      <w:pPr>
        <w:spacing w:after="10" w:before="0" w:line="240" w:lineRule="auto"/>
        <w:ind w:left="979" w:hanging="173"/>
      </w:pPr>
      <w:r>
        <w:rPr>
          <w:rFonts w:ascii="Noto Sans CJK JP" w:hAnsi="Noto Sans CJK JP" w:eastAsia="Noto Sans CJK JP"/>
          <w:b w:val="0"/>
          <w:sz w:val="16"/>
        </w:rPr>
        <w:t>• 電子銃のRF引出し化（ e.g. 三菱重工製）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末尾に、 (1)仕様、(2)RF電源、(3) 制御、(4) レイアウト、(5) バックボンバードメント、が課題とある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より本質的なのは、ビームシミュレーションである可能性はないか、という疑問は、本資料をみた感じた。</w:t>
      </w:r>
    </w:p>
    <w:p>
      <w:pPr>
        <w:spacing w:before="60" w:after="40" w:line="240" w:lineRule="auto"/>
        <w:pBdr>
          <w:left w:val="single" w:sz="10" w:space="4" w:color="F39C12"/>
        </w:pBdr>
      </w:pPr>
      <w:r>
        <w:rPr>
          <w:rFonts w:ascii="Noto Sans CJK JP" w:hAnsi="Noto Sans CJK JP" w:eastAsia="Noto Sans CJK JP"/>
          <w:b/>
          <w:sz w:val="20"/>
        </w:rPr>
        <w:t>要確認１：加速管出口 - HEBT系へのシミュレーション上の接続 (ハロー/90%エミッタンス)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図 3.2.3.1-1（位相空間プロット）は、加速管出口時点で、ハローが大きくみえる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90% エミッタンスと 100% エミッタンスは １−２桁異なる。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x 方向：約 18 倍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y 方向：約 46 倍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通常、良質なビームとは言いづらい ( ビームシミュレーションでの取り扱い？？ アパーチャ外の粒子がロストしないなど。 )</w:t>
      </w:r>
    </w:p>
    <w:p>
      <w:r>
        <w:rPr>
          <w:rFonts w:ascii="Noto Sans CJK JP" w:hAnsi="Noto Sans CJK JP" w:eastAsia="Noto Sans CJK JP"/>
          <w:sz w:val="16"/>
        </w:rPr>
        <w:br w:type="page"/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（少数の大きく外れたハローがいると、フルエミッタンスが大きくはなる）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RF 捕獲不良、低エネルギー粒子、外れ粒子、バンチング不良の可能性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上記を数値的・人為的に、過小評価するような取り扱いになっていないかを確認したい。</w:t>
      </w:r>
    </w:p>
    <w:p>
      <w:pPr>
        <w:spacing w:after="60" w:before="40"/>
        <w:jc w:val="center"/>
      </w:pPr>
      <w:r>
        <w:rPr>
          <w:rFonts w:ascii="Noto Sans CJK JP" w:hAnsi="Noto Sans CJK JP" w:eastAsia="Noto Sans CJK JP"/>
          <w:sz w:val="16"/>
        </w:rPr>
        <w:drawing>
          <wp:inline xmlns:a="http://schemas.openxmlformats.org/drawingml/2006/main" xmlns:pic="http://schemas.openxmlformats.org/drawingml/2006/picture">
            <wp:extent cx="5047488" cy="44403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img_p4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444032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15"/>
      </w:tblGrid>
      <w:tr>
        <w:tc>
          <w:tcPr>
            <w:tcW w:type="dxa" w:w="9115"/>
            <w:shd w:fill="E6F6E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60" w:before="20"/>
              <w:ind w:left="72"/>
            </w:pPr>
            <w:r>
              <w:rPr>
                <w:rFonts w:ascii="Noto Sans CJK JP" w:hAnsi="Noto Sans CJK JP" w:eastAsia="Noto Sans CJK JP"/>
                <w:b/>
                <w:color w:val="008A3D"/>
                <w:sz w:val="16"/>
              </w:rPr>
              <w:t>✓ Check</w:t>
            </w:r>
          </w:p>
          <w:p>
            <w:pPr>
              <w:spacing w:after="10" w:line="240" w:lineRule="auto"/>
              <w:ind w:left="317" w:hanging="173"/>
            </w:pPr>
            <w:r>
              <w:rPr>
                <w:rFonts w:ascii="Noto Sans CJK JP" w:hAnsi="Noto Sans CJK JP" w:eastAsia="Noto Sans CJK JP"/>
                <w:sz w:val="16"/>
              </w:rPr>
              <w:t>• シミュレーション接続時に、人為的にビームハローを消去していないか。</w:t>
            </w:r>
          </w:p>
          <w:p>
            <w:pPr>
              <w:spacing w:after="10" w:line="240" w:lineRule="auto"/>
              <w:ind w:left="317" w:hanging="173"/>
            </w:pPr>
            <w:r>
              <w:rPr>
                <w:rFonts w:ascii="Noto Sans CJK JP" w:hAnsi="Noto Sans CJK JP" w:eastAsia="Noto Sans CJK JP"/>
                <w:sz w:val="16"/>
              </w:rPr>
              <w:t>• 90% エミッタンスの使用が適正か</w:t>
            </w:r>
          </w:p>
          <w:p>
            <w:pPr>
              <w:spacing w:after="10" w:line="240" w:lineRule="auto"/>
              <w:ind w:left="317" w:hanging="173"/>
            </w:pPr>
            <w:r>
              <w:rPr>
                <w:rFonts w:ascii="Noto Sans CJK JP" w:hAnsi="Noto Sans CJK JP" w:eastAsia="Noto Sans CJK JP"/>
                <w:sz w:val="16"/>
              </w:rPr>
              <w:t>• 外側 10% のビームロスを過小評価していた場合、数値計算と実験が一致しない結果につながるのでは</w:t>
            </w:r>
          </w:p>
          <w:p>
            <w:pPr>
              <w:spacing w:after="10" w:line="240" w:lineRule="auto"/>
              <w:ind w:left="317" w:hanging="173"/>
            </w:pPr>
            <w:r>
              <w:rPr>
                <w:rFonts w:ascii="Noto Sans CJK JP" w:hAnsi="Noto Sans CJK JP" w:eastAsia="Noto Sans CJK JP"/>
                <w:sz w:val="16"/>
              </w:rPr>
              <w:t>• 最後に記載されている、”GPTでの通し計算”でも、一旦、加速管出口まで計算し、とあるが、同様の処理をしていないか</w:t>
            </w:r>
          </w:p>
        </w:tc>
      </w:tr>
    </w:tbl>
    <w:p>
      <w:pPr>
        <w:spacing w:after="20"/>
      </w:pPr>
    </w:p>
    <w:p>
      <w:pPr>
        <w:spacing w:before="60" w:after="40" w:line="240" w:lineRule="auto"/>
        <w:pBdr>
          <w:left w:val="single" w:sz="10" w:space="4" w:color="F39C12"/>
        </w:pBdr>
      </w:pPr>
      <w:r>
        <w:rPr>
          <w:rFonts w:ascii="Noto Sans CJK JP" w:hAnsi="Noto Sans CJK JP" w:eastAsia="Noto Sans CJK JP"/>
          <w:b/>
          <w:sz w:val="20"/>
        </w:rPr>
        <w:t>要確認 ２：270 度ベンド変更によるビーム透過率改善の効果と向上策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5"/>
        </w:rPr>
        <w:t>• 270 度ベンドは、メジの狭隘レイアウトに対応するための苦肉の策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5"/>
        </w:rPr>
        <w:t>• ビームシミュレーションに適切な要素がなかった（WinAgile）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5"/>
        </w:rPr>
        <w:t>• 90度ベンド x 3で代用とのこと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5"/>
        </w:rPr>
        <w:t>• かつ、上記確認点１で、加速管出口でプロファイルが単純化されている懸念？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5"/>
        </w:rPr>
        <w:t>• 当初の２７０度ベンド入のHEBT設計時にエネルギー分散を十分に扱えていない可能性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5"/>
        </w:rPr>
        <w:t>• （実際）270 度ベンド後に低エネルギー粒子が横方向へ広がり、実機でもビーム拡がり・ダクト加熱・透過率低下として顕在化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5"/>
        </w:rPr>
        <w:t>• ２７０度ベンドの設計が不十分だった場合、変更後の２７０度ベンド、適用で改善がみられるはず。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5"/>
        </w:rPr>
        <w:t>• 改善の時系列が、資料からはわからない（ 数値計算の透過率：８８％、COMSOL最適化後のHEBTでは？ ）</w:t>
      </w:r>
    </w:p>
    <w:p>
      <w:pPr>
        <w:spacing w:after="10" w:before="0" w:line="240" w:lineRule="auto"/>
        <w:ind w:left="979" w:hanging="173"/>
      </w:pPr>
      <w:r>
        <w:rPr>
          <w:rFonts w:ascii="Noto Sans CJK JP" w:hAnsi="Noto Sans CJK JP" w:eastAsia="Noto Sans CJK JP"/>
          <w:b w:val="0"/>
          <w:sz w:val="15"/>
        </w:rPr>
        <w:t>• (1) WinAGILEで90度x3で失敗 （透過率評価なし？）</w:t>
      </w:r>
    </w:p>
    <w:p>
      <w:pPr>
        <w:spacing w:after="10" w:before="0" w:line="240" w:lineRule="auto"/>
        <w:ind w:left="979" w:hanging="173"/>
      </w:pPr>
      <w:r>
        <w:rPr>
          <w:rFonts w:ascii="Noto Sans CJK JP" w:hAnsi="Noto Sans CJK JP" w:eastAsia="Noto Sans CJK JP"/>
          <w:b w:val="0"/>
          <w:sz w:val="15"/>
        </w:rPr>
        <w:t>• (2) COMSOL実磁場270度ベンド (88%)</w:t>
      </w:r>
    </w:p>
    <w:p>
      <w:pPr>
        <w:spacing w:after="10" w:before="0" w:line="240" w:lineRule="auto"/>
        <w:ind w:left="979" w:hanging="173"/>
      </w:pPr>
      <w:r>
        <w:rPr>
          <w:rFonts w:ascii="Noto Sans CJK JP" w:hAnsi="Noto Sans CJK JP" w:eastAsia="Noto Sans CJK JP"/>
          <w:b w:val="0"/>
          <w:sz w:val="15"/>
        </w:rPr>
        <w:t>• (3) 実測 (60-70%)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5"/>
        </w:rPr>
        <w:t>• 結局、２７０度ベンドの再設計による、透過率向上があって改善したとは言えない、と読める。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5"/>
        </w:rPr>
        <w:t>• ２７０度ベンドの再設計・適用しても、ディスパージョンの効果が取りきれてない、という主旨であれば、前段部分（LEBT系＋加速管）に問題があるのでは？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5"/>
        </w:rPr>
        <w:t>• この点に関して、向上策なし（単に２７０度ベンド無しへ変更）の場合、問題が２７０度ベンドになかった場合が想定されないか？</w:t>
      </w:r>
    </w:p>
    <w:p>
      <w:r>
        <w:rPr>
          <w:rFonts w:ascii="Noto Sans CJK JP" w:hAnsi="Noto Sans CJK JP" w:eastAsia="Noto Sans CJK JP"/>
          <w:sz w:val="16"/>
        </w:rPr>
        <w:br w:type="page"/>
      </w:r>
    </w:p>
    <w:p>
      <w:pPr>
        <w:spacing w:after="60" w:before="40"/>
        <w:jc w:val="center"/>
      </w:pPr>
      <w:r>
        <w:rPr>
          <w:rFonts w:ascii="Noto Sans CJK JP" w:hAnsi="Noto Sans CJK JP" w:eastAsia="Noto Sans CJK JP"/>
          <w:sz w:val="16"/>
        </w:rPr>
        <w:drawing>
          <wp:inline xmlns:a="http://schemas.openxmlformats.org/drawingml/2006/main" xmlns:pic="http://schemas.openxmlformats.org/drawingml/2006/picture">
            <wp:extent cx="4114800" cy="29633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img_p5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6335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15"/>
      </w:tblGrid>
      <w:tr>
        <w:tc>
          <w:tcPr>
            <w:tcW w:type="dxa" w:w="9115"/>
            <w:shd w:fill="E6F6E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60" w:before="20"/>
              <w:ind w:left="72"/>
            </w:pPr>
            <w:r>
              <w:rPr>
                <w:rFonts w:ascii="Noto Sans CJK JP" w:hAnsi="Noto Sans CJK JP" w:eastAsia="Noto Sans CJK JP"/>
                <w:b/>
                <w:color w:val="008A3D"/>
                <w:sz w:val="16"/>
              </w:rPr>
              <w:t>✓ Check</w:t>
            </w:r>
          </w:p>
          <w:p>
            <w:pPr>
              <w:spacing w:after="10" w:line="240" w:lineRule="auto"/>
              <w:ind w:left="317" w:hanging="173"/>
            </w:pPr>
            <w:r>
              <w:rPr>
                <w:rFonts w:ascii="Noto Sans CJK JP" w:hAnsi="Noto Sans CJK JP" w:eastAsia="Noto Sans CJK JP"/>
                <w:sz w:val="16"/>
              </w:rPr>
              <w:t>• 改善策（２７０度ベンドの改良）とシミュレーション、実測の時系列的な改善効果の整理が必要</w:t>
            </w:r>
          </w:p>
          <w:p>
            <w:pPr>
              <w:spacing w:after="10" w:line="240" w:lineRule="auto"/>
              <w:ind w:left="317" w:hanging="173"/>
            </w:pPr>
            <w:r>
              <w:rPr>
                <w:rFonts w:ascii="Noto Sans CJK JP" w:hAnsi="Noto Sans CJK JP" w:eastAsia="Noto Sans CJK JP"/>
                <w:sz w:val="16"/>
              </w:rPr>
              <w:t>• 実測とシミュレーションの不一致原因の特定（金技からの説明）が必要</w:t>
            </w:r>
          </w:p>
        </w:tc>
      </w:tr>
    </w:tbl>
    <w:p>
      <w:pPr>
        <w:spacing w:after="20"/>
      </w:pPr>
    </w:p>
    <w:p>
      <w:pPr>
        <w:spacing w:before="60" w:after="40" w:line="240" w:lineRule="auto"/>
        <w:pBdr>
          <w:left w:val="single" w:sz="10" w:space="4" w:color="F39C12"/>
        </w:pBdr>
      </w:pPr>
      <w:r>
        <w:rPr>
          <w:rFonts w:ascii="Noto Sans CJK JP" w:hAnsi="Noto Sans CJK JP" w:eastAsia="Noto Sans CJK JP"/>
          <w:b/>
          <w:sz w:val="20"/>
        </w:rPr>
        <w:t>要確認３：その他確認事項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図 3.1-3 のβはどこのβ？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入射時点で、β=0.6 程度とよめるが、本当？（電子銃の引き出し電圧と対応してなさそう）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低エネルギー部分の評価は適正？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バンチャー - レギュラー管などにBPM, CT はみえるが、評価はどうなっているか。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ビーム縦方向のダイナミクス（ phi - dW/W の位相空間図など ）が全体的に掲載されていないが、確認しているか。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シミュレーションにおけるロス粒子の取り扱いについて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COMSOL実磁場計算後のGPTでのトラッキング、または、エンベロープ計算はないのか。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当初のWinAGILEの計算のみ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全体として、φ15mm 計算で評価しているが、FWHM 5 mm だともっと厳しい透過率になるが、問題ないか。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バックボンバードメント対策に関して、対策後ビームライン案はあるか？</w:t>
      </w:r>
    </w:p>
    <w:p>
      <w:pPr>
        <w:spacing w:before="100" w:after="80" w:line="240" w:lineRule="auto"/>
        <w:pBdr>
          <w:left w:val="single" w:sz="14" w:space="4" w:color="E74C3C"/>
          <w:bottom w:val="single" w:sz="4" w:space="2" w:color="BFBFBF"/>
        </w:pBdr>
      </w:pPr>
      <w:r>
        <w:rPr>
          <w:rFonts w:ascii="Noto Sans CJK JP" w:hAnsi="Noto Sans CJK JP" w:eastAsia="Noto Sans CJK JP"/>
          <w:b/>
          <w:sz w:val="22"/>
        </w:rPr>
        <w:t>導入判断・選択肢案</w:t>
      </w:r>
    </w:p>
    <w:p>
      <w:pPr>
        <w:spacing w:before="60" w:after="40" w:line="240" w:lineRule="auto"/>
        <w:pBdr>
          <w:left w:val="single" w:sz="10" w:space="4" w:color="F39C12"/>
        </w:pBdr>
      </w:pPr>
      <w:r>
        <w:rPr>
          <w:rFonts w:ascii="Noto Sans CJK JP" w:hAnsi="Noto Sans CJK JP" w:eastAsia="Noto Sans CJK JP"/>
          <w:b/>
          <w:sz w:val="20"/>
        </w:rPr>
        <w:t>現状の導入判断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104"/>
      </w:tblGrid>
      <w:tr>
        <w:tc>
          <w:tcPr>
            <w:tcW w:type="dxa" w:w="4896"/>
            <w:vAlign w:val="top"/>
            <w:shd w:fill="DDEBF7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導入形態</w:t>
            </w:r>
          </w:p>
        </w:tc>
        <w:tc>
          <w:tcPr>
            <w:tcW w:type="dxa" w:w="4104"/>
            <w:vAlign w:val="top"/>
            <w:shd w:fill="DDEBF7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判断</w:t>
            </w:r>
          </w:p>
        </w:tc>
      </w:tr>
      <w:tr>
        <w:tc>
          <w:tcPr>
            <w:tcW w:type="dxa" w:w="4896"/>
            <w:vAlign w:val="top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現状そのまま使用</w:t>
            </w:r>
          </w:p>
        </w:tc>
        <w:tc>
          <w:tcPr>
            <w:tcW w:type="dxa" w:w="4104"/>
            <w:vAlign w:val="top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不可</w:t>
            </w:r>
          </w:p>
        </w:tc>
      </w:tr>
      <w:tr>
        <w:tc>
          <w:tcPr>
            <w:tcW w:type="dxa" w:w="4896"/>
            <w:vAlign w:val="top"/>
            <w:shd w:fill="F7F7F7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 mA / 40 kW 前提</w:t>
            </w:r>
          </w:p>
        </w:tc>
        <w:tc>
          <w:tcPr>
            <w:tcW w:type="dxa" w:w="4104"/>
            <w:vAlign w:val="top"/>
            <w:shd w:fill="F7F7F7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リスク大</w:t>
            </w:r>
          </w:p>
        </w:tc>
      </w:tr>
      <w:tr>
        <w:tc>
          <w:tcPr>
            <w:tcW w:type="dxa" w:w="4896"/>
            <w:vAlign w:val="top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300–400 uA 級前提で、改修利用</w:t>
            </w:r>
          </w:p>
        </w:tc>
        <w:tc>
          <w:tcPr>
            <w:tcW w:type="dxa" w:w="4104"/>
            <w:vAlign w:val="top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検討可</w:t>
            </w:r>
          </w:p>
        </w:tc>
      </w:tr>
      <w:tr>
        <w:tc>
          <w:tcPr>
            <w:tcW w:type="dxa" w:w="4896"/>
            <w:vAlign w:val="top"/>
            <w:shd w:fill="F7F7F7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新規製作</w:t>
            </w:r>
          </w:p>
        </w:tc>
        <w:tc>
          <w:tcPr>
            <w:tcW w:type="dxa" w:w="4104"/>
            <w:vAlign w:val="top"/>
            <w:shd w:fill="F7F7F7"/>
            <w:tcBorders>
              <w:top w:sz="5" w:val="single" w:color="B7B7B7"/>
              <w:left w:sz="5" w:val="single" w:color="B7B7B7"/>
              <w:bottom w:sz="5" w:val="single" w:color="B7B7B7"/>
              <w:right w:sz="5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時間・費用大</w:t>
            </w:r>
          </w:p>
        </w:tc>
      </w:tr>
    </w:tbl>
    <w:p>
      <w:pPr>
        <w:spacing w:after="20"/>
      </w:pP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300-400 uA で改修利用が現実的と考える。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時間・費用の制約がないのであれば、新規製作もあり</w:t>
      </w:r>
    </w:p>
    <w:p>
      <w:r>
        <w:rPr>
          <w:rFonts w:ascii="Noto Sans CJK JP" w:hAnsi="Noto Sans CJK JP" w:eastAsia="Noto Sans CJK JP"/>
          <w:sz w:val="16"/>
        </w:rPr>
        <w:br w:type="page"/>
      </w:r>
    </w:p>
    <w:p>
      <w:pPr>
        <w:spacing w:before="60" w:after="40" w:line="240" w:lineRule="auto"/>
        <w:pBdr>
          <w:left w:val="single" w:sz="10" w:space="4" w:color="F39C12"/>
        </w:pBdr>
      </w:pPr>
      <w:r>
        <w:rPr>
          <w:rFonts w:ascii="Noto Sans CJK JP" w:hAnsi="Noto Sans CJK JP" w:eastAsia="Noto Sans CJK JP"/>
          <w:b/>
          <w:sz w:val="20"/>
        </w:rPr>
        <w:t>具体的選択肢案</w:t>
      </w:r>
    </w:p>
    <w:p>
      <w:pPr>
        <w:spacing w:before="60" w:after="40" w:line="240" w:lineRule="auto"/>
        <w:pBdr>
          <w:left w:val="single" w:sz="10" w:space="4" w:color="F1C40F"/>
        </w:pBdr>
      </w:pPr>
      <w:r>
        <w:rPr>
          <w:rFonts w:ascii="Noto Sans CJK JP" w:hAnsi="Noto Sans CJK JP" w:eastAsia="Noto Sans CJK JP"/>
          <w:b/>
          <w:sz w:val="20"/>
        </w:rPr>
        <w:t>（A） 改造して使用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◎　既存資産の有効活用　（　スピード・コスト面で優位　）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✗　流用のため、既存部品の設計仕様に引きずられるリスクはあり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前提条件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270 度ベンドはやめる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バックボンバードメント対策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放射線防護含めて、極力広いレイアウトで、単純なビームラインを設定</w:t>
      </w:r>
    </w:p>
    <w:p>
      <w:pPr>
        <w:spacing w:after="10" w:before="0" w:line="240" w:lineRule="auto"/>
        <w:ind w:left="979" w:hanging="173"/>
      </w:pPr>
      <w:r>
        <w:rPr>
          <w:rFonts w:ascii="Noto Sans CJK JP" w:hAnsi="Noto Sans CJK JP" w:eastAsia="Noto Sans CJK JP"/>
          <w:b w:val="0"/>
          <w:sz w:val="16"/>
        </w:rPr>
        <w:t>• 本報告を読む以上、直線レイアウトが最も現実的かもしれない</w:t>
      </w:r>
    </w:p>
    <w:p>
      <w:pPr>
        <w:spacing w:after="10" w:before="0" w:line="240" w:lineRule="auto"/>
        <w:ind w:left="979" w:hanging="173"/>
      </w:pPr>
      <w:r>
        <w:rPr>
          <w:rFonts w:ascii="Noto Sans CJK JP" w:hAnsi="Noto Sans CJK JP" w:eastAsia="Noto Sans CJK JP"/>
          <w:b w:val="0"/>
          <w:sz w:val="16"/>
        </w:rPr>
        <w:t>• （現時点で、加速管出口地点でのビーム品質が信用できなさそうであるため）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有識者の設計レビュー、及び、シミュレーションのクロスバリデーションを実施する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300–400 uA での 100 h 級運転実証を最低限とする。（10日照射スケジュールなら240h）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検収条件をしっかり策定し、条件未達で検収不可とする</w:t>
      </w:r>
    </w:p>
    <w:p>
      <w:pPr>
        <w:spacing w:before="60" w:after="40" w:line="240" w:lineRule="auto"/>
        <w:pBdr>
          <w:left w:val="single" w:sz="10" w:space="4" w:color="F1C40F"/>
        </w:pBdr>
      </w:pPr>
      <w:r>
        <w:rPr>
          <w:rFonts w:ascii="Noto Sans CJK JP" w:hAnsi="Noto Sans CJK JP" w:eastAsia="Noto Sans CJK JP"/>
          <w:b/>
          <w:sz w:val="20"/>
        </w:rPr>
        <w:t>（B）三菱重工製で新規製作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◎　北大・東北大、納入実績はあり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✗　費用と時間は大きい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✗　金技リソースは活用できない　（たぶん、金技の電子加速器事業は終了）</w:t>
      </w:r>
    </w:p>
    <w:p>
      <w:pPr>
        <w:spacing w:before="60" w:after="40" w:line="240" w:lineRule="auto"/>
        <w:pBdr>
          <w:left w:val="single" w:sz="10" w:space="4" w:color="F1C40F"/>
        </w:pBdr>
      </w:pPr>
      <w:r>
        <w:rPr>
          <w:rFonts w:ascii="Noto Sans CJK JP" w:hAnsi="Noto Sans CJK JP" w:eastAsia="Noto Sans CJK JP"/>
          <w:b/>
          <w:sz w:val="20"/>
        </w:rPr>
        <w:t>（C）外部有識者設計 + 金技または三菱重工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◎　透明性高い、技術的な失敗も少ない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✗　時間がかかる、責任の所在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責任と検収条件の明確化、加速器製作に明確な意思（リーダー）が必須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？　現状との違い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現状の有識者：山本さん（外部委託）、現状の製作者：金技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柏木先生にお願い　→　自動的に三菱重工製となる？</w:t>
      </w:r>
    </w:p>
    <w:p>
      <w:pPr>
        <w:spacing w:before="60" w:after="40" w:line="240" w:lineRule="auto"/>
        <w:pBdr>
          <w:left w:val="single" w:sz="10" w:space="4" w:color="F1C40F"/>
        </w:pBdr>
      </w:pPr>
      <w:r>
        <w:rPr>
          <w:rFonts w:ascii="Noto Sans CJK JP" w:hAnsi="Noto Sans CJK JP" w:eastAsia="Noto Sans CJK JP"/>
          <w:b/>
          <w:sz w:val="20"/>
        </w:rPr>
        <w:t>（D）ロードトロン等へ切替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日立主軸の場合、Rhodotoronはなかった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日立が外れるなら、RhodotronをPDRが買うのはあり得るとは思う。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ただ、ロードトロンの出力、放射化物の密集、が本当に必要か、という点はある。</w:t>
      </w:r>
    </w:p>
    <w:p>
      <w:pPr>
        <w:spacing w:before="60" w:after="40" w:line="240" w:lineRule="auto"/>
        <w:pBdr>
          <w:left w:val="single" w:sz="10" w:space="4" w:color="F1C40F"/>
        </w:pBdr>
      </w:pPr>
      <w:r>
        <w:rPr>
          <w:rFonts w:ascii="Noto Sans CJK JP" w:hAnsi="Noto Sans CJK JP" w:eastAsia="Noto Sans CJK JP"/>
          <w:b/>
          <w:sz w:val="20"/>
        </w:rPr>
        <w:t>（E）低エネルギー部分のみ三菱重工製RF電子銃を使用、加速管とRFは流用、HEBTは新規製作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◎　三菱重工製のRF電子銃を使用（ただしEBBは別途対策必要）</w:t>
      </w:r>
    </w:p>
    <w:p>
      <w:pPr>
        <w:spacing w:after="10" w:before="0" w:line="240" w:lineRule="auto"/>
        <w:ind w:left="144" w:hanging="173"/>
      </w:pPr>
      <w:r>
        <w:rPr>
          <w:rFonts w:ascii="Noto Sans CJK JP" w:hAnsi="Noto Sans CJK JP" w:eastAsia="Noto Sans CJK JP"/>
          <w:b w:val="0"/>
          <w:sz w:val="16"/>
        </w:rPr>
        <w:t>• ✗　責任の所在、全体ビームライン設計・シミュレーションを所掌する役割が必要</w:t>
      </w:r>
    </w:p>
    <w:p>
      <w:pPr>
        <w:spacing w:after="10" w:before="0" w:line="240" w:lineRule="auto"/>
        <w:ind w:left="547" w:hanging="173"/>
      </w:pPr>
      <w:r>
        <w:rPr>
          <w:rFonts w:ascii="Noto Sans CJK JP" w:hAnsi="Noto Sans CJK JP" w:eastAsia="Noto Sans CJK JP"/>
          <w:b w:val="0"/>
          <w:sz w:val="16"/>
        </w:rPr>
        <w:t>• 柏木先生にビームライン設計をお願いし、三菱重工製のLEBTを入れて、加速管とRFは流用する、HEBTはそこまで費用かからないので新規制作</w:t>
      </w:r>
    </w:p>
    <w:p>
      <w:pPr>
        <w:spacing w:after="10" w:before="0" w:line="240" w:lineRule="auto"/>
        <w:ind w:left="979" w:hanging="173"/>
      </w:pPr>
      <w:r>
        <w:rPr>
          <w:rFonts w:ascii="Noto Sans CJK JP" w:hAnsi="Noto Sans CJK JP" w:eastAsia="Noto Sans CJK JP"/>
          <w:b w:val="0"/>
          <w:sz w:val="16"/>
        </w:rPr>
        <w:t>• →　たぶん、金技の立場が微妙（金技の加速器が定格だした、名誉挽回、とはならない）</w:t>
      </w:r>
    </w:p>
    <w:p>
      <w:pPr>
        <w:spacing w:after="10" w:before="0" w:line="240" w:lineRule="auto"/>
        <w:ind w:left="979" w:hanging="173"/>
      </w:pPr>
      <w:r>
        <w:rPr>
          <w:rFonts w:ascii="Noto Sans CJK JP" w:hAnsi="Noto Sans CJK JP" w:eastAsia="Noto Sans CJK JP"/>
          <w:b w:val="0"/>
          <w:sz w:val="16"/>
        </w:rPr>
        <w:t>• 個人的には、最も現実的な解ではないかと考える</w:t>
      </w:r>
    </w:p>
    <w:sectPr w:rsidR="00FC693F" w:rsidRPr="0006063C" w:rsidSect="00034616">
      <w:pgSz w:w="11909" w:h="16834"/>
      <w:pgMar w:top="1037" w:right="1325" w:bottom="893" w:left="132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Noto Sans CJK JP" w:hAnsi="Noto Sans CJK JP" w:eastAsia="Noto Sans CJK JP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