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</w:pPr>
      <w:r>
        <w:t>[项目名称]</w:t>
      </w:r>
    </w:p>
    <w:p>
      <w:pPr>
        <w:pStyle w:val="MATICSubtitle"/>
      </w:pPr>
      <w:r>
        <w:t>尽调报告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报告版本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V1.0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尽调状态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初筛中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报告日期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一、一页核心结论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rPr>
          <w:tblHeader/>
        </w:trP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项目定义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[一句话说明项目、产品和适应证]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rPr>
          <w:tblHeader/>
        </w:trP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尽调建议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[建议推进/有条件推进/暂缓推进/不建议推进等，并说明关键前置条件]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核心价值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临床意义与技术创新性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下一步动作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核心优势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核心风险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一票否决状态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评价维度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星级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主要依据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br w:type="page"/>
      </w:r>
    </w:p>
    <w:p>
      <w:pPr>
        <w:pStyle w:val="MATICHeading1"/>
      </w:pPr>
      <w:r>
        <w:t>二、项目基本情况与尽调状态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三、BP关键主张核验表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BP关键主张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外部证据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核验结果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置信度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四、临床需求与未满足痛点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五、政策环境与战略价值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六、技术创新性分析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七、知识产权与技术壁垒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八、注册路径与临床转化可行性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九、产业链分析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十、国内外竞品及替代方案对比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类型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注册/应用状态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关键差异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证据来源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十一、市场规模测算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十二、团队构成分析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十三、产品成熟度与产业化可行性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十四、商业模式与股权架构分析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十五、重大风险与一票否决事项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十六、八维度五星评级及综合判断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事项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触发等级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事实与证据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影响及解除条件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十七、与医创中心合作的参考建议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十八、项目方待补充材料清单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十九、进一步调研问题清单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待补充材料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用途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二十、参考来源及附录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对象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拟验证事项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spacing w:lineRule="exact" w:line="590" w:before="0" w:after="0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spacing w:lineRule="exact" w:line="590" w:before="0" w:after="0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spacing w:lineRule="exact" w:line="590" w:before="0" w:after="0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医创中心项目尽调报告模板</dc:title>
  <dc:subject>医疗科技项目BP核验与内部尽调</dc:subject>
  <dc:creator>长三角医学先进技术创新中心</dc:creator>
  <cp:keywords>MATIC, 尽调, 医疗科技, BP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