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960"/>
        <w:ind w:firstLine="0"/>
        <w:jc w:val="center"/>
      </w:pPr>
      <w:r>
        <w:rPr>
          <w:rFonts w:ascii="Times New Roman" w:hAnsi="Times New Roman" w:eastAsia="方正楷体_GBK" w:cs="Times New Roman"/>
          <w:b w:val="0"/>
          <w:sz w:val="32"/>
        </w:rPr>
        <w:t>内部研判材料，仅供决策参考</w:t>
      </w:r>
    </w:p>
    <w:p>
      <w:pPr>
        <w:pStyle w:val="MATICTitle"/>
        <w:spacing w:before="1440" w:after="480"/>
      </w:pPr>
      <w:r>
        <w:t>[项目名称]</w:t>
      </w:r>
    </w:p>
    <w:p>
      <w:pPr>
        <w:pStyle w:val="MATICSubtitle"/>
      </w:pPr>
      <w:r>
        <w:t>详细尽调启动方案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4422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项目名称</w:t>
            </w:r>
          </w:p>
        </w:tc>
        <w:tc>
          <w:tcPr>
            <w:tcW w:type="dxa" w:w="4422"/>
          </w:tcPr>
          <w:p>
            <w:pPr>
              <w:spacing w:before="0" w:after="0" w:line="300" w:lineRule="exact"/>
              <w:ind w:firstLineChars="0" w:left="0" w:firstLine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[项目名称]</w:t>
            </w:r>
          </w:p>
        </w:tc>
      </w:tr>
      <w:tr>
        <w:tc>
          <w:tcPr>
            <w:tcW w:type="dxa" w:w="4422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方案版本</w:t>
            </w:r>
          </w:p>
        </w:tc>
        <w:tc>
          <w:tcPr>
            <w:tcW w:type="dxa" w:w="4422"/>
          </w:tcPr>
          <w:p>
            <w:pPr>
              <w:spacing w:before="0" w:after="0" w:line="300" w:lineRule="exact"/>
              <w:ind w:firstLineChars="0" w:left="0" w:firstLine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V0.1</w:t>
            </w:r>
          </w:p>
        </w:tc>
      </w:tr>
      <w:tr>
        <w:tc>
          <w:tcPr>
            <w:tcW w:type="dxa" w:w="4422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当前阶段</w:t>
            </w:r>
          </w:p>
        </w:tc>
        <w:tc>
          <w:tcPr>
            <w:tcW w:type="dxa" w:w="4422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启动详细尽调</w:t>
            </w:r>
          </w:p>
        </w:tc>
      </w:tr>
      <w:tr>
        <w:tc>
          <w:tcPr>
            <w:tcW w:type="dxa" w:w="4422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标准报告版本</w:t>
            </w:r>
          </w:p>
        </w:tc>
        <w:tc>
          <w:tcPr>
            <w:tcW w:type="dxa" w:w="4422"/>
          </w:tcPr>
          <w:p>
            <w:pPr>
              <w:spacing w:before="0" w:after="0" w:line="300" w:lineRule="exact"/>
              <w:ind w:firstLineChars="0" w:left="0" w:firstLine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[版本及日期]</w:t>
            </w:r>
          </w:p>
        </w:tc>
      </w:tr>
      <w:tr>
        <w:tc>
          <w:tcPr>
            <w:tcW w:type="dxa" w:w="4422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方案日期</w:t>
            </w:r>
          </w:p>
        </w:tc>
        <w:tc>
          <w:tcPr>
            <w:tcW w:type="dxa" w:w="4422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[YYYY年MM月DD日]</w:t>
            </w:r>
          </w:p>
        </w:tc>
      </w:tr>
    </w:tbl>
    <w:p>
      <w:pPr>
        <w:spacing w:before="1680"/>
        <w:ind w:firstLine="0"/>
        <w:jc w:val="center"/>
      </w:pPr>
      <w:r>
        <w:rPr>
          <w:rFonts w:ascii="Times New Roman" w:hAnsi="Times New Roman" w:eastAsia="方正仿宋_GBK" w:cs="Times New Roman"/>
          <w:b w:val="0"/>
          <w:sz w:val="32"/>
        </w:rPr>
        <w:t>长三角医学先进技术创新中心</w:t>
      </w:r>
    </w:p>
    <w:p>
      <w:pPr>
        <w:ind w:firstLine="0"/>
        <w:jc w:val="center"/>
      </w:pPr>
      <w:r>
        <w:rPr>
          <w:rFonts w:ascii="Times New Roman" w:hAnsi="Times New Roman" w:eastAsia="方正仿宋_GBK" w:cs="Times New Roman"/>
          <w:b w:val="0"/>
          <w:sz w:val="32"/>
        </w:rPr>
        <w:t>[YYYY年MM月DD日]</w:t>
        <w:br w:type="page"/>
      </w:r>
    </w:p>
    <w:p>
      <w:pPr>
        <w:pStyle w:val="MATICHeading1"/>
      </w:pPr>
      <w:r>
        <w:t>一、项目及继承判断</w:t>
      </w:r>
    </w:p>
    <w:p>
      <w:r>
        <w:t>[简述项目，并列明从标准尽调中继承的战略性、先进性、核心优势、主要风险和推进前置条件。]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/>
        </w:trPr>
        <w:tc>
          <w:tcPr>
            <w:tcW w:type="dxa" w:w="2211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事项</w:t>
            </w:r>
          </w:p>
        </w:tc>
        <w:tc>
          <w:tcPr>
            <w:tcW w:type="dxa" w:w="2211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标准尽调判断</w:t>
            </w:r>
          </w:p>
        </w:tc>
        <w:tc>
          <w:tcPr>
            <w:tcW w:type="dxa" w:w="2211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当前证据</w:t>
            </w:r>
          </w:p>
        </w:tc>
        <w:tc>
          <w:tcPr>
            <w:tcW w:type="dxa" w:w="2211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详细尽调处理方式</w:t>
            </w:r>
          </w:p>
        </w:tc>
      </w:tr>
      <w:tr>
        <w:tc>
          <w:tcPr>
            <w:tcW w:type="dxa" w:w="2211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2211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2211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2211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2211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2211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2211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2211"/>
          </w:tcPr>
          <w:p>
            <w:pPr>
              <w:spacing w:before="0" w:after="0" w:line="300" w:lineRule="exact"/>
              <w:ind w:firstLineChars="0" w:left="0" w:firstLine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2211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2211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2211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2211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2211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2211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2211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2211"/>
          </w:tcPr>
          <w:p>
            <w:pPr>
              <w:spacing w:before="0" w:after="0" w:line="300" w:lineRule="exact"/>
              <w:ind w:firstLineChars="0" w:left="0" w:firstLine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2211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2211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2211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2211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</w:tbl>
    <w:p>
      <w:pPr>
        <w:pStyle w:val="MATICHeading1"/>
      </w:pPr>
      <w:r>
        <w:t>二、详细尽调关键问题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rPr>
          <w:tblHeader/>
        </w:trPr>
        <w:tc>
          <w:tcPr>
            <w:tcW w:type="dxa" w:w="1263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问题编号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核心问题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影响的决策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现有证据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证据缺口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优先级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验证方式</w:t>
            </w:r>
          </w:p>
        </w:tc>
      </w:tr>
      <w:tr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</w:tbl>
    <w:p>
      <w:pPr>
        <w:pStyle w:val="MATICHeading1"/>
      </w:pPr>
      <w:r>
        <w:t>三、专项调研与补证方案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rPr>
          <w:tblHeader/>
        </w:trPr>
        <w:tc>
          <w:tcPr>
            <w:tcW w:type="dxa" w:w="1474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专项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尽调目标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核心问题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拟采用证据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阶段交付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完成条件</w:t>
            </w:r>
          </w:p>
        </w:tc>
      </w:tr>
      <w:t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</w:tbl>
    <w:p>
      <w:pPr>
        <w:pStyle w:val="MATICHeading1"/>
      </w:pPr>
      <w:r>
        <w:t>四、调研对象与访谈安排</w:t>
      </w:r>
    </w:p>
    <w:p>
      <w:r>
        <w:t>[候选库原则上建立30—40名或家以上对象，优先江浙沪和长三角地区；实际访谈约15—20人，各类别不平均分配。]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rPr>
          <w:tblHeader/>
        </w:trP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类别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建议人数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第一轮对象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拟验证问题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独立性/利益冲突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优先级</w:t>
            </w:r>
          </w:p>
        </w:tc>
      </w:tr>
      <w:t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</w:tbl>
    <w:p>
      <w:pPr>
        <w:pStyle w:val="MATICHeading1"/>
      </w:pPr>
      <w:r>
        <w:t>五、材料与第三方验证计划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rPr>
          <w:tblHeader/>
        </w:trP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序号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待补材料或验证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提供/执行方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用途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优先级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完成标准</w:t>
            </w:r>
          </w:p>
        </w:tc>
      </w:tr>
      <w:t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</w:tbl>
    <w:p>
      <w:pPr>
        <w:pStyle w:val="MATICHeading1"/>
      </w:pPr>
      <w:r>
        <w:t>六、工作节奏与交付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rPr>
          <w:tblHeader/>
        </w:trP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阶段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主要工作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触发条件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交付物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预计时间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决策节点</w:t>
            </w:r>
          </w:p>
        </w:tc>
      </w:tr>
      <w:t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</w:tbl>
    <w:p>
      <w:r>
        <w:t>说明：日常新增材料默认更新同一详细尽调工作台；只有收到明确指令时生成阶段性或最终报告。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814" w:right="1531" w:bottom="1984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方正仿宋_GBK" w:cs="Times New Roman"/>
        <w:b w:val="0"/>
        <w:sz w:val="21"/>
      </w:rPr>
      <w:t xml:space="preserve">— </w:t>
    </w:r>
    <w:fldSimple w:instr="PAGE"/>
    <w:r>
      <w:rPr>
        <w:rFonts w:ascii="Times New Roman" w:hAnsi="Times New Roman" w:eastAsia="方正仿宋_GBK" w:cs="Times New Roman"/>
        <w:b w:val="0"/>
        <w:sz w:val="21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590" w:before="0" w:after="0"/>
      <w:ind w:firstLine="640"/>
    </w:pPr>
    <w:rPr>
      <w:rFonts w:ascii="Times New Roman" w:hAnsi="Times New Roman" w:eastAsia="方正仿宋_GBK"/>
      <w:b w:val="0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TICTitle">
    <w:name w:val="MATIC Title"/>
    <w:pPr>
      <w:spacing w:lineRule="exact" w:line="590" w:before="0" w:after="0"/>
      <w:jc w:val="center"/>
    </w:pPr>
    <w:rPr>
      <w:rFonts w:ascii="Times New Roman" w:hAnsi="Times New Roman" w:eastAsia="方正小标宋_GBK"/>
      <w:b w:val="0"/>
      <w:color w:val="000000"/>
      <w:sz w:val="44"/>
    </w:rPr>
  </w:style>
  <w:style w:type="paragraph" w:customStyle="1" w:styleId="MATICSubtitle">
    <w:name w:val="MATIC Subtitle"/>
    <w:pPr>
      <w:spacing w:lineRule="exact" w:line="590" w:before="0" w:after="0"/>
      <w:jc w:val="center"/>
    </w:pPr>
    <w:rPr>
      <w:rFonts w:ascii="Times New Roman" w:hAnsi="Times New Roman" w:eastAsia="方正楷体_GBK"/>
      <w:b w:val="0"/>
      <w:color w:val="000000"/>
      <w:sz w:val="32"/>
    </w:rPr>
  </w:style>
  <w:style w:type="paragraph" w:customStyle="1" w:styleId="MATICHeading1">
    <w:name w:val="MATIC Heading 1"/>
    <w:pPr>
      <w:keepNext/>
      <w:spacing w:lineRule="exact" w:line="590" w:before="0" w:after="0"/>
      <w:outlineLvl w:val="0"/>
    </w:pPr>
    <w:rPr>
      <w:rFonts w:ascii="Times New Roman" w:hAnsi="Times New Roman" w:eastAsia="方正黑体_GBK"/>
      <w:b/>
      <w:color w:val="000000"/>
      <w:sz w:val="32"/>
    </w:rPr>
  </w:style>
  <w:style w:type="paragraph" w:customStyle="1" w:styleId="MATICHeading2">
    <w:name w:val="MATIC Heading 2"/>
    <w:pPr>
      <w:keepNext/>
      <w:spacing w:lineRule="exact" w:line="590" w:before="0" w:after="0"/>
      <w:outlineLvl w:val="1"/>
    </w:pPr>
    <w:rPr>
      <w:rFonts w:ascii="Times New Roman" w:hAnsi="Times New Roman" w:eastAsia="方正楷体_GBK"/>
      <w:b w:val="0"/>
      <w:color w:val="000000"/>
      <w:sz w:val="32"/>
    </w:rPr>
  </w:style>
  <w:style w:type="paragraph" w:customStyle="1" w:styleId="MATICHeading3">
    <w:name w:val="MATIC Heading 3"/>
    <w:pPr>
      <w:keepNext/>
      <w:spacing w:lineRule="exact" w:line="590" w:before="0" w:after="0"/>
      <w:outlineLvl w:val="2"/>
    </w:pPr>
    <w:rPr>
      <w:rFonts w:ascii="Times New Roman" w:hAnsi="Times New Roman" w:eastAsia="方正楷体_GBK"/>
      <w:b w:val="0"/>
      <w:color w:val="000000"/>
      <w:sz w:val="32"/>
    </w:rPr>
  </w:style>
  <w:style w:type="paragraph" w:customStyle="1" w:styleId="MATICCaption">
    <w:name w:val="MATIC Caption"/>
    <w:pPr>
      <w:spacing w:lineRule="exact" w:line="590" w:before="0" w:after="0"/>
      <w:jc w:val="center"/>
    </w:pPr>
    <w:rPr>
      <w:rFonts w:ascii="Times New Roman" w:hAnsi="Times New Roman" w:eastAsia="方正仿宋_GBK"/>
      <w:b w:val="0"/>
      <w:color w:val="000000"/>
      <w:sz w:val="21"/>
    </w:rPr>
  </w:style>
  <w:style w:type="paragraph" w:customStyle="1" w:styleId="SourceText">
    <w:name w:val="Source Text"/>
    <w:pPr>
      <w:spacing w:lineRule="exact" w:line="590" w:before="0" w:after="0"/>
    </w:pPr>
    <w:rPr>
      <w:rFonts w:ascii="Times New Roman" w:hAnsi="Times New Roman" w:eastAsia="方正仿宋_GBK"/>
      <w:b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医创中心详细尽调启动方案模板</dc:title>
  <dc:subject>医疗科技项目详细尽调启动与调查计划</dc:subject>
  <dc:creator>长三角医学先进技术创新中心</dc:creator>
  <cp:keywords>MATIC, 详细尽调, 启动方案, 医疗科技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