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Noto Sans CJK SC" w:hAnsi="Noto Sans CJK SC" w:eastAsia="Noto Sans CJK SC"/>
          <w:b/>
          <w:color w:val="255B84"/>
          <w:sz w:val="54"/>
        </w:rPr>
        <w:t>中医知识研究与临床推理平台 V1</w:t>
      </w:r>
    </w:p>
    <w:p>
      <w:pPr>
        <w:jc w:val="center"/>
        <w:pBdr>
          <w:bottom w:val="single" w:sz="8" w:space="2" w:color="255B84"/>
        </w:pBdr>
      </w:pPr>
      <w:r>
        <w:rPr>
          <w:rFonts w:ascii="Noto Sans CJK SC" w:hAnsi="Noto Sans CJK SC" w:eastAsia="Noto Sans CJK SC"/>
          <w:b w:val="0"/>
          <w:color w:val="555555"/>
          <w:sz w:val="36"/>
        </w:rPr>
        <w:t>系统详细设计说明书（Low-Level Design / LLD）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b/>
          <w:color w:val="666666"/>
          <w:sz w:val="28"/>
        </w:rPr>
        <w:t>第一阶段正式设计基线</w:t>
      </w:r>
    </w:p>
    <w:p>
      <w:pPr>
        <w:spacing w:after="3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268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370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文档版本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V1.0-LLD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实施范围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第一阶段 A（数据与知识底座） + 第一阶段 B（理论研究）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需求基线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《中医知识研究与临床推理平台_需求规格说明书_V1》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上位设计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本项目已确认 HLD-01～HLD-06 架构基线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文档状态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正式详细设计基线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编制日期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2026-09-27</w:t>
            </w:r>
          </w:p>
        </w:tc>
      </w:tr>
    </w:tbl>
    <w:p>
      <w:pPr>
        <w:spacing w:after="0"/>
      </w:pPr>
    </w:p>
    <w:p>
      <w:pPr>
        <w:spacing w:before="700"/>
        <w:jc w:val="center"/>
      </w:pPr>
      <w:r>
        <w:rPr>
          <w:rFonts w:ascii="Noto Sans CJK SC" w:hAnsi="Noto Sans CJK SC" w:eastAsia="Noto Sans CJK SC"/>
          <w:b w:val="0"/>
          <w:color w:val="777777"/>
          <w:sz w:val="21"/>
        </w:rPr>
        <w:t>设计原则：证据优先 · 可追溯 · 可审计 · 可恢复 · 模型可替换 · 本地优先</w:t>
      </w:r>
    </w:p>
    <w:p>
      <w:r>
        <w:br w:type="page"/>
      </w:r>
    </w:p>
    <w:p>
      <w:pPr>
        <w:pStyle w:val="Heading1"/>
        <w:pBdr>
          <w:bottom w:val="single" w:sz="6" w:space="2" w:color="255B84"/>
        </w:pBdr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268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370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文档名称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中医知识研究与临床推理平台 V1 系统详细设计说明书（LLD）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文档版本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V1.0-LLD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设计范围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Stage 1A + Stage 1B；临床推理、处方、疗效闭环仅保留兼容扩展点，不进入当前实现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目标读者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产品负责人、知识工程、后端/前端/算法工程、测试、专家评审、运维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源需求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《中医知识研究与临床推理平台_需求规格说明书_V1》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设计来源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需求评审结论 + HLD 基线 + LLD-01～LLD-12 详细设计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标识约定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REQ=需求明确要求；DES=本 LLD 设计决策；TBD=需在实现/语料基线后冻结</w:t>
            </w:r>
          </w:p>
        </w:tc>
      </w:tr>
    </w:tbl>
    <w:p>
      <w:pPr>
        <w:spacing w:after="0"/>
      </w:pPr>
    </w:p>
    <w:p>
      <w:pPr>
        <w:pStyle w:val="Heading2"/>
      </w:pPr>
      <w: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1361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701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1587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989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V1.0-LLD</w:t>
            </w:r>
          </w:p>
        </w:tc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2026-09-27</w:t>
            </w:r>
          </w:p>
        </w:tc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正式基线</w:t>
            </w:r>
          </w:p>
        </w:tc>
        <w:tc>
          <w:tcPr>
            <w:tcW w:type="dxa" w:w="498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汇总 LLD-01～LLD-12，并完成跨章节一致性核对与物理模型修正。</w:t>
            </w:r>
          </w:p>
        </w:tc>
      </w:tr>
    </w:tbl>
    <w:p>
      <w:pPr>
        <w:spacing w:after="0"/>
      </w:pPr>
    </w:p>
    <w:p>
      <w:pPr>
        <w:pStyle w:val="Heading2"/>
      </w:pPr>
      <w:r>
        <w:t>正式基线说明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本说明书以已上传需求规格说明书为需求依据，保留其术语、对象、状态与分阶段实施边界。需求未明确给出的数据库拆分、接口签名、状态机细粒度、文件目录、幂等与恢复机制等内容，均作为本 LLD 的工程设计决策明确标识，不反向声称为原需求。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3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55B84"/>
                <w:sz w:val="20"/>
              </w:rPr>
              <w:t xml:space="preserve">范围基线 </w:t>
            </w:r>
            <w:r>
              <w:rPr>
                <w:rFonts w:ascii="Noto Serif CJK SC" w:hAnsi="Noto Serif CJK SC" w:eastAsia="Noto Serif CJK SC"/>
                <w:sz w:val="20"/>
              </w:rPr>
              <w:t>V1 当前实现范围仅为第一阶段 A + 第一阶段 B。现代临床病例、临床辨证、处方策略、风险门禁、疗效反馈和新规律确认均不进入本期业务实现。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6" w:space="2" w:color="255B84"/>
        </w:pBdr>
      </w:pPr>
      <w:r>
        <w:t>目录</w:t>
      </w:r>
    </w:p>
    <w:p>
      <w:pPr>
        <w:pStyle w:val="TOC1"/>
      </w:pPr>
      <w:r>
        <w:rPr>
          <w:rFonts w:ascii="Noto Sans CJK SC" w:hAnsi="Noto Sans CJK SC" w:eastAsia="Noto Sans CJK SC"/>
          <w:b w:val="0"/>
          <w:color w:val="1F2933"/>
          <w:sz w:val="21"/>
        </w:rPr>
        <w:t>1  引言与设计范围</w:t>
      </w:r>
    </w:p>
    <w:p>
      <w:pPr>
        <w:pStyle w:val="TOC1"/>
      </w:pPr>
      <w:r>
        <w:rPr>
          <w:rFonts w:ascii="Noto Sans CJK SC" w:hAnsi="Noto Sans CJK SC" w:eastAsia="Noto Sans CJK SC"/>
          <w:b w:val="0"/>
          <w:color w:val="1F2933"/>
          <w:sz w:val="21"/>
        </w:rPr>
        <w:t>2  需求基线与一致性核对</w:t>
      </w:r>
    </w:p>
    <w:p>
      <w:pPr>
        <w:pStyle w:val="TOC1"/>
      </w:pPr>
      <w:r>
        <w:rPr>
          <w:rFonts w:ascii="Noto Sans CJK SC" w:hAnsi="Noto Sans CJK SC" w:eastAsia="Noto Sans CJK SC"/>
          <w:b w:val="0"/>
          <w:color w:val="1F2933"/>
          <w:sz w:val="21"/>
        </w:rPr>
        <w:t>3  总体详细架构</w:t>
      </w:r>
    </w:p>
    <w:p>
      <w:pPr>
        <w:pStyle w:val="TOC1"/>
      </w:pPr>
      <w:r>
        <w:rPr>
          <w:rFonts w:ascii="Noto Sans CJK SC" w:hAnsi="Noto Sans CJK SC" w:eastAsia="Noto Sans CJK SC"/>
          <w:b w:val="0"/>
          <w:color w:val="1F2933"/>
          <w:sz w:val="21"/>
        </w:rPr>
        <w:t>4  物理数据模型与数据库设计</w:t>
      </w:r>
    </w:p>
    <w:p>
      <w:pPr>
        <w:pStyle w:val="TOC1"/>
      </w:pPr>
      <w:r>
        <w:rPr>
          <w:rFonts w:ascii="Noto Sans CJK SC" w:hAnsi="Noto Sans CJK SC" w:eastAsia="Noto Sans CJK SC"/>
          <w:b w:val="0"/>
          <w:color w:val="1F2933"/>
          <w:sz w:val="21"/>
        </w:rPr>
        <w:t>5  Domain / Pydantic / Agent Schema</w:t>
      </w:r>
    </w:p>
    <w:p>
      <w:pPr>
        <w:pStyle w:val="TOC1"/>
      </w:pPr>
      <w:r>
        <w:rPr>
          <w:rFonts w:ascii="Noto Sans CJK SC" w:hAnsi="Noto Sans CJK SC" w:eastAsia="Noto Sans CJK SC"/>
          <w:b w:val="0"/>
          <w:color w:val="1F2933"/>
          <w:sz w:val="21"/>
        </w:rPr>
        <w:t>6  Repository、Unit of Work 与 Application Service</w:t>
      </w:r>
    </w:p>
    <w:p>
      <w:pPr>
        <w:pStyle w:val="TOC1"/>
      </w:pPr>
      <w:r>
        <w:rPr>
          <w:rFonts w:ascii="Noto Sans CJK SC" w:hAnsi="Noto Sans CJK SC" w:eastAsia="Noto Sans CJK SC"/>
          <w:b w:val="0"/>
          <w:color w:val="1F2933"/>
          <w:sz w:val="21"/>
        </w:rPr>
        <w:t>7  Research Workflow 状态机</w:t>
      </w:r>
    </w:p>
    <w:p>
      <w:pPr>
        <w:pStyle w:val="TOC1"/>
      </w:pPr>
      <w:r>
        <w:rPr>
          <w:rFonts w:ascii="Noto Sans CJK SC" w:hAnsi="Noto Sans CJK SC" w:eastAsia="Noto Sans CJK SC"/>
          <w:b w:val="0"/>
          <w:color w:val="1F2933"/>
          <w:sz w:val="21"/>
        </w:rPr>
        <w:t>8  Agent、Prompt 与 Tool Contract</w:t>
      </w:r>
    </w:p>
    <w:p>
      <w:pPr>
        <w:pStyle w:val="TOC1"/>
      </w:pPr>
      <w:r>
        <w:rPr>
          <w:rFonts w:ascii="Noto Sans CJK SC" w:hAnsi="Noto Sans CJK SC" w:eastAsia="Noto Sans CJK SC"/>
          <w:b w:val="0"/>
          <w:color w:val="1F2933"/>
          <w:sz w:val="21"/>
        </w:rPr>
        <w:t>9  Retrieval Pipeline</w:t>
      </w:r>
    </w:p>
    <w:p>
      <w:pPr>
        <w:pStyle w:val="TOC1"/>
      </w:pPr>
      <w:r>
        <w:rPr>
          <w:rFonts w:ascii="Noto Sans CJK SC" w:hAnsi="Noto Sans CJK SC" w:eastAsia="Noto Sans CJK SC"/>
          <w:b w:val="0"/>
          <w:color w:val="1F2933"/>
          <w:sz w:val="21"/>
        </w:rPr>
        <w:t>10  Model Gateway</w:t>
      </w:r>
    </w:p>
    <w:p>
      <w:pPr>
        <w:pStyle w:val="TOC1"/>
      </w:pPr>
      <w:r>
        <w:rPr>
          <w:rFonts w:ascii="Noto Sans CJK SC" w:hAnsi="Noto Sans CJK SC" w:eastAsia="Noto Sans CJK SC"/>
          <w:b w:val="0"/>
          <w:color w:val="1F2933"/>
          <w:sz w:val="21"/>
        </w:rPr>
        <w:t>11  Task Worker、Checkpoint 与恢复</w:t>
      </w:r>
    </w:p>
    <w:p>
      <w:pPr>
        <w:pStyle w:val="TOC1"/>
      </w:pPr>
      <w:r>
        <w:rPr>
          <w:rFonts w:ascii="Noto Sans CJK SC" w:hAnsi="Noto Sans CJK SC" w:eastAsia="Noto Sans CJK SC"/>
          <w:b w:val="0"/>
          <w:color w:val="1F2933"/>
          <w:sz w:val="21"/>
        </w:rPr>
        <w:t>12  REST API、SSE 与本地会话</w:t>
      </w:r>
    </w:p>
    <w:p>
      <w:pPr>
        <w:pStyle w:val="TOC1"/>
      </w:pPr>
      <w:r>
        <w:rPr>
          <w:rFonts w:ascii="Noto Sans CJK SC" w:hAnsi="Noto Sans CJK SC" w:eastAsia="Noto Sans CJK SC"/>
          <w:b w:val="0"/>
          <w:color w:val="1F2933"/>
          <w:sz w:val="21"/>
        </w:rPr>
        <w:t>13  前端信息架构与状态模型</w:t>
      </w:r>
    </w:p>
    <w:p>
      <w:pPr>
        <w:pStyle w:val="TOC1"/>
      </w:pPr>
      <w:r>
        <w:rPr>
          <w:rFonts w:ascii="Noto Sans CJK SC" w:hAnsi="Noto Sans CJK SC" w:eastAsia="Noto Sans CJK SC"/>
          <w:b w:val="0"/>
          <w:color w:val="1F2933"/>
          <w:sz w:val="21"/>
        </w:rPr>
        <w:t>14  文件存储、发布、备份与审计</w:t>
      </w:r>
    </w:p>
    <w:p>
      <w:pPr>
        <w:pStyle w:val="TOC1"/>
      </w:pPr>
      <w:r>
        <w:rPr>
          <w:rFonts w:ascii="Noto Sans CJK SC" w:hAnsi="Noto Sans CJK SC" w:eastAsia="Noto Sans CJK SC"/>
          <w:b w:val="0"/>
          <w:color w:val="1F2933"/>
          <w:sz w:val="21"/>
        </w:rPr>
        <w:t>15  工程目录、Migration、测试与构建</w:t>
      </w:r>
    </w:p>
    <w:p>
      <w:pPr>
        <w:pStyle w:val="TOC1"/>
      </w:pPr>
      <w:r>
        <w:rPr>
          <w:rFonts w:ascii="Noto Sans CJK SC" w:hAnsi="Noto Sans CJK SC" w:eastAsia="Noto Sans CJK SC"/>
          <w:b w:val="0"/>
          <w:color w:val="1F2933"/>
          <w:sz w:val="21"/>
        </w:rPr>
        <w:t>16  部署与运行时</w:t>
      </w:r>
    </w:p>
    <w:p>
      <w:pPr>
        <w:pStyle w:val="TOC1"/>
      </w:pPr>
      <w:r>
        <w:rPr>
          <w:rFonts w:ascii="Noto Sans CJK SC" w:hAnsi="Noto Sans CJK SC" w:eastAsia="Noto Sans CJK SC"/>
          <w:b w:val="0"/>
          <w:color w:val="1F2933"/>
          <w:sz w:val="21"/>
        </w:rPr>
        <w:t>17  第一阶段开发 Backlog</w:t>
      </w:r>
    </w:p>
    <w:p>
      <w:pPr>
        <w:pStyle w:val="TOC1"/>
      </w:pPr>
      <w:r>
        <w:rPr>
          <w:rFonts w:ascii="Noto Sans CJK SC" w:hAnsi="Noto Sans CJK SC" w:eastAsia="Noto Sans CJK SC"/>
          <w:b w:val="0"/>
          <w:color w:val="1F2933"/>
          <w:sz w:val="21"/>
        </w:rPr>
        <w:t>18  验收与需求追踪</w:t>
      </w:r>
    </w:p>
    <w:p>
      <w:pPr>
        <w:pStyle w:val="TOC1"/>
      </w:pPr>
      <w:r>
        <w:rPr>
          <w:rFonts w:ascii="Noto Sans CJK SC" w:hAnsi="Noto Sans CJK SC" w:eastAsia="Noto Sans CJK SC"/>
          <w:b w:val="0"/>
          <w:color w:val="1F2933"/>
          <w:sz w:val="21"/>
        </w:rPr>
        <w:t>附录 A  核心不变量汇总</w:t>
      </w:r>
    </w:p>
    <w:p>
      <w:pPr>
        <w:pStyle w:val="TOC1"/>
      </w:pPr>
      <w:r>
        <w:rPr>
          <w:rFonts w:ascii="Noto Sans CJK SC" w:hAnsi="Noto Sans CJK SC" w:eastAsia="Noto Sans CJK SC"/>
          <w:b w:val="0"/>
          <w:color w:val="1F2933"/>
          <w:sz w:val="21"/>
        </w:rPr>
        <w:t>附录 B  状态与枚举字典</w:t>
      </w:r>
    </w:p>
    <w:p>
      <w:pPr>
        <w:pStyle w:val="TOC1"/>
      </w:pPr>
      <w:r>
        <w:rPr>
          <w:rFonts w:ascii="Noto Sans CJK SC" w:hAnsi="Noto Sans CJK SC" w:eastAsia="Noto Sans CJK SC"/>
          <w:b w:val="0"/>
          <w:color w:val="1F2933"/>
          <w:sz w:val="21"/>
        </w:rPr>
        <w:t>附录 C  TBD 与实施前决策项</w:t>
      </w:r>
    </w:p>
    <w:p>
      <w:r>
        <w:br w:type="page"/>
      </w:r>
    </w:p>
    <w:p>
      <w:pPr>
        <w:pStyle w:val="Heading1"/>
        <w:pBdr>
          <w:bottom w:val="single" w:sz="6" w:space="2" w:color="255B84"/>
        </w:pBdr>
      </w:pPr>
      <w:r>
        <w:t>1 引言与设计范围</w:t>
      </w:r>
    </w:p>
    <w:p>
      <w:pPr>
        <w:pStyle w:val="Heading2"/>
      </w:pPr>
      <w:r>
        <w:t>1.1 目的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本说明书将系统需求和总体设计落地为可直接实施的详细设计，统一数据库物理模型、领域对象、应用服务、研究状态机、Agent 协议、检索链路、模型网关、任务执行、API、前端、文件与备份、测试和发布基线。</w:t>
      </w:r>
    </w:p>
    <w:p>
      <w:pPr>
        <w:pStyle w:val="Heading2"/>
      </w:pPr>
      <w:r>
        <w:t>1.2 当前实施范围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2835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范围</w:t>
            </w:r>
          </w:p>
        </w:tc>
        <w:tc>
          <w:tcPr>
            <w:tcW w:type="dxa" w:w="1701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当前 V1</w:t>
            </w:r>
          </w:p>
        </w:tc>
        <w:tc>
          <w:tcPr>
            <w:tcW w:type="dxa" w:w="5102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第一阶段 A：数据与知识底座</w:t>
            </w:r>
          </w:p>
        </w:tc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实施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来源、解析、切分、实体/关系/方剂、Evidence、校订、版本、检索、备份。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第一阶段 B：理论研究</w:t>
            </w:r>
          </w:p>
        </w:tc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实施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Planner、首轮独立研究、Claim、Critique/Rebuttal、再检索、Auditor、Dispute、Judge、报告。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第二阶段：现代病例/临床推理</w:t>
            </w:r>
          </w:p>
        </w:tc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不实施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仅在 ID、Schema、扩展接口层保留兼容性。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第三阶段：疗效闭环/新规律</w:t>
            </w:r>
          </w:p>
        </w:tc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不实施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不进入当前领域逻辑、UI、API 和验收。</w:t>
            </w:r>
          </w:p>
        </w:tc>
      </w:tr>
    </w:tbl>
    <w:p>
      <w:pPr>
        <w:spacing w:after="0"/>
      </w:pPr>
    </w:p>
    <w:p>
      <w:pPr>
        <w:pStyle w:val="Heading2"/>
      </w:pPr>
      <w:r>
        <w:t>1.3 设计目标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Evidence 必须真实、可定位、版本可追溯；Agent 不得自行生成 Evidence ID。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事实、解释、推论、假设和争议分层存储，不使用多数 Agent 投票建立事实。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长任务持久化、可暂停/恢复/取消，崩溃后从检查点恢复。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本地优先；模型、Embedding、Reranker 可替换，核心知识资产不绑定单一模型。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Published/Completed 历史不可被原地覆盖，修改通过新 Revision / Version 表达。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所有关键操作和研究结果可通过稳定 ID、版本、EventLog 和 Artifact 回放。</w:t>
      </w:r>
    </w:p>
    <w:p>
      <w:pPr>
        <w:pStyle w:val="Heading2"/>
      </w:pPr>
      <w:r>
        <w:t>1.4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381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7257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KnowledgeVersion</w:t>
            </w:r>
          </w:p>
        </w:tc>
        <w:tc>
          <w:tcPr>
            <w:tcW w:type="dxa" w:w="72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已发布知识对象的版本边界；ResearchTask 启动后冻结。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IndexBuild</w:t>
            </w:r>
          </w:p>
        </w:tc>
        <w:tc>
          <w:tcPr>
            <w:tcW w:type="dxa" w:w="72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某 KnowledgeVersion 对应的一组检索派生索引构建版本。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Evidence</w:t>
            </w:r>
          </w:p>
        </w:tc>
        <w:tc>
          <w:tcPr>
            <w:tcW w:type="dxa" w:w="72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真实存在、可定位、可引用的材料逻辑身份。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EvidenceRevision</w:t>
            </w:r>
          </w:p>
        </w:tc>
        <w:tc>
          <w:tcPr>
            <w:tcW w:type="dxa" w:w="72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Evidence 在特定来源/知识版本下的不可变内容版本。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TaskEvidenceRef</w:t>
            </w:r>
          </w:p>
        </w:tc>
        <w:tc>
          <w:tcPr>
            <w:tcW w:type="dxa" w:w="72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某 ResearchTask 对 EvidenceRevision 的稳定证据池成员关系。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Claim</w:t>
            </w:r>
          </w:p>
        </w:tc>
        <w:tc>
          <w:tcPr>
            <w:tcW w:type="dxa" w:w="72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Agent 提出的可审计观点；使用 append-only revision。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AuditResult</w:t>
            </w:r>
          </w:p>
        </w:tc>
        <w:tc>
          <w:tcPr>
            <w:tcW w:type="dxa" w:w="72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EvidenceAuditor 的历史审计记录；1:N，不能被 Claim.audit_status 替代。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Dispute</w:t>
            </w:r>
          </w:p>
        </w:tc>
        <w:tc>
          <w:tcPr>
            <w:tcW w:type="dxa" w:w="72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经审计后仍存在的竞争解释或证据冲突。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Artifact</w:t>
            </w:r>
          </w:p>
        </w:tc>
        <w:tc>
          <w:tcPr>
            <w:tcW w:type="dxa" w:w="72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系统管理的不可变文件型资产；底层由 SHA-256 内容寻址 Blob 保存。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6" w:space="2" w:color="255B84"/>
        </w:pBdr>
      </w:pPr>
      <w:r>
        <w:t>2 需求基线与一致性核对</w:t>
      </w:r>
    </w:p>
    <w:p>
      <w:pPr>
        <w:pStyle w:val="Heading2"/>
      </w:pPr>
      <w:r>
        <w:t>2.1 核对结论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8F4E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55B84"/>
                <w:sz w:val="20"/>
              </w:rPr>
              <w:t xml:space="preserve">核对结论 </w:t>
            </w:r>
            <w:r>
              <w:rPr>
                <w:rFonts w:ascii="Noto Serif CJK SC" w:hAnsi="Noto Serif CJK SC" w:eastAsia="Noto Serif CJK SC"/>
                <w:sz w:val="20"/>
              </w:rPr>
              <w:t>LLD-01～LLD-12 与需求基线总体一致，评审结论为“修正后通过”。正式版已统一 7 个关键跨章节差异：TextSegment Revision、Evidence Revision、TaskEvidenceRef 语义、Formula 物理表、状态分层、索引版本冻结、审计历史权威性。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2268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核对项</w:t>
            </w:r>
          </w:p>
        </w:tc>
        <w:tc>
          <w:tcPr>
            <w:tcW w:type="dxa" w:w="5953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正式结论</w:t>
            </w:r>
          </w:p>
        </w:tc>
        <w:tc>
          <w:tcPr>
            <w:tcW w:type="dxa" w:w="1417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实施范围</w:t>
            </w:r>
          </w:p>
        </w:tc>
        <w:tc>
          <w:tcPr>
            <w:tcW w:type="dxa" w:w="595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V1 仅 Stage 1A + 1B；临床/疗效模块不进入当前实现。</w:t>
            </w:r>
          </w:p>
        </w:tc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TextSegment</w:t>
            </w:r>
          </w:p>
        </w:tc>
        <w:tc>
          <w:tcPr>
            <w:tcW w:type="dxa" w:w="595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稳定逻辑 segment_id + 不可变 segment_revision_id；持久化 context_before/context_after。</w:t>
            </w:r>
          </w:p>
        </w:tc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已修正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Evidence</w:t>
            </w:r>
          </w:p>
        </w:tc>
        <w:tc>
          <w:tcPr>
            <w:tcW w:type="dxa" w:w="595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Evidence identity 与 EvidenceRevision 分离；引用固定到精确 Revision。</w:t>
            </w:r>
          </w:p>
        </w:tc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已修正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TaskEvidenceRef</w:t>
            </w:r>
          </w:p>
        </w:tc>
        <w:tc>
          <w:tcPr>
            <w:tcW w:type="dxa" w:w="595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仅表示任务证据池 membership；Retrieval provenance 独立为 EvidenceRetrievalEvent。</w:t>
            </w:r>
          </w:p>
        </w:tc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已修正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ClaimEvidence</w:t>
            </w:r>
          </w:p>
        </w:tc>
        <w:tc>
          <w:tcPr>
            <w:tcW w:type="dxa" w:w="595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引用 TaskEvidenceRef，数据库约束同一 task，硬阻断池外 Evidence。</w:t>
            </w:r>
          </w:p>
        </w:tc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已修正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Formula</w:t>
            </w:r>
          </w:p>
        </w:tc>
        <w:tc>
          <w:tcPr>
            <w:tcW w:type="dxa" w:w="595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Stage 1A 必须包含 Formula/FormulaRevision/Ingredient/Herb/Evidence 物理表。</w:t>
            </w:r>
          </w:p>
        </w:tc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已修正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状态模型</w:t>
            </w:r>
          </w:p>
        </w:tc>
        <w:tc>
          <w:tcPr>
            <w:tcW w:type="dxa" w:w="595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TaskStatus、WorkflowStage、NodeExecutionStatus、JobStatus 分离；WAITING_HUMAN/PAUSED 为可中断状态。</w:t>
            </w:r>
          </w:p>
        </w:tc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Audit</w:t>
            </w:r>
          </w:p>
        </w:tc>
        <w:tc>
          <w:tcPr>
            <w:tcW w:type="dxa" w:w="595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AuditResult 历史权威；Claim.audit_status 仅作投影。</w:t>
            </w:r>
          </w:p>
        </w:tc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检索</w:t>
            </w:r>
          </w:p>
        </w:tc>
        <w:tc>
          <w:tcPr>
            <w:tcW w:type="dxa" w:w="595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KnowledgeVersion 与 IndexBuild 分离，Task 同时冻结两者。</w:t>
            </w:r>
          </w:p>
        </w:tc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模型</w:t>
            </w:r>
          </w:p>
        </w:tc>
        <w:tc>
          <w:tcPr>
            <w:tcW w:type="dxa" w:w="595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ModelEndpoint、ModelVersion、ModelPolicy 分离；远程外发受 OutboundPolicy 控制。</w:t>
            </w:r>
          </w:p>
        </w:tc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恢复</w:t>
            </w:r>
          </w:p>
        </w:tc>
        <w:tc>
          <w:tcPr>
            <w:tcW w:type="dxa" w:w="595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At-least-once + idempotent commit；不承诺 exactly-once。</w:t>
            </w:r>
          </w:p>
        </w:tc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文件与备份</w:t>
            </w:r>
          </w:p>
        </w:tc>
        <w:tc>
          <w:tcPr>
            <w:tcW w:type="dxa" w:w="595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CAS + Artifact；Backup 真恢复验证；EventLog hash chain 为 tamper-evident。</w:t>
            </w:r>
          </w:p>
        </w:tc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通过</w:t>
            </w:r>
          </w:p>
        </w:tc>
      </w:tr>
    </w:tbl>
    <w:p>
      <w:pPr>
        <w:spacing w:after="0"/>
      </w:pPr>
    </w:p>
    <w:p>
      <w:pPr>
        <w:pStyle w:val="Heading2"/>
      </w:pPr>
      <w:r>
        <w:t>2.2 需求与设计决策边界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417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535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示例</w:t>
            </w:r>
          </w:p>
        </w:tc>
        <w:tc>
          <w:tcPr>
            <w:tcW w:type="dxa" w:w="3685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处理方式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REQ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Evidence 真实可定位、Agent 不得创建 Evidence ID；首轮 Agent 独立；长任务可恢复。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作为不可违反的功能/验收基线。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DES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UUIDv7、Schema 拆分、SKIP LOCKED、RRF、CAS 两阶段写入、SSE、Query Cache。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作为当前 V1 工程实现基线；后续变更需 ADR。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TBD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Embedding 维度、初始 OCR 是否 P0、实际检索阈值、具体模型清单。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在真实语料/机器/模型验证后冻结，不在本文件伪造需求值。</w:t>
            </w:r>
          </w:p>
        </w:tc>
      </w:tr>
    </w:tbl>
    <w:p>
      <w:pPr>
        <w:spacing w:after="0"/>
      </w:pPr>
    </w:p>
    <w:p>
      <w:pPr>
        <w:pStyle w:val="Heading2"/>
      </w:pPr>
      <w:r>
        <w:t>2.3 关键需求映射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814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需求域</w:t>
            </w:r>
          </w:p>
        </w:tc>
        <w:tc>
          <w:tcPr>
            <w:tcW w:type="dxa" w:w="4422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需求要点</w:t>
            </w:r>
          </w:p>
        </w:tc>
        <w:tc>
          <w:tcPr>
            <w:tcW w:type="dxa" w:w="3402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LLD 落点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知识底座</w:t>
            </w:r>
          </w:p>
        </w:tc>
        <w:tc>
          <w:tcPr>
            <w:tcW w:type="dxa" w:w="44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Source/TextSegment/Evidence/Formula、校订、版本、发布、检索。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第4、9、14章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理论研究</w:t>
            </w:r>
          </w:p>
        </w:tc>
        <w:tc>
          <w:tcPr>
            <w:tcW w:type="dxa" w:w="44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Planner、独立研究、Critique/Rebuttal、Audit、Dispute、Judge。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第7、8章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任务恢复</w:t>
            </w:r>
          </w:p>
        </w:tc>
        <w:tc>
          <w:tcPr>
            <w:tcW w:type="dxa" w:w="44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持久化任务、检查点、重试、暂停/取消/恢复。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第11章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模型网关</w:t>
            </w:r>
          </w:p>
        </w:tc>
        <w:tc>
          <w:tcPr>
            <w:tcW w:type="dxa" w:w="44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本地/远程、结构化输出、Embedding、Rerank、隐私。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第10章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API/UI</w:t>
            </w:r>
          </w:p>
        </w:tc>
        <w:tc>
          <w:tcPr>
            <w:tcW w:type="dxa" w:w="44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版本化 API、证据抽屉、辩论时间线、默认摘要。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第12、13章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安全/备份</w:t>
            </w:r>
          </w:p>
        </w:tc>
        <w:tc>
          <w:tcPr>
            <w:tcW w:type="dxa" w:w="44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密钥库、加密备份、可校验审计、恶意文件检查。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第14～16章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6" w:space="2" w:color="255B84"/>
        </w:pBdr>
      </w:pPr>
      <w:r>
        <w:t>3 总体详细架构</w:t>
      </w:r>
    </w:p>
    <w:p>
      <w:pPr>
        <w:pStyle w:val="Heading2"/>
      </w:pPr>
      <w:r>
        <w:t>3.1 运行形态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系统采用本地优先桌面工作台：Electron（或同类桌面壳）负责进程生命周期与本地会话，React/TypeScript 提供交互，FastAPI 暴露 loopback REST/SSE，PostgreSQL + pgvector 保存结构化数据和检索索引，本地 Worker 执行长任务，内容寻址文件目录保存原文和 Artifact。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499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depend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499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 1  V1 模块依赖与分层关系</w:t>
      </w:r>
    </w:p>
    <w:p>
      <w:pPr>
        <w:pStyle w:val="Heading2"/>
      </w:pPr>
      <w:r>
        <w:t>3.2 模块边界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871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592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175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明确禁止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Source / Knowledge</w:t>
            </w:r>
          </w:p>
        </w:tc>
        <w:tc>
          <w:tcPr>
            <w:tcW w:type="dxa" w:w="4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导入、解析、切分、实体/关系/方剂/Evidence、校订、版本。</w:t>
            </w:r>
          </w:p>
        </w:tc>
        <w:tc>
          <w:tcPr>
            <w:tcW w:type="dxa" w:w="317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不调用 Agent 形成研究结论。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Retrieval</w:t>
            </w:r>
          </w:p>
        </w:tc>
        <w:tc>
          <w:tcPr>
            <w:tcW w:type="dxa" w:w="4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多路召回、融合、Rerank、EvidenceResolver。</w:t>
            </w:r>
          </w:p>
        </w:tc>
        <w:tc>
          <w:tcPr>
            <w:tcW w:type="dxa" w:w="317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不判断 Claim 真伪，不以 Chunk 作为正式引用。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Research / Debate</w:t>
            </w:r>
          </w:p>
        </w:tc>
        <w:tc>
          <w:tcPr>
            <w:tcW w:type="dxa" w:w="4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Task、Claim、Critique、Rebuttal、Audit、Dispute、Report。</w:t>
            </w:r>
          </w:p>
        </w:tc>
        <w:tc>
          <w:tcPr>
            <w:tcW w:type="dxa" w:w="317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不直接访问模型厂商 SDK。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Workflow</w:t>
            </w:r>
          </w:p>
        </w:tc>
        <w:tc>
          <w:tcPr>
            <w:tcW w:type="dxa" w:w="4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节点编排、转移、轮次、人工中断、StopEvaluator。</w:t>
            </w:r>
          </w:p>
        </w:tc>
        <w:tc>
          <w:tcPr>
            <w:tcW w:type="dxa" w:w="317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不直接持有长数据库事务。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Agent Runtime</w:t>
            </w:r>
          </w:p>
        </w:tc>
        <w:tc>
          <w:tcPr>
            <w:tcW w:type="dxa" w:w="4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Context、Prompt、Tool、Schema/Reference Validation。</w:t>
            </w:r>
          </w:p>
        </w:tc>
        <w:tc>
          <w:tcPr>
            <w:tcW w:type="dxa" w:w="317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不直接写数据库，不分配业务 PK。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Model Gateway</w:t>
            </w:r>
          </w:p>
        </w:tc>
        <w:tc>
          <w:tcPr>
            <w:tcW w:type="dxa" w:w="4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模型路由、调用、限流、外发策略、Invocation。</w:t>
            </w:r>
          </w:p>
        </w:tc>
        <w:tc>
          <w:tcPr>
            <w:tcW w:type="dxa" w:w="317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不了解 Evidence/Claim 领域语义。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Task Runtime</w:t>
            </w:r>
          </w:p>
        </w:tc>
        <w:tc>
          <w:tcPr>
            <w:tcW w:type="dxa" w:w="4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Job、Lease、Worker、Retry、Recovery。</w:t>
            </w:r>
          </w:p>
        </w:tc>
        <w:tc>
          <w:tcPr>
            <w:tcW w:type="dxa" w:w="317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不复制业务状态机。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Storage / Audit</w:t>
            </w:r>
          </w:p>
        </w:tc>
        <w:tc>
          <w:tcPr>
            <w:tcW w:type="dxa" w:w="4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Artifact、CAS、Backup、EventLog。</w:t>
            </w:r>
          </w:p>
        </w:tc>
        <w:tc>
          <w:tcPr>
            <w:tcW w:type="dxa" w:w="317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不成为领域业务对象替代品。</w:t>
            </w:r>
          </w:p>
        </w:tc>
      </w:tr>
    </w:tbl>
    <w:p>
      <w:pPr>
        <w:spacing w:after="0"/>
      </w:pPr>
    </w:p>
    <w:p>
      <w:pPr>
        <w:pStyle w:val="Heading2"/>
      </w:pPr>
      <w:r>
        <w:t>3.3 核心依赖规则</w:t>
      </w:r>
    </w:p>
    <w:p>
      <w:pPr>
        <w:pStyle w:val="CodeBlock"/>
        <w:spacing w:after="100"/>
        <w:shd w:fill="F5F7F9"/>
      </w:pPr>
      <w:r>
        <w:rPr>
          <w:rFonts w:ascii="DejaVu Sans Mono" w:hAnsi="DejaVu Sans Mono" w:eastAsia="DejaVu Sans Mono"/>
          <w:sz w:val="16"/>
        </w:rPr>
        <w:t>API/Workflow/Worker</w:t>
        <w:br/>
        <w:t xml:space="preserve">        ↓</w:t>
        <w:br/>
        <w:t>Application Service</w:t>
        <w:br/>
        <w:t xml:space="preserve">        ↓</w:t>
        <w:br/>
        <w:t>Unit of Work + Repository</w:t>
        <w:br/>
        <w:t xml:space="preserve">        ↓</w:t>
        <w:br/>
        <w:t>Domain / PostgreSQL</w:t>
        <w:br/>
        <w:br/>
        <w:t>Agent Runtime → Application/Tool APIs（禁止 Agent 直接 DB）</w:t>
        <w:br/>
        <w:t>Model Gateway → Provider Adapter（禁止业务直接 Provider SDK）</w:t>
      </w:r>
    </w:p>
    <w:p>
      <w:pPr>
        <w:pStyle w:val="Heading2"/>
      </w:pPr>
      <w:r>
        <w:t>3.4 部署拓扑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21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1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 2  V1 本地优先部署拓扑</w:t>
      </w:r>
    </w:p>
    <w:p>
      <w:pPr>
        <w:pStyle w:val="Heading1"/>
        <w:pBdr>
          <w:bottom w:val="single" w:sz="6" w:space="2" w:color="255B84"/>
        </w:pBdr>
      </w:pPr>
      <w:r>
        <w:t>4 物理数据模型与数据库设计</w:t>
      </w:r>
    </w:p>
    <w:p>
      <w:pPr>
        <w:pStyle w:val="Heading2"/>
      </w:pPr>
      <w:r>
        <w:t>4.1 PostgreSQL Schema 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1701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Schema</w:t>
            </w:r>
          </w:p>
        </w:tc>
        <w:tc>
          <w:tcPr>
            <w:tcW w:type="dxa" w:w="7937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主要表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storage</w:t>
            </w:r>
          </w:p>
        </w:tc>
        <w:tc>
          <w:tcPr>
            <w:tcW w:type="dxa" w:w="79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blob_object, artifact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source</w:t>
            </w:r>
          </w:p>
        </w:tc>
        <w:tc>
          <w:tcPr>
            <w:tcW w:type="dxa" w:w="79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source_document, source_revision, file_asset, text_segment, text_segment_revision, import_job, pipeline_step_execution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knowledge</w:t>
            </w:r>
          </w:p>
        </w:tc>
        <w:tc>
          <w:tcPr>
            <w:tcW w:type="dxa" w:w="79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concept, concept_term, relation, evidence, evidence_revision, evidence_segment_ref, herb, herb_term, formula, formula_revision, formula_ingredient, formula_evidence, retrieval_chunk, embedding_record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research</w:t>
            </w:r>
          </w:p>
        </w:tc>
        <w:tc>
          <w:tcPr>
            <w:tcW w:type="dxa" w:w="79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research_task, research_scope, sub_question, task_evidence_ref, evidence_retrieval_event, claim, claim_evidence, canonical_claim, critique, rebuttal, audit_result, dispute, research_report, retrieval_run, retrieval_result, human_review_request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runtime</w:t>
            </w:r>
          </w:p>
        </w:tc>
        <w:tc>
          <w:tcPr>
            <w:tcW w:type="dxa" w:w="79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task_job, task_attempt, node_execution, task_checkpoint, worker_instance, model_invocation, api_idempotency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governance</w:t>
            </w:r>
          </w:p>
        </w:tc>
        <w:tc>
          <w:tcPr>
            <w:tcW w:type="dxa" w:w="79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knowledge_version, index_build, prompt_version, model_endpoint, model_version, model_policy, workflow_version, quality_issue, event_log, event_log_head, backup_record, knowledge_runtime_state</w:t>
            </w:r>
          </w:p>
        </w:tc>
      </w:tr>
    </w:tbl>
    <w:p>
      <w:pPr>
        <w:spacing w:after="0"/>
      </w:pPr>
    </w:p>
    <w:p>
      <w:pPr>
        <w:pStyle w:val="Heading2"/>
      </w:pPr>
      <w:r>
        <w:t>4.2 ID、时间与并发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内部主键使用 UUID（应用层优先生成 UUIDv7）；外部 API/Agent 只暴露稳定 public_id。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所有时间使用 timestamptz，以 UTC 持久化并在 UI 层本地化显示。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可编辑 Draft 聚合使用 row_version 乐观锁；队列、发布指针和 EventLog Head 使用显式行锁。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演进型状态采用 varchar + CHECK/Domain validation，避免 PostgreSQL ENUM 阻碍频繁演进。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数据库默认 READ COMMITTED；只在必要操作中使用显式锁或一致性快照，不全局 SERIALIZABLE。</w:t>
      </w:r>
    </w:p>
    <w:p>
      <w:pPr>
        <w:pStyle w:val="Heading2"/>
      </w:pPr>
      <w:r>
        <w:t>4.3 Source 与 TextSegment Revision</w:t>
      </w:r>
    </w:p>
    <w:p>
      <w:pPr>
        <w:pStyle w:val="CodeBlock"/>
        <w:spacing w:after="100"/>
        <w:shd w:fill="F5F7F9"/>
      </w:pPr>
      <w:r>
        <w:rPr>
          <w:rFonts w:ascii="DejaVu Sans Mono" w:hAnsi="DejaVu Sans Mono" w:eastAsia="DejaVu Sans Mono"/>
          <w:sz w:val="16"/>
        </w:rPr>
        <w:t>source_document (logical source)</w:t>
        <w:br/>
        <w:t xml:space="preserve">  └─ source_revision (edition/content revision)</w:t>
        <w:br/>
        <w:t xml:space="preserve">      └─ text_segment_revision</w:t>
        <w:br/>
        <w:t>text_segment (stable logical segment identity)</w:t>
        <w:br/>
        <w:t xml:space="preserve">  └─ text_segment_revision (immutable)</w:t>
        <w:br/>
        <w:t xml:space="preserve">       - parent_segment_id / structural locator</w:t>
        <w:br/>
        <w:t xml:space="preserve">       - original_text / normalized_text</w:t>
        <w:br/>
        <w:t xml:space="preserve">       - context_before / context_after</w:t>
        <w:br/>
        <w:t xml:space="preserve">       - page/chapter/paragraph locator</w:t>
        <w:br/>
        <w:t xml:space="preserve">       - checksum / OCR metadata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引用、Evidence 和研究报告必须固定到精确的 TextSegmentRevision。跨 SourceRevision 的段落变化通过 alignment 记录 UNCHANGED、MODIFIED、MOVED、SPLIT、MERGED、DELETED、ADDED。</w:t>
      </w:r>
    </w:p>
    <w:p>
      <w:pPr>
        <w:pStyle w:val="Heading2"/>
      </w:pPr>
      <w:r>
        <w:t>4.4 Evidence 物理模型</w:t>
      </w:r>
    </w:p>
    <w:p>
      <w:pPr>
        <w:pStyle w:val="CodeBlock"/>
        <w:spacing w:after="100"/>
        <w:shd w:fill="F5F7F9"/>
      </w:pPr>
      <w:r>
        <w:rPr>
          <w:rFonts w:ascii="DejaVu Sans Mono" w:hAnsi="DejaVu Sans Mono" w:eastAsia="DejaVu Sans Mono"/>
          <w:sz w:val="16"/>
        </w:rPr>
        <w:t>evidence (stable identity)</w:t>
        <w:br/>
        <w:t xml:space="preserve">  └─ evidence_revision (immutable content)</w:t>
        <w:br/>
        <w:t xml:space="preserve">       └─ evidence_segment_ref[1..N] → text_segment_revision</w:t>
        <w:br/>
        <w:br/>
        <w:t>research_task</w:t>
        <w:br/>
        <w:t xml:space="preserve">  └─ task_evidence_ref (UNIQUE task_id + evidence_revision_id)</w:t>
        <w:br/>
        <w:t xml:space="preserve">       └─ evidence_retrieval_event[0..N]  # provenance</w:t>
        <w:br/>
        <w:br/>
        <w:t>claim</w:t>
        <w:br/>
        <w:t xml:space="preserve">  └─ claim_evidence → task_evidence_ref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TaskEvidenceRef 只承担“该 EvidenceRevision 已进入此任务证据池”的 membership；同一 Evidence 在不同检索轮次、Query、EvidenceRequest 中被发现的过程全部写入 EvidenceRetrievalEvent。</w:t>
      </w:r>
    </w:p>
    <w:p>
      <w:pPr>
        <w:pStyle w:val="Heading2"/>
      </w:pPr>
      <w:r>
        <w:t>4.5 Claim 与审计历史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Claim 内容 append-only；REVISE 创建新 Claim，并通过 parent_claim_id 连接。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CanonicalClaim 只做重复/重叠/相关/支持/冲突聚类，不删除原 Claim。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Critique 必须有 target_claim_id；Rebuttal 必须指向 Critique，REVISE 必须产生 revised_claim。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AuditResult 采用 1:N 历史；Claim.audit_status 仅作查询投影，不能覆盖历史审计。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Dispute 是正式研究结果，可保留不同流派/版本/证据下的竞争解释。</w:t>
      </w:r>
    </w:p>
    <w:p>
      <w:pPr>
        <w:pStyle w:val="Heading2"/>
      </w:pPr>
      <w:r>
        <w:t>4.6 Formula / Herb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268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表</w:t>
            </w:r>
          </w:p>
        </w:tc>
        <w:tc>
          <w:tcPr>
            <w:tcW w:type="dxa" w:w="7370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关键字段/职责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herb / herb_term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药物稳定身份、原名/别名/异体、规范名称、时代/流派上下文。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formula / formula_revision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方名、别名、出处、时代、主治、功效、治法、剂型、煎服、禁忌、版本。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formula_ingredient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original_name、normalized herb、amount_original、amount_normalized、unit、dose_ratio、role、processing、sequence。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formula_evidence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FormulaRevision 到 EvidenceRevision 的证据关联。</w:t>
            </w:r>
          </w:p>
        </w:tc>
      </w:tr>
    </w:tbl>
    <w:p>
      <w:pPr>
        <w:spacing w:after="0"/>
      </w:pP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V1 的 FormulaAnalyst 仅分析文献知识中的方剂理论和历史结构，不进入具体患者处方决策。</w:t>
      </w:r>
    </w:p>
    <w:p>
      <w:pPr>
        <w:pStyle w:val="Heading2"/>
      </w:pPr>
      <w:r>
        <w:t>4.7 核心 ERD</w:t>
      </w:r>
    </w:p>
    <w:p>
      <w:pPr>
        <w:sectPr>
          <w:headerReference w:type="default" r:id="rId9"/>
          <w:footerReference w:type="default" r:id="rId10"/>
          <w:headerReference w:type="first" r:id="rId19"/>
          <w:footerReference w:type="first" r:id="rId20"/>
          <w:pgSz w:w="12240" w:h="15840"/>
          <w:pgMar w:top="1020" w:right="1191" w:bottom="907" w:left="1191" w:header="454" w:footer="454" w:gutter="0"/>
          <w:cols w:space="720"/>
          <w:titlePg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429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e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 3  核心领域实体关系（简化 ERD）</w:t>
      </w:r>
    </w:p>
    <w:p>
      <w:pPr>
        <w:sectPr>
          <w:headerReference w:type="default" r:id="rId13"/>
          <w:footerReference w:type="default" r:id="rId14"/>
          <w:pgSz w:w="15840" w:h="12240" w:orient="landscape"/>
          <w:pgMar w:top="1020" w:right="1191" w:bottom="907" w:left="1191" w:header="454" w:footer="454" w:gutter="0"/>
          <w:cols w:space="720"/>
          <w:titlePg/>
          <w:docGrid w:linePitch="360"/>
        </w:sectPr>
      </w:pPr>
    </w:p>
    <w:p>
      <w:pPr>
        <w:pStyle w:val="Heading2"/>
      </w:pPr>
      <w:r>
        <w:t>4.8 索引与检索字段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268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7370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索引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TextSegmentRevision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source_revision_id、parent/sequence、checksum、page/chapter；original/normalized trigram；search_tokens tsvector。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EvidenceRevision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evidence_id/revision、source/version、status、locator；发布状态过滤。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TaskEvidenceRef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UNIQUE(task_id,evidence_revision_id)、visibility_scope。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Claim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task_id、round、agent_role、claim_type、parent_claim、audit projection。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TaskJob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status + available_at + priority；lease_owner/lease_expires_at。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EmbeddingRecord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index_build_id + model_version + vector；ANN 索引维度在模型冻结后确定。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6" w:space="2" w:color="255B84"/>
        </w:pBdr>
      </w:pPr>
      <w:r>
        <w:t>5 Domain / Pydantic / Agent Schema</w:t>
      </w:r>
    </w:p>
    <w:p>
      <w:pPr>
        <w:pStyle w:val="Heading2"/>
      </w:pPr>
      <w:r>
        <w:t>5.1 四层模型边界</w:t>
      </w:r>
    </w:p>
    <w:p>
      <w:pPr>
        <w:pStyle w:val="CodeBlock"/>
        <w:spacing w:after="100"/>
        <w:shd w:fill="F5F7F9"/>
      </w:pPr>
      <w:r>
        <w:rPr>
          <w:rFonts w:ascii="DejaVu Sans Mono" w:hAnsi="DejaVu Sans Mono" w:eastAsia="DejaVu Sans Mono"/>
          <w:sz w:val="16"/>
        </w:rPr>
        <w:t>Domain Model ≠ ORM Model ≠ API DTO ≠ Agent Contract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四类对象可以字段相似，但用途不同。Domain 表达业务不变量；ORM 处理持久化；API DTO 表达 HTTP 合约；Agent Contract 是不可信模型输出的最小结构化协议。禁止为减少代码而复用同一个 Pydantic 类覆盖四层。</w:t>
      </w:r>
    </w:p>
    <w:p>
      <w:pPr>
        <w:pStyle w:val="Heading2"/>
      </w:pPr>
      <w:r>
        <w:t>5.2 严格 Schema 规则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外部 API 和 Agent 输出采用 Pydantic v2 strict/extra=forbid；非法字段不能被静默忽略。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Agent 新对象仅允许 client_ref 作为本次输出内的临时引用；最终业务 ID 由后端分配。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Provenance（task_id、agent_role、model_version、prompt_version、round、input_snapshot）由系统附加，不让模型自己声明。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Agent rationale 使用可审计的 rationale_summary，不要求或保存隐藏 Chain-of-Thought。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Agent Schema 版本与 PromptVersion 独立，例如 research-agent-output/v1。</w:t>
      </w:r>
    </w:p>
    <w:p>
      <w:pPr>
        <w:pStyle w:val="Heading2"/>
      </w:pPr>
      <w:r>
        <w:t>5.3 ResearchExecutionContext</w:t>
      </w:r>
    </w:p>
    <w:p>
      <w:pPr>
        <w:pStyle w:val="CodeBlock"/>
        <w:spacing w:after="100"/>
        <w:shd w:fill="F5F7F9"/>
      </w:pPr>
      <w:r>
        <w:rPr>
          <w:rFonts w:ascii="DejaVu Sans Mono" w:hAnsi="DejaVu Sans Mono" w:eastAsia="DejaVu Sans Mono"/>
          <w:sz w:val="16"/>
        </w:rPr>
        <w:t>ResearchExecutionContext</w:t>
        <w:br/>
        <w:t>- task_id / question</w:t>
        <w:br/>
        <w:t>- ResearchScopeSnapshot</w:t>
        <w:br/>
        <w:t>- knowledge_version_id</w:t>
        <w:br/>
        <w:t>- index_build_id</w:t>
        <w:br/>
        <w:t>- workflow_version_id</w:t>
        <w:br/>
        <w:t>- retrieval_profile_version</w:t>
        <w:br/>
        <w:t>- agent_definitions / prompt_versions</w:t>
        <w:br/>
        <w:t>- frozen_model_routes</w:t>
        <w:br/>
        <w:t>- run_fingerprint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ResearchTask 启动后上述上下文不可更改；若需修改研究范围或模型策略，应克隆/创建新任务，而不是修改正在运行或已完成任务。</w:t>
      </w:r>
    </w:p>
    <w:p>
      <w:pPr>
        <w:pStyle w:val="Heading2"/>
      </w:pPr>
      <w:r>
        <w:t>5.4 Claim 类型策略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835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6803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V1 典型 ClaimType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Classicist</w:t>
            </w:r>
          </w:p>
        </w:tc>
        <w:tc>
          <w:tcPr>
            <w:tcW w:type="dxa" w:w="680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DIRECT_TEXT, TEXTUAL_RELATION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HistoricalScholar</w:t>
            </w:r>
          </w:p>
        </w:tc>
        <w:tc>
          <w:tcPr>
            <w:tcW w:type="dxa" w:w="680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HISTORICAL_FACT, LATER_INTERPRETATION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Theorist</w:t>
            </w:r>
          </w:p>
        </w:tc>
        <w:tc>
          <w:tcPr>
            <w:tcW w:type="dxa" w:w="680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THEORETICAL_INFERENCE, TEXTUAL_RELATION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Comparativist</w:t>
            </w:r>
          </w:p>
        </w:tc>
        <w:tc>
          <w:tcPr>
            <w:tcW w:type="dxa" w:w="680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TEXTUAL_RELATION, THEORETICAL_INFERENCE, LATER_INTERPRETATION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FormulaAnalyst</w:t>
            </w:r>
          </w:p>
        </w:tc>
        <w:tc>
          <w:tcPr>
            <w:tcW w:type="dxa" w:w="680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DIRECT_TEXT, HISTORICAL_FACT, THEORETICAL_INFERENCE（仅理论/文献层）</w:t>
            </w:r>
          </w:p>
        </w:tc>
      </w:tr>
    </w:tbl>
    <w:p>
      <w:pPr>
        <w:spacing w:after="0"/>
      </w:pPr>
    </w:p>
    <w:p>
      <w:pPr>
        <w:pStyle w:val="Heading2"/>
      </w:pPr>
      <w:r>
        <w:t>5.5 引用不变量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FF2D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55B84"/>
                <w:sz w:val="20"/>
              </w:rPr>
              <w:t xml:space="preserve">硬门禁 </w:t>
            </w:r>
            <w:r>
              <w:rPr>
                <w:rFonts w:ascii="Noto Serif CJK SC" w:hAnsi="Noto Serif CJK SC" w:eastAsia="Noto Serif CJK SC"/>
                <w:sz w:val="20"/>
              </w:rPr>
              <w:t>Agent 的 Evidence 引用必须同时满足：EvidenceRevision 存在、状态允许、对 Task 冻结的 KnowledgeVersion 有效、已在 TaskEvidenceRef 证据池中、并且属于本 AgentRun 的 Visible Evidence Set。任何一项不满足，整份 Agent 输出拒绝持久化。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6" w:space="2" w:color="255B84"/>
        </w:pBdr>
      </w:pPr>
      <w:r>
        <w:t>6 Repository、Unit of Work 与 Application Service</w:t>
      </w:r>
    </w:p>
    <w:p>
      <w:pPr>
        <w:pStyle w:val="Heading2"/>
      </w:pPr>
      <w:r>
        <w:t>6.1 调用链</w:t>
      </w:r>
    </w:p>
    <w:p>
      <w:pPr>
        <w:pStyle w:val="CodeBlock"/>
        <w:spacing w:after="100"/>
        <w:shd w:fill="F5F7F9"/>
      </w:pPr>
      <w:r>
        <w:rPr>
          <w:rFonts w:ascii="DejaVu Sans Mono" w:hAnsi="DejaVu Sans Mono" w:eastAsia="DejaVu Sans Mono"/>
          <w:sz w:val="16"/>
        </w:rPr>
        <w:t>Router / Workflow / Worker</w:t>
        <w:br/>
        <w:t xml:space="preserve">          ↓</w:t>
        <w:br/>
        <w:t>Application Service</w:t>
        <w:br/>
        <w:t xml:space="preserve">          ↓</w:t>
        <w:br/>
        <w:t>UnitOfWork</w:t>
        <w:br/>
        <w:t xml:space="preserve">          ↓</w:t>
        <w:br/>
        <w:t>Aggregate Repository / Query Service</w:t>
        <w:br/>
        <w:t xml:space="preserve">          ↓</w:t>
        <w:br/>
        <w:t>SQLAlchemy ORM / PostgreSQL</w:t>
      </w:r>
    </w:p>
    <w:p>
      <w:pPr>
        <w:pStyle w:val="Heading2"/>
      </w:pPr>
      <w:r>
        <w:t>6.2 Repository 原则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Repository 面向聚合而非数据库表 CRUD；返回 Domain 对象，不泄露 ORM Session/lazy loading。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复杂读模型由 Query Service 直接构建 DTO，允许优化 JOIN/View，不强行走 Aggregate Repository。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AgentRuntime、Router、Worker 禁止直接操作 ORM。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跨聚合写操作必须经过 UoW，业务对象与 EventLog 在同一事务提交。</w:t>
      </w:r>
    </w:p>
    <w:p>
      <w:pPr>
        <w:pStyle w:val="Heading2"/>
      </w:pPr>
      <w:r>
        <w:t>6.3 Application Service 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3005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Use Case Service</w:t>
            </w:r>
          </w:p>
        </w:tc>
        <w:tc>
          <w:tcPr>
            <w:tcW w:type="dxa" w:w="6633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核心职责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CreateResearchTask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创建 CREATED 任务和 Draft Scope。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StartResearchTask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验证并冻结 KV/Index/Workflow/Prompt/Model/Retrieval，生成 RunFingerprint 与首 Job。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EvidencePoolService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把精确 EvidenceRevision 加入 TaskEvidenceRef；验证版本、状态、Scope。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CreateClaimFromAgentService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原子校验 Agent 输出并创建 Claim/ClaimEvidence/Event。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Critique/Rebuttal/AuditService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维护 append-only debate/audit history。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KnowledgePublishService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Publish Barrier、IndexBuild、Active Pointer 切换。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BackupService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create/verify/restore，Restore 由 Supervisor 完成切换。</w:t>
            </w:r>
          </w:p>
        </w:tc>
      </w:tr>
    </w:tbl>
    <w:p>
      <w:pPr>
        <w:spacing w:after="0"/>
      </w:pPr>
    </w:p>
    <w:p>
      <w:pPr>
        <w:pStyle w:val="Heading2"/>
      </w:pPr>
      <w:r>
        <w:t>6.4 外部调用事务模式</w:t>
      </w:r>
    </w:p>
    <w:p>
      <w:pPr>
        <w:pStyle w:val="CodeBlock"/>
        <w:spacing w:after="100"/>
        <w:shd w:fill="F5F7F9"/>
      </w:pPr>
      <w:r>
        <w:rPr>
          <w:rFonts w:ascii="DejaVu Sans Mono" w:hAnsi="DejaVu Sans Mono" w:eastAsia="DejaVu Sans Mono"/>
          <w:sz w:val="16"/>
        </w:rPr>
        <w:t>短事务 A：创建 InputSnapshot / NodeExecution / AgentRun → COMMIT</w:t>
        <w:br/>
        <w:t>外部执行：LLM / Retrieval / OCR（无 DB 长事务、无长连接）</w:t>
        <w:br/>
        <w:t>短事务 B：重新验证 task/node/lease/generation → 校验输出 → 写业务对象+Event+Checkpoint → COMMIT</w:t>
      </w:r>
    </w:p>
    <w:p>
      <w:pPr>
        <w:pStyle w:val="Heading2"/>
      </w:pPr>
      <w:r>
        <w:t>6.5 错误边界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Domain/Application 返回稳定 error_code/error_class；HTTP 状态码仅由 API Router 映射。Application/Domain 不抛 FastAPI HTTPException。长任务错误同时写入 NodeExecution/TaskAttempt 和操作日志。</w:t>
      </w:r>
    </w:p>
    <w:p>
      <w:pPr>
        <w:pStyle w:val="Heading1"/>
        <w:pBdr>
          <w:bottom w:val="single" w:sz="6" w:space="2" w:color="255B84"/>
        </w:pBdr>
      </w:pPr>
      <w:r>
        <w:t>7 Research Workflow 状态机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657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arch_workflow_l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 4  理论研究工作流与可中断路径</w:t>
      </w:r>
    </w:p>
    <w:p>
      <w:pPr>
        <w:pStyle w:val="Heading2"/>
      </w:pPr>
      <w:r>
        <w:t>7.1 状态分层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984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5386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状态示例</w:t>
            </w:r>
          </w:p>
        </w:tc>
        <w:tc>
          <w:tcPr>
            <w:tcW w:type="dxa" w:w="2268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TaskStatus</w:t>
            </w:r>
          </w:p>
        </w:tc>
        <w:tc>
          <w:tcPr>
            <w:tcW w:type="dxa" w:w="53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CREATED/PLANNING/RETRIEVING/RESEARCHING/DEBATING/AUDITING/JUDGING/WAITING_HUMAN/PAUSED/COMPLETED/FAILED/CANCELLED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用户可见业务状态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WorkflowStage</w:t>
            </w:r>
          </w:p>
        </w:tc>
        <w:tc>
          <w:tcPr>
            <w:tcW w:type="dxa" w:w="53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FREEZE_CONTEXT, PLANNER, INITIAL_RETRIEVAL, INDEPENDENT_RESEARCH, CLAIM_NORMALIZATION, CRITIQUE, RE_RETRIEVAL, REBUTTAL, AUDIT, BUILD_DISPUTES, STOP_EVALUATION, JUDGE, REPORT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工作流引擎当前阶段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NodeExecutionStatus</w:t>
            </w:r>
          </w:p>
        </w:tc>
        <w:tc>
          <w:tcPr>
            <w:tcW w:type="dxa" w:w="53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PENDING/RUNNING/COMPLETED/RETRY_WAIT/INTERRUPTED/SKIPPED/DISCARDED/FAILED/CANCELLED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节点执行状态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JobStatus</w:t>
            </w:r>
          </w:p>
        </w:tc>
        <w:tc>
          <w:tcPr>
            <w:tcW w:type="dxa" w:w="53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PENDING/LEASED/RUNNING/RETRY_WAIT/PAUSE_REQUESTED/PAUSED/CANCEL_REQUESTED/COMPLETED/FAILED/CANCELLED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后台调度状态</w:t>
            </w:r>
          </w:p>
        </w:tc>
      </w:tr>
    </w:tbl>
    <w:p>
      <w:pPr>
        <w:spacing w:after="0"/>
      </w:pPr>
    </w:p>
    <w:p>
      <w:pPr>
        <w:pStyle w:val="Heading2"/>
      </w:pPr>
      <w:r>
        <w:t>7.2 节点执行协议</w:t>
      </w:r>
    </w:p>
    <w:p>
      <w:pPr>
        <w:pStyle w:val="CodeBlock"/>
        <w:spacing w:after="100"/>
        <w:shd w:fill="F5F7F9"/>
      </w:pPr>
      <w:r>
        <w:rPr>
          <w:rFonts w:ascii="DejaVu Sans Mono" w:hAnsi="DejaVu Sans Mono" w:eastAsia="DejaVu Sans Mono"/>
          <w:sz w:val="16"/>
        </w:rPr>
        <w:t>prepare() → execute() → persist() → resolve_transition()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prepare 构建不可变 InputSnapshot；execute 可调用外部模型/检索；persist 重新验证 Task/Context/Lease 并做短事务提交；transition 由确定性规则决定下一节点。</w:t>
      </w:r>
    </w:p>
    <w:p>
      <w:pPr>
        <w:pStyle w:val="Heading2"/>
      </w:pPr>
      <w:r>
        <w:t>7.3 首轮隔离与轮次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INDEPENDENT_RESEARCH 首轮只执行一次；不同研究 Agent 的 ContextBuilder 不包含其他首轮 Agent 的 Claim/输出。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首轮完成后 Claim Normalization 建立 CanonicalClaim 视图；后续轮次主要围绕 Critique → Re-Retrieval → Rebuttal → Audit → Dispute。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后续 Rebuttal 产生 Claim Revision 时做增量 Canonical normalization，不删除旧 Claim。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最少/最多轮次及停止阈值来自冻结 WorkflowConfig；StopEvaluator 不使用 Agent 自信或多数票。</w:t>
      </w:r>
    </w:p>
    <w:p>
      <w:pPr>
        <w:pStyle w:val="Heading2"/>
      </w:pPr>
      <w:r>
        <w:t>7.4 Audit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审计分两层：Mechanical Audit 确定性检查 Evidence ID、Task Pool、版本、定位、Quote、关联完整性；Mechanical 通过后才进入 Semantic Audit，输出 SUPPORTED / PARTIALLY_SUPPORTED / UNSUPPORTED / CONTRADICTED / NOT_VERIFIABLE。NOT_VERIFIABLE 明确不等于 FALSE。</w:t>
      </w:r>
    </w:p>
    <w:p>
      <w:pPr>
        <w:pStyle w:val="Heading2"/>
      </w:pPr>
      <w:r>
        <w:t>7.5 WAITING_HUMAN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WAITING_HUMAN 是可从多个阶段进入的中断状态，而非固定末端节点。典型触发包括关键 OCR 无法确认、核心来源版本冲突、强证据矛盾、mandatory review。系统保存 interrupted_stage、resume_stage、reason_code 和 HumanReviewRequest。</w:t>
      </w:r>
    </w:p>
    <w:p>
      <w:pPr>
        <w:pStyle w:val="Heading2"/>
      </w:pPr>
      <w:r>
        <w:t>7.6 Judge / Report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Judge 只能读取已审计 Active Claims、AuditResult、Dispute、已验证 Evidence 和未解决 EvidenceGap；不得自由检索或创建新 Evidence/Claim。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ResearchSynthesis 与 ReportGenerator 分离；ReportGenerator 只渲染结构化结果。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Structured Report 保存成功后 ResearchTask 可完成；DOCX/Markdown 导出失败作为可重试派生 Job，不使研究任务失败。</w:t>
      </w:r>
    </w:p>
    <w:p>
      <w:pPr>
        <w:pStyle w:val="Heading1"/>
        <w:pBdr>
          <w:bottom w:val="single" w:sz="6" w:space="2" w:color="255B84"/>
        </w:pBdr>
      </w:pPr>
      <w:r>
        <w:t>8 Agent、Prompt 与 Tool Contract</w:t>
      </w:r>
    </w:p>
    <w:p>
      <w:pPr>
        <w:pStyle w:val="Heading2"/>
      </w:pPr>
      <w:r>
        <w:t>8.1 AgentDefinition</w:t>
      </w:r>
    </w:p>
    <w:p>
      <w:pPr>
        <w:pStyle w:val="CodeBlock"/>
        <w:spacing w:after="100"/>
        <w:shd w:fill="F5F7F9"/>
      </w:pPr>
      <w:r>
        <w:rPr>
          <w:rFonts w:ascii="DejaVu Sans Mono" w:hAnsi="DejaVu Sans Mono" w:eastAsia="DejaVu Sans Mono"/>
          <w:sz w:val="16"/>
        </w:rPr>
        <w:t>AgentDefinition = Role Contract + PromptVersion + InputSchema + OutputSchema + ToolPermissions + ModelPolicy + ContextPolicy</w:t>
      </w:r>
    </w:p>
    <w:p>
      <w:pPr>
        <w:pStyle w:val="Heading2"/>
      </w:pPr>
      <w:r>
        <w:t>8.2 V1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2268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134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V1</w:t>
            </w:r>
          </w:p>
        </w:tc>
        <w:tc>
          <w:tcPr>
            <w:tcW w:type="dxa" w:w="6236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核心职责/限制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Planner</w:t>
            </w:r>
          </w:p>
        </w:tc>
        <w:tc>
          <w:tcPr>
            <w:tcW w:type="dxa" w:w="113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启用</w:t>
            </w:r>
          </w:p>
        </w:tc>
        <w:tc>
          <w:tcPr>
            <w:tcW w:type="dxa" w:w="62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问题拆解和 RetrievalPlan；不提前形成结论，不生成 Evidence ID。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Retriever</w:t>
            </w:r>
          </w:p>
        </w:tc>
        <w:tc>
          <w:tcPr>
            <w:tcW w:type="dxa" w:w="113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逻辑角色</w:t>
            </w:r>
          </w:p>
        </w:tc>
        <w:tc>
          <w:tcPr>
            <w:tcW w:type="dxa" w:w="62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查询分析/扩展；Evidence 发现、解析和 ID 分配由 RetrievalService 完成。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Classicist</w:t>
            </w:r>
          </w:p>
        </w:tc>
        <w:tc>
          <w:tcPr>
            <w:tcW w:type="dxa" w:w="113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启用</w:t>
            </w:r>
          </w:p>
        </w:tc>
        <w:tc>
          <w:tcPr>
            <w:tcW w:type="dxa" w:w="62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经典原文和文本关系；不得把后世解释写成原义。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HistoricalScholar</w:t>
            </w:r>
          </w:p>
        </w:tc>
        <w:tc>
          <w:tcPr>
            <w:tcW w:type="dxa" w:w="113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启用</w:t>
            </w:r>
          </w:p>
        </w:tc>
        <w:tc>
          <w:tcPr>
            <w:tcW w:type="dxa" w:w="62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历代医家、流派、版本演变；不得抹平时代差异。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Theorist</w:t>
            </w:r>
          </w:p>
        </w:tc>
        <w:tc>
          <w:tcPr>
            <w:tcW w:type="dxa" w:w="113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启用</w:t>
            </w:r>
          </w:p>
        </w:tc>
        <w:tc>
          <w:tcPr>
            <w:tcW w:type="dxa" w:w="62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理论结构与竞争解释；不得把推论包装成原文。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Comparativist</w:t>
            </w:r>
          </w:p>
        </w:tc>
        <w:tc>
          <w:tcPr>
            <w:tcW w:type="dxa" w:w="113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可配置</w:t>
            </w:r>
          </w:p>
        </w:tc>
        <w:tc>
          <w:tcPr>
            <w:tcW w:type="dxa" w:w="62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跨时代/流派比较；首轮同样隔离。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FormulaAnalyst</w:t>
            </w:r>
          </w:p>
        </w:tc>
        <w:tc>
          <w:tcPr>
            <w:tcW w:type="dxa" w:w="113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可配置</w:t>
            </w:r>
          </w:p>
        </w:tc>
        <w:tc>
          <w:tcPr>
            <w:tcW w:type="dxa" w:w="62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方剂文献与理论分析；不得做患者处方。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Critic</w:t>
            </w:r>
          </w:p>
        </w:tc>
        <w:tc>
          <w:tcPr>
            <w:tcW w:type="dxa" w:w="113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启用</w:t>
            </w:r>
          </w:p>
        </w:tc>
        <w:tc>
          <w:tcPr>
            <w:tcW w:type="dxa" w:w="62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对具体 Claim 质疑；不创建新理论 Claim。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EvidenceAuditor</w:t>
            </w:r>
          </w:p>
        </w:tc>
        <w:tc>
          <w:tcPr>
            <w:tcW w:type="dxa" w:w="113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启用</w:t>
            </w:r>
          </w:p>
        </w:tc>
        <w:tc>
          <w:tcPr>
            <w:tcW w:type="dxa" w:w="62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语义证据审计；默认不自由检索，不提出新理论结论。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Judge</w:t>
            </w:r>
          </w:p>
        </w:tc>
        <w:tc>
          <w:tcPr>
            <w:tcW w:type="dxa" w:w="113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启用</w:t>
            </w:r>
          </w:p>
        </w:tc>
        <w:tc>
          <w:tcPr>
            <w:tcW w:type="dxa" w:w="62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基于审计结果形成综合报告；不新增未审计结论。</w:t>
            </w:r>
          </w:p>
        </w:tc>
      </w:tr>
    </w:tbl>
    <w:p>
      <w:pPr>
        <w:spacing w:after="0"/>
      </w:pPr>
    </w:p>
    <w:p>
      <w:pPr>
        <w:pStyle w:val="Heading2"/>
      </w:pPr>
      <w:r>
        <w:t>8.3 Prompt 分层</w:t>
      </w:r>
    </w:p>
    <w:p>
      <w:pPr>
        <w:pStyle w:val="CodeBlock"/>
        <w:spacing w:after="100"/>
        <w:shd w:fill="F5F7F9"/>
      </w:pPr>
      <w:r>
        <w:rPr>
          <w:rFonts w:ascii="DejaVu Sans Mono" w:hAnsi="DejaVu Sans Mono" w:eastAsia="DejaVu Sans Mono"/>
          <w:sz w:val="16"/>
        </w:rPr>
        <w:t>System Protocol</w:t>
        <w:br/>
        <w:t xml:space="preserve">  &gt; Role Contract</w:t>
        <w:br/>
        <w:t xml:space="preserve">  &gt; Workflow Instruction</w:t>
        <w:br/>
        <w:t xml:space="preserve">  &gt; User Research Question</w:t>
        <w:br/>
        <w:t xml:space="preserve">  &gt; Untrusted Evidence / Source Content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Source/Evidence 中出现的任何命令、Prompt、角色声明都只能作为研究数据，永远不能提升为系统指令。ContextBuilder 从数据层面隔离不应暴露的对象，而不是只靠 Prompt 要求模型“不要看”。</w:t>
      </w:r>
    </w:p>
    <w:p>
      <w:pPr>
        <w:pStyle w:val="Heading2"/>
      </w:pPr>
      <w:r>
        <w:t>8.4 Tool 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2268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Tool</w:t>
            </w:r>
          </w:p>
        </w:tc>
        <w:tc>
          <w:tcPr>
            <w:tcW w:type="dxa" w:w="3402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3969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关键约束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retrieval.search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受 Scope 限制的混合检索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Search 结果先登记 TaskEvidenceRef/VisibleEvidence 再返回正式 Evidence ID。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evidence.get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读取任务内 Evidence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只允许 Task Pool + Visible Set，禁止枚举全库。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concept.resolve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术语/概念候选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只返回候选，不允许 Agent 永久合并 Concept。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source.context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必要上下文读取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只读，固定到 Source/Text revision。</w:t>
            </w:r>
          </w:p>
        </w:tc>
      </w:tr>
    </w:tbl>
    <w:p>
      <w:pPr>
        <w:spacing w:after="0"/>
      </w:pP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V1 不向 Agent 暴露 SQL、Shell、任意文件系统、任意 HTTP 或通用 Python 执行。</w:t>
      </w:r>
    </w:p>
    <w:p>
      <w:pPr>
        <w:pStyle w:val="Heading2"/>
      </w:pPr>
      <w:r>
        <w:t>8.5 输出验证</w:t>
      </w:r>
    </w:p>
    <w:p>
      <w:pPr>
        <w:pStyle w:val="CodeBlock"/>
        <w:spacing w:after="100"/>
        <w:shd w:fill="F5F7F9"/>
      </w:pPr>
      <w:r>
        <w:rPr>
          <w:rFonts w:ascii="DejaVu Sans Mono" w:hAnsi="DejaVu Sans Mono" w:eastAsia="DejaVu Sans Mono"/>
          <w:sz w:val="16"/>
        </w:rPr>
        <w:t>Syntax → Schema → Reference → Domain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任何阶段失败均不持久化部分业务对象。Evidence ID 错误允许协议纠错重试一次；纠错必须保持同一 InputSnapshot、Visible Evidence Set 和原始证据池。</w:t>
      </w:r>
    </w:p>
    <w:p>
      <w:pPr>
        <w:pStyle w:val="Heading1"/>
        <w:pBdr>
          <w:bottom w:val="single" w:sz="6" w:space="2" w:color="255B84"/>
        </w:pBdr>
      </w:pPr>
      <w:r>
        <w:t>9 Retrieval Pipeline</w:t>
      </w:r>
    </w:p>
    <w:p>
      <w:pPr>
        <w:pStyle w:val="Heading2"/>
      </w:pPr>
      <w:r>
        <w:t>9.1 目标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Retrieval 的最终产物是 Published Evidence，而不是匿名 Chunk。TextSegment 是引用结构，RetrievalChunk 是语义召回派生对象，两者严格分离。</w:t>
      </w:r>
    </w:p>
    <w:p>
      <w:pPr>
        <w:pStyle w:val="CodeBlock"/>
        <w:spacing w:after="100"/>
        <w:shd w:fill="F5F7F9"/>
      </w:pPr>
      <w:r>
        <w:rPr>
          <w:rFonts w:ascii="DejaVu Sans Mono" w:hAnsi="DejaVu Sans Mono" w:eastAsia="DejaVu Sans Mono"/>
          <w:sz w:val="16"/>
        </w:rPr>
        <w:t>Query → Normalize → Analyze → Concept Resolve → Scope Enforce → Query Plan</w:t>
        <w:br/>
        <w:t xml:space="preserve">      → Exact / FTS / Vector / Structured / Relation</w:t>
        <w:br/>
        <w:t xml:space="preserve">      → Candidate Merge → Rank Fusion → Dedup → Rerank</w:t>
        <w:br/>
        <w:t xml:space="preserve">      → EvidenceResolver → Context Expansion → Diversity → TaskEvidenceRef</w:t>
      </w:r>
    </w:p>
    <w:p>
      <w:pPr>
        <w:pStyle w:val="Heading2"/>
      </w:pPr>
      <w:r>
        <w:t>9.2 Query 与术语规范化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原始 Query 永久保留；Unicode/标点/空白可安全规范化。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繁简、异体字、古今词转换仅生成 alternate query，不覆盖原文。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ConceptTerm 保存 alias/variant/historical/school-specific；有时代/流派歧义时不静默合并。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ResearchScope 为硬过滤，Agent 请求只能进一步收窄，不能扩大。</w:t>
      </w:r>
    </w:p>
    <w:p>
      <w:pPr>
        <w:pStyle w:val="Heading2"/>
      </w:pPr>
      <w:r>
        <w:t>9.3 多路召回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814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4365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实现</w:t>
            </w:r>
          </w:p>
        </w:tc>
        <w:tc>
          <w:tcPr>
            <w:tcW w:type="dxa" w:w="3458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Exact/Phrase</w:t>
            </w:r>
          </w:p>
        </w:tc>
        <w:tc>
          <w:tcPr>
            <w:tcW w:type="dxa" w:w="43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original/normalized + pg_trgm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经典原句、短语、异体命中。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Lexical/FTS</w:t>
            </w:r>
          </w:p>
        </w:tc>
        <w:tc>
          <w:tcPr>
            <w:tcW w:type="dxa" w:w="43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应用层中文/古汉语 tokenization + PostgreSQL tsvector(simple)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关键词与受控词表检索。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Vector</w:t>
            </w:r>
          </w:p>
        </w:tc>
        <w:tc>
          <w:tcPr>
            <w:tcW w:type="dxa" w:w="43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RetrievalChunk + pgvector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语义召回；Embedding model 与 IndexBuild 绑定。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Structured</w:t>
            </w:r>
          </w:p>
        </w:tc>
        <w:tc>
          <w:tcPr>
            <w:tcW w:type="dxa" w:w="43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SQL/结构表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方剂组成、来源/时代/类型等精确结构查询。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Relation</w:t>
            </w:r>
          </w:p>
        </w:tc>
        <w:tc>
          <w:tcPr>
            <w:tcW w:type="dxa" w:w="43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KnowledgeRelation + relation evidence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SUPPORTS/REFUTES/EVOLVES_FROM 等关系检索。</w:t>
            </w:r>
          </w:p>
        </w:tc>
      </w:tr>
    </w:tbl>
    <w:p>
      <w:pPr>
        <w:spacing w:after="0"/>
      </w:pPr>
    </w:p>
    <w:p>
      <w:pPr>
        <w:pStyle w:val="Heading2"/>
      </w:pPr>
      <w:r>
        <w:t>9.4 Fusion 与 Rerank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不同通道原始分数不可直接比较。V1 采用配置化 Weighted Reciprocal Rank Fusion（RRF），再对 Top-N 进行 Rerank。Reranker 只判断 Query 相关性，不承担 Evidence 是否足够支持 Claim 的审计职责。</w:t>
      </w:r>
    </w:p>
    <w:p>
      <w:pPr>
        <w:pStyle w:val="Heading2"/>
      </w:pPr>
      <w:r>
        <w:t>9.5 EvidenceResolver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FF2D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55B84"/>
                <w:sz w:val="20"/>
              </w:rPr>
              <w:t xml:space="preserve">引用边界 </w:t>
            </w:r>
            <w:r>
              <w:rPr>
                <w:rFonts w:ascii="Noto Serif CJK SC" w:hAnsi="Noto Serif CJK SC" w:eastAsia="Noto Serif CJK SC"/>
                <w:sz w:val="20"/>
              </w:rPr>
              <w:t>Chunk/Segment/Relation 候选必须解析到当前 KnowledgeVersion 下 Published EvidenceRevision 后才能进入任务证据池。若只找到高相关 Passage、但没有正式可引用 Evidence，则形成 UnresolvedPassageCandidate/QualityIssue，绝不临时编造 Evidence ID。</w:t>
            </w:r>
          </w:p>
        </w:tc>
      </w:tr>
    </w:tbl>
    <w:p>
      <w:pPr>
        <w:spacing w:after="0"/>
      </w:pPr>
    </w:p>
    <w:p>
      <w:pPr>
        <w:pStyle w:val="Heading2"/>
      </w:pPr>
      <w:r>
        <w:t>9.6 IndexBuild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KnowledgeVersion 表示知识内容；IndexBuild 表示某知识版本在特定 Chunk strategy、Tokenizer、Embedding Model、Reranker 配置下的派生检索构建。ResearchTask 同时冻结 KnowledgeVersion、IndexBuild、RetrievalProfileVersion。</w:t>
      </w:r>
    </w:p>
    <w:p>
      <w:pPr>
        <w:pStyle w:val="Heading2"/>
      </w:pPr>
      <w:r>
        <w:t>9.7 检索评测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建立 Retrieval Golden Set，记录 Gold Evidence、Optional Relevant、Known Counter Evidence、Hard Negative；计算 Precision@K、Recall@K、MRR、nDCG、CounterEvidenceRecall 和 EvidenceResolutionRate。需求仅规定 Precision/Recall 建立基线后持续提高，正式阈值由真实语料 Benchmark 冻结。</w:t>
      </w:r>
    </w:p>
    <w:p>
      <w:pPr>
        <w:pStyle w:val="Heading1"/>
        <w:pBdr>
          <w:bottom w:val="single" w:sz="6" w:space="2" w:color="255B84"/>
        </w:pBdr>
      </w:pPr>
      <w:r>
        <w:t>10 Model Gateway</w:t>
      </w:r>
    </w:p>
    <w:p>
      <w:pPr>
        <w:pStyle w:val="Heading2"/>
      </w:pPr>
      <w:r>
        <w:t>10.1 统一接口</w:t>
      </w:r>
    </w:p>
    <w:p>
      <w:pPr>
        <w:pStyle w:val="CodeBlock"/>
        <w:spacing w:after="100"/>
        <w:shd w:fill="F5F7F9"/>
      </w:pPr>
      <w:r>
        <w:rPr>
          <w:rFonts w:ascii="DejaVu Sans Mono" w:hAnsi="DejaVu Sans Mono" w:eastAsia="DejaVu Sans Mono"/>
          <w:sz w:val="16"/>
        </w:rPr>
        <w:t>complete()</w:t>
        <w:br/>
        <w:t>structured_complete()</w:t>
        <w:br/>
        <w:t>embed()</w:t>
        <w:br/>
        <w:t>rerank()</w:t>
        <w:br/>
        <w:t>health()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业务代码不得直接引用任何模型厂商 SDK；Provider SDK 只允许出现在 adapter。</w:t>
      </w:r>
    </w:p>
    <w:p>
      <w:pPr>
        <w:pStyle w:val="Heading2"/>
      </w:pPr>
      <w:r>
        <w:t>10.2 三层模型对象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438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7200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ModelEndpoint</w:t>
            </w:r>
          </w:p>
        </w:tc>
        <w:tc>
          <w:tcPr>
            <w:tcW w:type="dxa" w:w="72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服务在哪里、provider 类型、base_url、secret_ref、连接策略。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ModelVersion</w:t>
            </w:r>
          </w:p>
        </w:tc>
        <w:tc>
          <w:tcPr>
            <w:tcW w:type="dxa" w:w="72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具体模型/revision、capabilities、context window、embedding dimension。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ModelPolicy</w:t>
            </w:r>
          </w:p>
        </w:tc>
        <w:tc>
          <w:tcPr>
            <w:tcW w:type="dxa" w:w="72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Agent 如何选择 preferred/fallback、参数、timeout、remote policy。</w:t>
            </w:r>
          </w:p>
        </w:tc>
      </w:tr>
    </w:tbl>
    <w:p>
      <w:pPr>
        <w:spacing w:after="0"/>
      </w:pPr>
    </w:p>
    <w:p>
      <w:pPr>
        <w:pStyle w:val="Heading2"/>
      </w:pPr>
      <w:r>
        <w:t>10.3 FrozenModelRoute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ResearchTask 启动时把 preferred model、fallback list、remote policy 全部解析并冻结。运行期间修改系统默认模型不会影响已启动任务。Fallback 不能突破 LOCAL_ONLY/EXPLICIT_APPROVAL 等外发策略，local→remote fallback 必须写审计事件。</w:t>
      </w:r>
    </w:p>
    <w:p>
      <w:pPr>
        <w:pStyle w:val="Heading2"/>
      </w:pPr>
      <w:r>
        <w:t>10.4 Structured Output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Provider 可采用 Native JSON Schema、JSON Mode 或严格 JSON 文本三种模式；无论哪种，返回结果都必须继续通过 Pydantic、Reference 和 Domain Validation。ModelGateway 只负责结构/协议，不负责 Evidence/Claim 领域合法性。</w:t>
      </w:r>
    </w:p>
    <w:p>
      <w:pPr>
        <w:pStyle w:val="Heading2"/>
      </w:pPr>
      <w:r>
        <w:t>10.5 OutboundPolicy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complete、structured_complete、embed、rerank 都可能向远程发送文本，因此统一经过 OutboundPolicyService。Secrets 只存 secret_ref，真实密钥进入 OS Keychain。远程发送可基于数据类别、Source 授权、Task policy 和显式审批阻断。</w:t>
      </w:r>
    </w:p>
    <w:p>
      <w:pPr>
        <w:pStyle w:val="Heading2"/>
      </w:pPr>
      <w:r>
        <w:t>10.6 ModelInvocation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268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字段组</w:t>
            </w:r>
          </w:p>
        </w:tc>
        <w:tc>
          <w:tcPr>
            <w:tcW w:type="dxa" w:w="7370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关联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task/node/agent/retrieval/purpose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模型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model_version/endpoint/capability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请求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request_hash/input_artifact_ref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结果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output_artifact_ref/token/latency/status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错误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error_code/error_class/fallback_from_model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成本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estimated_cost/currency（远程可选）</w:t>
            </w:r>
          </w:p>
        </w:tc>
      </w:tr>
    </w:tbl>
    <w:p>
      <w:pPr>
        <w:spacing w:after="0"/>
      </w:pPr>
    </w:p>
    <w:p>
      <w:pPr>
        <w:pStyle w:val="Heading2"/>
      </w:pPr>
      <w:r>
        <w:t>10.7 重试与并发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Model transient retry 与 Agent protocol correction retry 分离。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Context 过长时 Gateway 返回 CONTEXT_TOO_LARGE，不允许静默截断输入。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ResourceLimiter/CircuitBreaker 限制 endpoint/model 并发和连续失败。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一个 AgentRun 可包含多个 ModelInvocation（工具循环）。</w:t>
      </w:r>
    </w:p>
    <w:p>
      <w:pPr>
        <w:pStyle w:val="Heading1"/>
        <w:pBdr>
          <w:bottom w:val="single" w:sz="6" w:space="2" w:color="255B84"/>
        </w:pBdr>
      </w:pPr>
      <w:r>
        <w:t>11 Task Worker、Checkpoint 与恢复</w:t>
      </w:r>
    </w:p>
    <w:p>
      <w:pPr>
        <w:pStyle w:val="Heading2"/>
      </w:pPr>
      <w:r>
        <w:t>11.1 调度语义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3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55B84"/>
                <w:sz w:val="20"/>
              </w:rPr>
              <w:t xml:space="preserve">调度基线 </w:t>
            </w:r>
            <w:r>
              <w:rPr>
                <w:rFonts w:ascii="Noto Serif CJK SC" w:hAnsi="Noto Serif CJK SC" w:eastAsia="Noto Serif CJK SC"/>
                <w:sz w:val="20"/>
              </w:rPr>
              <w:t>任务调度采用 PostgreSQL 持久化队列，执行语义为 at-least-once + idempotent business commit。系统不宣称分布式 exactly-once。</w:t>
            </w:r>
          </w:p>
        </w:tc>
      </w:tr>
    </w:tbl>
    <w:p>
      <w:pPr>
        <w:spacing w:after="0"/>
      </w:pPr>
    </w:p>
    <w:p>
      <w:pPr>
        <w:pStyle w:val="Heading2"/>
      </w:pPr>
      <w:r>
        <w:t>11.2 TaskJob / Lease</w:t>
      </w:r>
    </w:p>
    <w:p>
      <w:pPr>
        <w:pStyle w:val="CodeBlock"/>
        <w:spacing w:after="100"/>
        <w:shd w:fill="F5F7F9"/>
      </w:pPr>
      <w:r>
        <w:rPr>
          <w:rFonts w:ascii="DejaVu Sans Mono" w:hAnsi="DejaVu Sans Mono" w:eastAsia="DejaVu Sans Mono"/>
          <w:sz w:val="16"/>
        </w:rPr>
        <w:t>SELECT ...</w:t>
        <w:br/>
        <w:t>FROM runtime.task_job</w:t>
        <w:br/>
        <w:t>WHERE status IN ('PENDING','RETRY_WAIT') AND available_at &lt;= now()</w:t>
        <w:br/>
        <w:t>ORDER BY priority DESC, available_at ASC, created_at ASC</w:t>
        <w:br/>
        <w:t>FOR UPDATE SKIP LOCKED</w:t>
        <w:br/>
        <w:t>LIMIT 1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Worker 短事务取得 lease_owner/lease_expires_at 后提交事务，再执行实际节点。长模型/OCR 运行期间由独立 heartbeat 续租；业务 persist 前必须重新验证 lease 与 execution_generation。</w:t>
      </w:r>
    </w:p>
    <w:p>
      <w:pPr>
        <w:pStyle w:val="Heading2"/>
      </w:pPr>
      <w:r>
        <w:t>11.3 幂等与崩溃恢复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每个逻辑 Node 具有稳定 idempotency_key；相同 key + 相同 generation 只能产生一份业务结果。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成功节点把业务对象、EventLog、NodeExecution=COMPLETED、Checkpoint、下一阶段状态、JobCompletion 尽量在同一 PostgreSQL 事务提交。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Recovery 不能只看 Job=RUNNING；必须 reconcile Job、NodeExecution、Checkpoint、Domain Event/Output，防止已提交结果被重复执行。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Worker lease 丢失或 generation 变化后，旧执行结果一律 DISCARDED。</w:t>
      </w:r>
    </w:p>
    <w:p>
      <w:pPr>
        <w:pStyle w:val="Heading2"/>
      </w:pPr>
      <w:r>
        <w:t>11.4 Pause / Cancel / WAITING_HUMAN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Pause 为协作式安全点：UI 先显示 PAUSE_REQUESTED，当前调用到安全边界后 checkpoint 并进入 PAUSED。Cancel 尽快取消外部调用；无法取消时等待返回但丢弃结果。WAITING_HUMAN 节点自身正常完成，不保持 Worker lease 等待人工。</w:t>
      </w:r>
    </w:p>
    <w:p>
      <w:pPr>
        <w:pStyle w:val="Heading2"/>
      </w:pPr>
      <w:r>
        <w:t>11.5 ResourceClass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Job 标记 IO、CPU_PARSE、OCR、EMBEDDING、LLM_LOCAL、LLM_REMOTE、RERANK、DB_MAINTENANCE、EXPORT 等 ResourceClass；ResourceGovernor 使用静态并发上限为主，逻辑多 Agent 并行可以在单 GPU 模型上物理串行。</w:t>
      </w:r>
    </w:p>
    <w:p>
      <w:pPr>
        <w:pStyle w:val="Heading1"/>
        <w:pBdr>
          <w:bottom w:val="single" w:sz="6" w:space="2" w:color="255B84"/>
        </w:pBdr>
      </w:pPr>
      <w:r>
        <w:t>12 REST API、SSE 与本地会话</w:t>
      </w:r>
    </w:p>
    <w:p>
      <w:pPr>
        <w:pStyle w:val="Heading2"/>
      </w:pPr>
      <w:r>
        <w:t>12.1 API 总原则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业务 API 统一 /api/v1，使用 stable public_id，不暴露内部 UUID。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长任务返回 202 + job_id；不通过一个 HTTP 请求等待整个研究/发布流程完成。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创建型 Command 支持 Idempotency-Key；Draft 更新使用 ETag/If-Match + row_version。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Published/Completed 对象不提供普通覆盖式 PATCH；历史变更通过 Revision/Version。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统一 Error Contract 包含 code、category、retryable、request_id、audit_ref。</w:t>
      </w:r>
    </w:p>
    <w:p>
      <w:pPr>
        <w:pStyle w:val="Heading2"/>
      </w:pPr>
      <w:r>
        <w:t>12.2 主要 V1 Endpoint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1814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7824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Endpoints（摘要）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Source</w:t>
            </w:r>
          </w:p>
        </w:tc>
        <w:tc>
          <w:tcPr>
            <w:tcW w:type="dxa" w:w="7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POST /sources/import；POST /sources/{id}/parse；GET /sources/{id}/segments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Knowledge</w:t>
            </w:r>
          </w:p>
        </w:tc>
        <w:tc>
          <w:tcPr>
            <w:tcW w:type="dxa" w:w="7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GET/POST /knowledge/versions；POST /knowledge/versions/{id}/publish；GET quality-issues/index-builds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Evidence</w:t>
            </w:r>
          </w:p>
        </w:tc>
        <w:tc>
          <w:tcPr>
            <w:tcW w:type="dxa" w:w="7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GET /evidence/{id}；GET /evidence；batch-get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Retrieval</w:t>
            </w:r>
          </w:p>
        </w:tc>
        <w:tc>
          <w:tcPr>
            <w:tcW w:type="dxa" w:w="7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POST /retrieval/search；任务内检索使用 /research/tasks/{id}/retrieval/search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Research</w:t>
            </w:r>
          </w:p>
        </w:tc>
        <w:tc>
          <w:tcPr>
            <w:tcW w:type="dxa" w:w="7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POST /research/tasks；start/pause/resume/cancel；claims/evidence/audits/disputes/rounds/agent-runs/timeline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Human Review</w:t>
            </w:r>
          </w:p>
        </w:tc>
        <w:tc>
          <w:tcPr>
            <w:tcW w:type="dxa" w:w="7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GET /human-reviews/{id}；POST /human-reviews/{id}/resolve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Report</w:t>
            </w:r>
          </w:p>
        </w:tc>
        <w:tc>
          <w:tcPr>
            <w:tcW w:type="dxa" w:w="7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GET /reports/{id}；POST /reports/{id}/exports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Runtime</w:t>
            </w:r>
          </w:p>
        </w:tc>
        <w:tc>
          <w:tcPr>
            <w:tcW w:type="dxa" w:w="7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GET /jobs；POST /jobs/{id}/retry；GET /events/stream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Governance</w:t>
            </w:r>
          </w:p>
        </w:tc>
        <w:tc>
          <w:tcPr>
            <w:tcW w:type="dxa" w:w="7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/audit/events；/backups；/settings；/system/health</w:t>
            </w:r>
          </w:p>
        </w:tc>
      </w:tr>
    </w:tbl>
    <w:p>
      <w:pPr>
        <w:spacing w:after="0"/>
      </w:pPr>
    </w:p>
    <w:p>
      <w:pPr>
        <w:pStyle w:val="Heading2"/>
      </w:pPr>
      <w:r>
        <w:t>12.3 SSE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SSE 仅用于 Server→UI 状态/事件通知，REST 仍是当前事实源。事件携带轻量 ID，不推送完整 Claim/Evidence。SSE id 使用可重放序号，支持 Last-Event-ID；断线后 UI 先 GET 当前状态，再补后续事件。V1 不向用户流式显示未经验证的 LLM token。</w:t>
      </w:r>
    </w:p>
    <w:p>
      <w:pPr>
        <w:pStyle w:val="Heading2"/>
      </w:pPr>
      <w:r>
        <w:t>12.4 本地会话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FastAPI 默认只监听 loopback。Desktop Main 使用一次性 bootstrap secret 交换 HttpOnly local session；secret/API key 不进入 localStorage。Cookie 模式下变更请求使用 CSRF token，并限制精确 Origin，避免任意网页调用 localhost 后台。</w:t>
      </w:r>
    </w:p>
    <w:p>
      <w:pPr>
        <w:pStyle w:val="Heading1"/>
        <w:pBdr>
          <w:bottom w:val="single" w:sz="6" w:space="2" w:color="255B84"/>
        </w:pBdr>
      </w:pPr>
      <w:r>
        <w:t>13 前端信息架构与状态模型</w:t>
      </w:r>
    </w:p>
    <w:p>
      <w:pPr>
        <w:pStyle w:val="Heading2"/>
      </w:pPr>
      <w:r>
        <w:t>13.1 V1 主导航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知识库、理论研究、任务中心、版本与质量、审计与备份、系统设置。临床病例、方药与疗效、新规律入口在当前 V1 不显示。</w:t>
      </w:r>
    </w:p>
    <w:p>
      <w:pPr>
        <w:pStyle w:val="Heading2"/>
      </w:pPr>
      <w:r>
        <w:t>13.2 状态分层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928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3402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示例</w:t>
            </w:r>
          </w:p>
        </w:tc>
        <w:tc>
          <w:tcPr>
            <w:tcW w:type="dxa" w:w="4309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Server State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Evidence、Claim、ResearchTask、KnowledgeVersion</w:t>
            </w:r>
          </w:p>
        </w:tc>
        <w:tc>
          <w:tcPr>
            <w:tcW w:type="dxa" w:w="430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TanStack Query；FastAPI/PostgreSQL 权威。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Event State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stage_changed、job.failed</w:t>
            </w:r>
          </w:p>
        </w:tc>
        <w:tc>
          <w:tcPr>
            <w:tcW w:type="dxa" w:w="430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单一 EventProvider 接收 SSE，更新/失效 Query Cache。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UI State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Tab、Drawer、面板宽度</w:t>
            </w:r>
          </w:p>
        </w:tc>
        <w:tc>
          <w:tcPr>
            <w:tcW w:type="dxa" w:w="430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React local state；少量跨页状态可用轻量 store。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Draft State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未提交 Scope/校订表单</w:t>
            </w:r>
          </w:p>
        </w:tc>
        <w:tc>
          <w:tcPr>
            <w:tcW w:type="dxa" w:w="430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Form state；提交后重新读取 Server State。</w:t>
            </w:r>
          </w:p>
        </w:tc>
      </w:tr>
    </w:tbl>
    <w:p>
      <w:pPr>
        <w:spacing w:after="0"/>
      </w:pPr>
    </w:p>
    <w:p>
      <w:pPr>
        <w:pStyle w:val="Heading2"/>
      </w:pPr>
      <w:r>
        <w:t>13.3 知识工作区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采用需求指定的三栏结构：左侧 Source/篇章结构树和筛选；中间原始文本/Segment 详情；右侧 Evidence、关系、校订、QualityIssue。原始文本默认优先，normalized text 仅辅助。大树/长列表采用 virtualization。</w:t>
      </w:r>
    </w:p>
    <w:p>
      <w:pPr>
        <w:pStyle w:val="Heading2"/>
      </w:pPr>
      <w:r>
        <w:t>13.4 Evidence Drawer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Evidence Drawer 为跨模块唯一复用详情组件，展示 Evidence Quote、Context、Source/版本/定位、SourceClass/Strength、支持或反驳对象、校订记录、复制引用和跳转原文。Quote 与 Context 必须视觉分离，Retrieval similarity 不能被标成“可信度”。</w:t>
      </w:r>
    </w:p>
    <w:p>
      <w:pPr>
        <w:pStyle w:val="Heading2"/>
      </w:pPr>
      <w:r>
        <w:t>13.5 理论研究工作区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Detail 页面使用 Summary / Claims / Debate / Evidence / Disputes / Report 六个主 Tab。Summary 默认展示已形成的结论、关键证据、争议与限制；研究进行中不得把首轮 Agent Claim 包装成最终结论。Debate 支持 Round View 与 Claim View，可追踪 Claim→Critique→EvidenceRequest→Rebuttal→Revision→Audit。</w:t>
      </w:r>
    </w:p>
    <w:p>
      <w:pPr>
        <w:pStyle w:val="Heading2"/>
      </w:pPr>
      <w:r>
        <w:t>13.6 UI 不变量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前端不复制 Workflow 状态机或 Audit 规则；操作按钮由服务端 allowed_actions 决定。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重要状态不能只用 Toast 或颜色表达；WAITING_HUMAN、DEGRADED、Publish failure 使用持久 Banner。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Claim、Evidence、Dispute、Version 支持稳定 Deep Link。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核心数据不持久化到 localStorage/IndexedDB；可存非核心 UI 偏好。</w:t>
      </w:r>
    </w:p>
    <w:p>
      <w:pPr>
        <w:pStyle w:val="Heading1"/>
        <w:pBdr>
          <w:bottom w:val="single" w:sz="6" w:space="2" w:color="255B84"/>
        </w:pBdr>
      </w:pPr>
      <w:r>
        <w:t>14 文件存储、发布、备份与审计</w:t>
      </w:r>
    </w:p>
    <w:p>
      <w:pPr>
        <w:pStyle w:val="Heading2"/>
      </w:pPr>
      <w:r>
        <w:t>14.1 Content-Addressed Store</w:t>
      </w:r>
    </w:p>
    <w:p>
      <w:pPr>
        <w:pStyle w:val="CodeBlock"/>
        <w:spacing w:after="100"/>
        <w:shd w:fill="F5F7F9"/>
      </w:pPr>
      <w:r>
        <w:rPr>
          <w:rFonts w:ascii="DejaVu Sans Mono" w:hAnsi="DejaVu Sans Mono" w:eastAsia="DejaVu Sans Mono"/>
          <w:sz w:val="16"/>
        </w:rPr>
        <w:t>&lt;data-root&gt;/objects/sha256/0a/7f/0a7f...e931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BlobObject 表示不可变字节，Artifact 表示该字节在系统中的语义。Source Original、Parse/OCR、Model input/output、Report、Export、Backup 共用 ArtifactStore，但采用不同 ArtifactType/RetentionClass。</w:t>
      </w:r>
    </w:p>
    <w:p>
      <w:pPr>
        <w:pStyle w:val="Heading2"/>
      </w:pPr>
      <w:r>
        <w:t>14.2 文件原子写入</w:t>
      </w:r>
    </w:p>
    <w:p>
      <w:pPr>
        <w:pStyle w:val="CodeBlock"/>
        <w:spacing w:after="100"/>
        <w:shd w:fill="F5F7F9"/>
      </w:pPr>
      <w:r>
        <w:rPr>
          <w:rFonts w:ascii="DejaVu Sans Mono" w:hAnsi="DejaVu Sans Mono" w:eastAsia="DejaVu Sans Mono"/>
          <w:sz w:val="16"/>
        </w:rPr>
        <w:t>stream → staging/random → 边写边 SHA-256/size → fsync → MIME/安全校验 → atomic rename 到 hash path → Blob READY → Artifact → 业务引用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接受“孤儿 Blob 可 GC”，不接受“数据库正式引用指向不存在文件”。Blob 不允许原地覆盖；内容变化必须生成新 SHA-256。</w:t>
      </w:r>
    </w:p>
    <w:p>
      <w:pPr>
        <w:pStyle w:val="Heading2"/>
      </w:pPr>
      <w:r>
        <w:t>14.3 Knowledge Publish Barrier</w:t>
      </w:r>
    </w:p>
    <w:p>
      <w:pPr>
        <w:pStyle w:val="CodeBlock"/>
        <w:spacing w:after="100"/>
        <w:shd w:fill="F5F7F9"/>
      </w:pPr>
      <w:r>
        <w:rPr>
          <w:rFonts w:ascii="DejaVu Sans Mono" w:hAnsi="DejaVu Sans Mono" w:eastAsia="DejaVu Sans Mono"/>
          <w:sz w:val="16"/>
        </w:rPr>
        <w:t>DRAFT → REVIEWING → PRE_PUBLISH_SNAPSHOT → PUBLISHING → INDEXING → VALIDATING → READY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新 KnowledgeVersion/IndexBuild 均 READY 后，在单一数据库事务中原子切换 active_knowledge_version_id 和 active_index_build_id。任何失败都保留旧 Active Pointer。</w:t>
      </w:r>
    </w:p>
    <w:p>
      <w:pPr>
        <w:pStyle w:val="Heading2"/>
      </w:pPr>
      <w:r>
        <w:t>14.4 Backup / Restore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Portable Backup 使用 PostgreSQL 逻辑 dump + immutable Blob + Manifest + 配置/版本元数据；不复制运行中的 PostgreSQL 物理 data directory。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Backup 状态必须经过 VERIFY 才能标记成功；Secret 实际值不进入 Backup。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Restore 先解密/安全扫描到 staging，恢复到临时数据库和临时 data generation，完成 integrity/smoke test 后才切换 live。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Release Snapshot 与 Portable Backup 区分：前者服务于知识发布/迁移快速恢复，后者服务于换机/灾难恢复。</w:t>
      </w:r>
    </w:p>
    <w:p>
      <w:pPr>
        <w:pStyle w:val="Heading2"/>
      </w:pPr>
      <w:r>
        <w:t>14.5 EventLog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EventLog append-only，通过 previous_hash + canonical payload + sequence_no 计算 SHA-256 hash chain，提供 tamper-evident 检测。该机制不宣称在攻击者拥有完整数据库写权限时绝对不可篡改。业务 Event 与 Operational Log 分离。</w:t>
      </w:r>
    </w:p>
    <w:p>
      <w:pPr>
        <w:pStyle w:val="Heading2"/>
      </w:pPr>
      <w:r>
        <w:t>14.6 数据生命周期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4535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数据</w:t>
            </w:r>
          </w:p>
        </w:tc>
        <w:tc>
          <w:tcPr>
            <w:tcW w:type="dxa" w:w="5102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自动物理删除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Published Source/Text/Evidence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禁止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Claim/Critique/Rebuttal/Audit/Dispute/EventLog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禁止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RetrievalChunk/Embedding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允许重建删除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Staging/Temporary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可按 grace period 清理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未引用 Blob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Mark-and-Sweep + grace period 后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Export Artifact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8"/>
              </w:rPr>
              <w:t>按 retention policy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Backup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用户显式删除/策略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6" w:space="2" w:color="255B84"/>
        </w:pBdr>
      </w:pPr>
      <w:r>
        <w:t>15 工程目录、Migration、测试与构建</w:t>
      </w:r>
    </w:p>
    <w:p>
      <w:pPr>
        <w:pStyle w:val="Heading2"/>
      </w:pPr>
      <w:r>
        <w:t>15.1 Monorepo</w:t>
      </w:r>
    </w:p>
    <w:p>
      <w:pPr>
        <w:pStyle w:val="CodeBlock"/>
        <w:spacing w:after="100"/>
        <w:shd w:fill="F5F7F9"/>
      </w:pPr>
      <w:r>
        <w:rPr>
          <w:rFonts w:ascii="DejaVu Sans Mono" w:hAnsi="DejaVu Sans Mono" w:eastAsia="DejaVu Sans Mono"/>
          <w:sz w:val="16"/>
        </w:rPr>
        <w:t>tcm-research-platform/</w:t>
        <w:br/>
        <w:t>├─ backend/</w:t>
        <w:br/>
        <w:t>├─ frontend/</w:t>
        <w:br/>
        <w:t>├─ desktop/</w:t>
        <w:br/>
        <w:t>├─ contracts/</w:t>
        <w:br/>
        <w:t>├─ testdata/</w:t>
        <w:br/>
        <w:t>├─ scripts/</w:t>
        <w:br/>
        <w:t>├─ docs/</w:t>
        <w:br/>
        <w:t>└─ packaging/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工程保持模块化单体；Domain/Application/Infrastructure/API 的依赖方向由自动化 import boundary test 约束，避免文档与代码架构分叉。</w:t>
      </w:r>
    </w:p>
    <w:p>
      <w:pPr>
        <w:pStyle w:val="Heading2"/>
      </w:pPr>
      <w:r>
        <w:t>15.2 Migration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使用 Alembic；所有 Migration 人工 Review，禁止应用运行时隐式改 Schema。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正式 Migration 前创建 Pre-Migration Snapshot；失败后系统进入 NOT_READY。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有历史数据的破坏性变更采用 Expand → Migrate → Contract；不依赖 down migration 恢复正式数据。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Repository Integration Test 使用真实 PostgreSQL/pgvector，不以 SQLite 代替。</w:t>
      </w:r>
    </w:p>
    <w:p>
      <w:pPr>
        <w:pStyle w:val="Heading2"/>
      </w:pPr>
      <w:r>
        <w:t>15.3 测试矩阵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381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测试层</w:t>
            </w:r>
          </w:p>
        </w:tc>
        <w:tc>
          <w:tcPr>
            <w:tcW w:type="dxa" w:w="7257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关键内容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Domain Unit</w:t>
            </w:r>
          </w:p>
        </w:tc>
        <w:tc>
          <w:tcPr>
            <w:tcW w:type="dxa" w:w="72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对象、不变量、状态、Policy。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Schema Contract</w:t>
            </w:r>
          </w:p>
        </w:tc>
        <w:tc>
          <w:tcPr>
            <w:tcW w:type="dxa" w:w="72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API/Agent JSON Schema、extra forbid、版本兼容。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Repository Integration</w:t>
            </w:r>
          </w:p>
        </w:tc>
        <w:tc>
          <w:tcPr>
            <w:tcW w:type="dxa" w:w="72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PostgreSQL、pgvector、FTS、SKIP LOCKED、advisory lock。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Workflow/Fault</w:t>
            </w:r>
          </w:p>
        </w:tc>
        <w:tc>
          <w:tcPr>
            <w:tcW w:type="dxa" w:w="72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节点转移、Pause/Cancel、Worker crash、Lease lost、recovery。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Retrieval Benchmark</w:t>
            </w:r>
          </w:p>
        </w:tc>
        <w:tc>
          <w:tcPr>
            <w:tcW w:type="dxa" w:w="72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Precision/Recall/MRR/nDCG/CounterEvidenceRecall。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Agent Contract</w:t>
            </w:r>
          </w:p>
        </w:tc>
        <w:tc>
          <w:tcPr>
            <w:tcW w:type="dxa" w:w="72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Schema、Evidence ID、角色边界、Prompt Injection、纠错重试。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API/SSE</w:t>
            </w:r>
          </w:p>
        </w:tc>
        <w:tc>
          <w:tcPr>
            <w:tcW w:type="dxa" w:w="72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Idempotency、ETag、202 Job、Last-Event-ID。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Frontend E2E</w:t>
            </w:r>
          </w:p>
        </w:tc>
        <w:tc>
          <w:tcPr>
            <w:tcW w:type="dxa" w:w="72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知识→研究→报告→导出。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Backup/Restore</w:t>
            </w:r>
          </w:p>
        </w:tc>
        <w:tc>
          <w:tcPr>
            <w:tcW w:type="dxa" w:w="72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真实临时环境 Restore + integrity smoke。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Security</w:t>
            </w:r>
          </w:p>
        </w:tc>
        <w:tc>
          <w:tcPr>
            <w:tcW w:type="dxa" w:w="72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Zip Bomb、Path Traversal、Secret、CSRF/CORS、remote egress。</w:t>
            </w:r>
          </w:p>
        </w:tc>
      </w:tr>
    </w:tbl>
    <w:p>
      <w:pPr>
        <w:spacing w:after="0"/>
      </w:pPr>
    </w:p>
    <w:p>
      <w:pPr>
        <w:pStyle w:val="Heading2"/>
      </w:pPr>
      <w:r>
        <w:t>15.4 Release Gate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Citation Accuracy、无效 Evidence ID、可定位 Published Citation、Backup/Restore、EventLog Integrity 属于硬门禁；Retrieval Precision/Recall 等属于基于真实语料持续校准的 Benchmark。任何 Knowledge/Prompt/Model/Workflow 版本进入正式使用前需要 Schema/引用验证、关键对象回放、专家抽样、备份回滚和影响说明。</w:t>
      </w:r>
    </w:p>
    <w:p>
      <w:pPr>
        <w:pStyle w:val="Heading1"/>
        <w:pBdr>
          <w:bottom w:val="single" w:sz="6" w:space="2" w:color="255B84"/>
        </w:pBdr>
      </w:pPr>
      <w:r>
        <w:t>16 部署与运行时</w:t>
      </w:r>
    </w:p>
    <w:p>
      <w:pPr>
        <w:pStyle w:val="Heading2"/>
      </w:pPr>
      <w:r>
        <w:t>16.1 Desktop Supervisor</w:t>
      </w:r>
    </w:p>
    <w:p>
      <w:pPr>
        <w:pStyle w:val="CodeBlock"/>
        <w:spacing w:after="100"/>
        <w:shd w:fill="F5F7F9"/>
      </w:pPr>
      <w:r>
        <w:rPr>
          <w:rFonts w:ascii="DejaVu Sans Mono" w:hAnsi="DejaVu Sans Mono" w:eastAsia="DejaVu Sans Mono"/>
          <w:sz w:val="16"/>
        </w:rPr>
        <w:t>Resolve data directory → single-instance lock → config/disk check → start PostgreSQL → schema/migration check → FastAPI → Worker → Recovery scan → READY → open React window</w:t>
      </w:r>
    </w:p>
    <w:p>
      <w:pPr>
        <w:pStyle w:val="Heading2"/>
      </w:pPr>
      <w:r>
        <w:t>16.2 关闭</w:t>
      </w:r>
    </w:p>
    <w:p>
      <w:pPr>
        <w:pStyle w:val="CodeBlock"/>
        <w:spacing w:after="100"/>
        <w:shd w:fill="F5F7F9"/>
      </w:pPr>
      <w:r>
        <w:rPr>
          <w:rFonts w:ascii="DejaVu Sans Mono" w:hAnsi="DejaVu Sans Mono" w:eastAsia="DejaVu Sans Mono"/>
          <w:sz w:val="16"/>
        </w:rPr>
        <w:t>Renderer 停止新命令 → FastAPI drain → Worker graceful stop/checkpoint → PostgreSQL clean shutdown → release lock</w:t>
      </w:r>
    </w:p>
    <w:p>
      <w:pPr>
        <w:pStyle w:val="Heading2"/>
      </w:pPr>
      <w:r>
        <w:t>16.3 Health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系统健康分 READY / DEGRADED / MAINTENANCE / NOT_READY。远程模型不可用时应允许本地知识浏览/检索继续工作；UI 明确指出不可用能力，不整体锁死。API 与 Worker 使用独立数据库连接池，长外部调用期间归还数据库连接。</w:t>
      </w:r>
    </w:p>
    <w:p>
      <w:pPr>
        <w:pStyle w:val="Heading2"/>
      </w:pPr>
      <w:r>
        <w:t>16.4 Release Manifest</w:t>
      </w:r>
    </w:p>
    <w:p>
      <w:pPr>
        <w:pStyle w:val="CodeBlock"/>
        <w:spacing w:after="100"/>
        <w:shd w:fill="F5F7F9"/>
      </w:pPr>
      <w:r>
        <w:rPr>
          <w:rFonts w:ascii="DejaVu Sans Mono" w:hAnsi="DejaVu Sans Mono" w:eastAsia="DejaVu Sans Mono"/>
          <w:sz w:val="16"/>
        </w:rPr>
        <w:t>application_version</w:t>
        <w:br/>
        <w:t>database_schema_version</w:t>
        <w:br/>
        <w:t>api_version</w:t>
        <w:br/>
        <w:t>supported_workflow_versions</w:t>
        <w:br/>
        <w:t>supported_agent_schema_versions</w:t>
        <w:br/>
        <w:t>minimum_backup_format</w:t>
      </w:r>
    </w:p>
    <w:p>
      <w:pPr>
        <w:pStyle w:val="Heading1"/>
        <w:pBdr>
          <w:bottom w:val="single" w:sz="6" w:space="2" w:color="255B84"/>
        </w:pBdr>
      </w:pPr>
      <w:r>
        <w:t>17 第一阶段开发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850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迭代</w:t>
            </w:r>
          </w:p>
        </w:tc>
        <w:tc>
          <w:tcPr>
            <w:tcW w:type="dxa" w:w="5102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交付内容</w:t>
            </w:r>
          </w:p>
        </w:tc>
        <w:tc>
          <w:tcPr>
            <w:tcW w:type="dxa" w:w="3685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E0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工程脚手架、ID/Enum、Schema、CI、Alembic、Health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Backend/Frontend/DB 空链路可重复构建。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E1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PostgreSQL、ArtifactStore、EventLog、TaskJob、Backup skeleton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DB+CAS+Event 基础写入与恢复。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E2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Source Import、File validation、SourceRevision、ParseJob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真实 TXT/DOCX/PDF 可导入和追踪。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E3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StructureResolver、TextSegment identity/revision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卷篇章条段句可定位、上下文/Checksum 稳定。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E4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Entity、Concept、Relation、Formula、Evidence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关键结构对象可回 Evidence/原文。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E5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人工校订、QualityIssue、KnowledgeVersion、Publish Barrier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可发布/比较/切换/备份。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E6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FTS、pgvector、Hybrid Retrieval、Evidence Drawer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多路检索最终返回 Published Evidence；建立 Golden Set。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E7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Task Runtime、Agent Contract、Planner、首轮独立研究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Claim Pool 可运行；首轮隔离和非法 Evidence 硬拦截。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E8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Critic、EvidenceRequest、Re-Retrieval、Rebuttal、Auditor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完整纠错/审计闭环。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E9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Dispute、StopEvaluator、Judge、Structured Report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理论研究端到端闭环。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E10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Recovery、安全、性能、Benchmark、Backup/Restore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非功能门禁通过。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E11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Stage 1A/1B 验收与协议冻结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Knowledge/Agent/Workflow v1 正式冻结。</w:t>
            </w:r>
          </w:p>
        </w:tc>
      </w:tr>
    </w:tbl>
    <w:p>
      <w:pPr>
        <w:spacing w:after="0"/>
      </w:pPr>
    </w:p>
    <w:p>
      <w:pPr>
        <w:pStyle w:val="Heading2"/>
      </w:pPr>
      <w:r>
        <w:t>17.1 Agent Integration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8F4E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55B84"/>
                <w:sz w:val="20"/>
              </w:rPr>
              <w:t xml:space="preserve">开发顺序 </w:t>
            </w:r>
            <w:r>
              <w:rPr>
                <w:rFonts w:ascii="Noto Serif CJK SC" w:hAnsi="Noto Serif CJK SC" w:eastAsia="Noto Serif CJK SC"/>
                <w:sz w:val="20"/>
              </w:rPr>
              <w:t>正式 Agent Integration 不早于 E5/E6：必须先具备可发布的 Evidence 底座和可稳定定位的 Retrieval。可以做模型原型，但不得让正式 Workflow 依赖未发布、不可定位的文本块。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6" w:space="2" w:color="255B84"/>
        </w:pBdr>
      </w:pPr>
      <w:r>
        <w:t>18 验收与需求追踪</w:t>
      </w:r>
    </w:p>
    <w:p>
      <w:pPr>
        <w:pStyle w:val="Heading2"/>
      </w:pPr>
      <w:r>
        <w:t>18.1 Stage 1A Release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1701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AC</w:t>
            </w:r>
          </w:p>
        </w:tc>
        <w:tc>
          <w:tcPr>
            <w:tcW w:type="dxa" w:w="7937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实现验证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AC-1A-01</w:t>
            </w:r>
          </w:p>
        </w:tc>
        <w:tc>
          <w:tcPr>
            <w:tcW w:type="dxa" w:w="79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来源/版本/篇章/原文/上下文可查；Source/Text E2E。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AC-1A-02</w:t>
            </w:r>
          </w:p>
        </w:tc>
        <w:tc>
          <w:tcPr>
            <w:tcW w:type="dxa" w:w="79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关键实体与方剂明细可回 Evidence，或明确人工整理来源。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AC-1A-03</w:t>
            </w:r>
          </w:p>
        </w:tc>
        <w:tc>
          <w:tcPr>
            <w:tcW w:type="dxa" w:w="79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不存在/池外 Evidence ID 在 Agent/API/DB 三层拦截。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AC-1A-04</w:t>
            </w:r>
          </w:p>
        </w:tc>
        <w:tc>
          <w:tcPr>
            <w:tcW w:type="dxa" w:w="79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方剂组成、剂量、炮制、剂型、煎服可结构化查询。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AC-1A-05</w:t>
            </w:r>
          </w:p>
        </w:tc>
        <w:tc>
          <w:tcPr>
            <w:tcW w:type="dxa" w:w="79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古籍文本可同时关联文献表示与兼容 CaseRecord 对象。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AC-1A-06</w:t>
            </w:r>
          </w:p>
        </w:tc>
        <w:tc>
          <w:tcPr>
            <w:tcW w:type="dxa" w:w="79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校订、发布、比较、版本切换和 Backup/Restore E2E。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AC-1A-07</w:t>
            </w:r>
          </w:p>
        </w:tc>
        <w:tc>
          <w:tcPr>
            <w:tcW w:type="dxa" w:w="79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Exact/FTS/Structured/Vector 检索返回稳定 Evidence Locator。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AC-1A-08</w:t>
            </w:r>
          </w:p>
        </w:tc>
        <w:tc>
          <w:tcPr>
            <w:tcW w:type="dxa" w:w="79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QualityIssue 能列出错误、冲突和待审核内容。</w:t>
            </w:r>
          </w:p>
        </w:tc>
      </w:tr>
    </w:tbl>
    <w:p>
      <w:pPr>
        <w:spacing w:after="0"/>
      </w:pPr>
    </w:p>
    <w:p>
      <w:pPr>
        <w:pStyle w:val="Heading2"/>
      </w:pPr>
      <w:r>
        <w:t>18.2 Stage 1B Release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1701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AC</w:t>
            </w:r>
          </w:p>
        </w:tc>
        <w:tc>
          <w:tcPr>
            <w:tcW w:type="dxa" w:w="7937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实现验证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AC-1B-01</w:t>
            </w:r>
          </w:p>
        </w:tc>
        <w:tc>
          <w:tcPr>
            <w:tcW w:type="dxa" w:w="79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研究问题可产生结构化 SubQuestion/RetrievalPlan。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AC-1B-02</w:t>
            </w:r>
          </w:p>
        </w:tc>
        <w:tc>
          <w:tcPr>
            <w:tcW w:type="dxa" w:w="79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首轮 Agent Context 隔离测试通过。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AC-1B-03</w:t>
            </w:r>
          </w:p>
        </w:tc>
        <w:tc>
          <w:tcPr>
            <w:tcW w:type="dxa" w:w="79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Critique target 明确，Rebuttal REVISE 生成新 Claim revision。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AC-1B-04</w:t>
            </w:r>
          </w:p>
        </w:tc>
        <w:tc>
          <w:tcPr>
            <w:tcW w:type="dxa" w:w="79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Auditor 输出五类状态并审计引用/相关性/充分性/类型。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AC-1B-05</w:t>
            </w:r>
          </w:p>
        </w:tc>
        <w:tc>
          <w:tcPr>
            <w:tcW w:type="dxa" w:w="79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存在合理争议时形成 Dispute，不做多数投票强制共识。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AC-1B-06</w:t>
            </w:r>
          </w:p>
        </w:tc>
        <w:tc>
          <w:tcPr>
            <w:tcW w:type="dxa" w:w="79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Judge 区分高可信/条件性/争议/未支持/未解决。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AC-1B-07</w:t>
            </w:r>
          </w:p>
        </w:tc>
        <w:tc>
          <w:tcPr>
            <w:tcW w:type="dxa" w:w="79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Report 默认摘要，完整 Debate 可展开。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AC-1B-08</w:t>
            </w:r>
          </w:p>
        </w:tc>
        <w:tc>
          <w:tcPr>
            <w:tcW w:type="dxa" w:w="79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随机关键结论可回到 Claim→TaskEvidenceRef→EvidenceRevision→TextSegmentRevision→原文。</w:t>
            </w:r>
          </w:p>
        </w:tc>
      </w:tr>
    </w:tbl>
    <w:p>
      <w:pPr>
        <w:spacing w:after="0"/>
      </w:pPr>
    </w:p>
    <w:p>
      <w:pPr>
        <w:pStyle w:val="Heading2"/>
      </w:pPr>
      <w:r>
        <w:t>18.3 Traceability Matrix 维护规则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每个功能需求至少关联一个设计对象/接口、一个测试或验收条件、一个版本/状态流转和一个证据/审计/风险控制点。建议维护 docs/traceability/requirements.csv，并纳入 Release Gate。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1701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381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Design</w:t>
            </w:r>
          </w:p>
        </w:tc>
        <w:tc>
          <w:tcPr>
            <w:tcW w:type="dxa" w:w="2608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API/Contract</w:t>
            </w:r>
          </w:p>
        </w:tc>
        <w:tc>
          <w:tcPr>
            <w:tcW w:type="dxa" w:w="2948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Test/Gate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FR-RES-006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Critique aggregate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CriticOutput / claims/{id}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Critique target/类型/严重度测试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FR-RES-009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AuditResult history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AuditorOutput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五类状态 + Evidence 引用审计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FR-UI-005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Evidence Drawer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GET /evidence/{id}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原文/上下文/版本/跳转 E2E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AC-1A-03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Reference Validator + ClaimEvidence FK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Agent Contract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Invalid Evidence ID 100% 拦截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AC-1B-05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Dispute aggregate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GET /disputes/{id}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冲突样本不强制合并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6" w:space="2" w:color="255B84"/>
        </w:pBdr>
      </w:pPr>
      <w:r>
        <w:t>附录 A 核心不变量汇总</w:t>
      </w:r>
    </w:p>
    <w:p>
      <w:pPr>
        <w:pStyle w:val="Heading2"/>
      </w:pPr>
      <w:r>
        <w:t>A.1 数据与领域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Published/Completed 历史不可原地覆盖；变更通过 Revision/Version。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Evidence 与 ResearchTask 解耦；TaskEvidenceRef 固定到精确 EvidenceRevision。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ClaimEvidence 必须引用本 Task 的 TaskEvidenceRef。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AuditResult 历史权威，Claim.audit_status 仅投影。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Formula/Ingredient 属于 Stage 1A 正式物理模型。</w:t>
      </w:r>
    </w:p>
    <w:p>
      <w:pPr>
        <w:pStyle w:val="Heading2"/>
      </w:pPr>
      <w:r>
        <w:t>A.2 工作流与 Agent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TaskStatus、WorkflowStage、NodeExecutionStatus、JobStatus 分离。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首轮 Agent 隔离通过 ContextBuilder 数据隔离实现。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Critic 只能通过 EvidenceRequest 触发正式再检索。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Judge 只读取经审计对象，不创建 Evidence/新 Claim。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停止条件为确定性规则，不采用多数 Agent 或 self_confidence。</w:t>
      </w:r>
    </w:p>
    <w:p>
      <w:pPr>
        <w:pStyle w:val="Heading2"/>
      </w:pPr>
      <w:r>
        <w:t>A.3 检索与模型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RetrievalChunk 不是正式引用对象；最终必须解析到 Published EvidenceRevision。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KnowledgeVersion、IndexBuild、RetrievalProfileVersion 同时冻结。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模型调用统一通过 ModelGateway；Fallback 不能突破远程外发策略。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Provider structured output 不替代 Pydantic/Reference/Domain Validation。</w:t>
      </w:r>
    </w:p>
    <w:p>
      <w:pPr>
        <w:pStyle w:val="Heading2"/>
      </w:pPr>
      <w:r>
        <w:t>A.4 执行与恢复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PostgreSQL 持久化队列；at-least-once + idempotent commit。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外部模型/OCR 不持有长数据库事务/连接。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Worker persist 前重新验证 lease、generation、task/node state。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Recovery 先 reconcile，再决定重跑；不能机械重跑 RUNNING。</w:t>
      </w:r>
    </w:p>
    <w:p>
      <w:pPr>
        <w:pStyle w:val="Heading2"/>
      </w:pPr>
      <w:r>
        <w:t>A.5 安全与治理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原始文件/备份均先 staging + 安全校验。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Blob SHA-256 内容寻址且不可原地修改。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Active KV/Index 在同一事务切换；新版本失败不影响旧 Active。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Backup 必须 VERIFY；Restore 先临时环境验证后切换。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EventLog hash chain 目标为 tamper-evident。</w:t>
      </w:r>
    </w:p>
    <w:p>
      <w:pPr>
        <w:pStyle w:val="Heading1"/>
        <w:pBdr>
          <w:bottom w:val="single" w:sz="6" w:space="2" w:color="255B84"/>
        </w:pBdr>
      </w:pPr>
      <w:r>
        <w:t>附录 B 状态与枚举字典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381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枚举</w:t>
            </w:r>
          </w:p>
        </w:tc>
        <w:tc>
          <w:tcPr>
            <w:tcW w:type="dxa" w:w="7257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值（摘要）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TaskStatus</w:t>
            </w:r>
          </w:p>
        </w:tc>
        <w:tc>
          <w:tcPr>
            <w:tcW w:type="dxa" w:w="72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CREATED, PLANNING, RETRIEVING, RESEARCHING, DEBATING, AUDITING, JUDGING, WAITING_HUMAN, PAUSED, COMPLETED, FAILED, CANCELLED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WorkflowStage</w:t>
            </w:r>
          </w:p>
        </w:tc>
        <w:tc>
          <w:tcPr>
            <w:tcW w:type="dxa" w:w="72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FREEZE_CONTEXT, PLANNER, INITIAL_RETRIEVAL, INDEPENDENT_RESEARCH, CLAIM_NORMALIZATION, CRITIQUE, RE_RETRIEVAL, REBUTTAL, MECHANICAL_AUDIT, SEMANTIC_AUDIT, BUILD_DISPUTES, STOP_EVALUATION, JUDGE, REPORT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AuditStatus</w:t>
            </w:r>
          </w:p>
        </w:tc>
        <w:tc>
          <w:tcPr>
            <w:tcW w:type="dxa" w:w="72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SUPPORTED, PARTIALLY_SUPPORTED, UNSUPPORTED, CONTRADICTED, NOT_VERIFIABLE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RebuttalDecision</w:t>
            </w:r>
          </w:p>
        </w:tc>
        <w:tc>
          <w:tcPr>
            <w:tcW w:type="dxa" w:w="72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ACCEPT, PARTIAL_ACCEPT, REJECT, REVISE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EvidenceStrength</w:t>
            </w:r>
          </w:p>
        </w:tc>
        <w:tc>
          <w:tcPr>
            <w:tcW w:type="dxa" w:w="72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DIRECT, INDIRECT, INTERPRETIVE, EMPIRICAL, BACKGROUND, UNVERIFIED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RemoteUsagePolicy</w:t>
            </w:r>
          </w:p>
        </w:tc>
        <w:tc>
          <w:tcPr>
            <w:tcW w:type="dxa" w:w="72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LOCAL_ONLY, REMOTE_ALLOWED, REMOTE_PREFERRED, EXPLICIT_APPROVAL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ResourceClass</w:t>
            </w:r>
          </w:p>
        </w:tc>
        <w:tc>
          <w:tcPr>
            <w:tcW w:type="dxa" w:w="72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IO, CPU_PARSE, OCR, EMBEDDING, LLM_LOCAL, LLM_REMOTE, RERANK, DB_MAINTENANCE, EXPORT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6" w:space="2" w:color="255B84"/>
        </w:pBdr>
      </w:pPr>
      <w:r>
        <w:t>附录 C TBD 与实施前决策项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2835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TBD</w:t>
            </w:r>
          </w:p>
        </w:tc>
        <w:tc>
          <w:tcPr>
            <w:tcW w:type="dxa" w:w="4649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当前处理</w:t>
            </w:r>
          </w:p>
        </w:tc>
        <w:tc>
          <w:tcPr>
            <w:tcW w:type="dxa" w:w="2154"/>
            <w:shd w:fill="255B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冻结时点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TBD-LLD-001 Embedding 模型与向量维度</w:t>
            </w:r>
          </w:p>
        </w:tc>
        <w:tc>
          <w:tcPr>
            <w:tcW w:type="dxa" w:w="464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Schema/接口支持版本化；不在 Domain 代码写死 DIM。</w:t>
            </w:r>
          </w:p>
        </w:tc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E6 ANN migration 前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OCR 是否首批 P0</w:t>
            </w:r>
          </w:p>
        </w:tc>
        <w:tc>
          <w:tcPr>
            <w:tcW w:type="dxa" w:w="464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若初始语料包含扫描件则 OCR 必须 P0；否则保留 OCR_REQUIRED/人工阻塞流程。</w:t>
            </w:r>
          </w:p>
        </w:tc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E2 语料盘点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检索 Precision/Recall 阈值</w:t>
            </w:r>
          </w:p>
        </w:tc>
        <w:tc>
          <w:tcPr>
            <w:tcW w:type="dxa" w:w="464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先建立真实 Golden Set 基线，不杜撰百分比。</w:t>
            </w:r>
          </w:p>
        </w:tc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E6/E10 Benchmark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正式 ModelVersion 清单</w:t>
            </w:r>
          </w:p>
        </w:tc>
        <w:tc>
          <w:tcPr>
            <w:tcW w:type="dxa" w:w="464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由 Capability/Agent Qualification 决定。</w:t>
            </w:r>
          </w:p>
        </w:tc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E7 前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性能 P95 目标</w:t>
            </w:r>
          </w:p>
        </w:tc>
        <w:tc>
          <w:tcPr>
            <w:tcW w:type="dxa" w:w="464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HLD 工程目标作为初始值，最终以目标机器/10万级真实语料校准。</w:t>
            </w:r>
          </w:p>
        </w:tc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6"/>
              </w:rPr>
              <w:t>E10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Source Revision 是否独立首版全量实现</w:t>
            </w:r>
          </w:p>
        </w:tc>
        <w:tc>
          <w:tcPr>
            <w:tcW w:type="dxa" w:w="464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核心 Text/Evidence Revision 必须实现；Source 元数据 Revision 可按真实导入需求逐步完善。</w:t>
            </w:r>
          </w:p>
        </w:tc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r>
              <w:rPr>
                <w:rFonts w:ascii="Noto Serif CJK SC" w:hAnsi="Noto Serif CJK SC" w:eastAsia="Noto Serif CJK SC"/>
                <w:sz w:val="16"/>
              </w:rPr>
              <w:t>E2/E3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6" w:space="2" w:color="255B84"/>
        </w:pBdr>
      </w:pPr>
      <w:r>
        <w:t>附录 D 结论</w:t>
      </w:r>
    </w:p>
    <w:p>
      <w:pPr>
        <w:spacing w:after="80"/>
        <w:ind w:left="0"/>
      </w:pPr>
      <w:r>
        <w:rPr>
          <w:rFonts w:ascii="Noto Serif CJK SC" w:hAnsi="Noto Serif CJK SC" w:eastAsia="Noto Serif CJK SC"/>
          <w:sz w:val="21"/>
        </w:rPr>
        <w:t>本 LLD 已将需求规格说明书、需求评审结论、HLD 架构基线和 LLD-01～LLD-12 统一为一套可执行的第一阶段工程基线。当前最重要的实施约束是：先冻结可追溯的数据/Evidence/版本底座，再接入 Retrieval 和 Multi-Agent；所有 Agent 输出必须经过结构、引用和领域校验；所有研究与发布过程可恢复、可审计、可回放；后续临床和疗效阶段必须以版本扩展方式演进，不得破坏第一阶段历史语义。</w:t>
      </w:r>
    </w:p>
    <w:sectPr w:rsidR="00FC693F" w:rsidRPr="0006063C" w:rsidSect="00034616">
      <w:headerReference w:type="default" r:id="rId16"/>
      <w:footerReference w:type="default" r:id="rId17"/>
      <w:pgSz w:w="12240" w:h="15840"/>
      <w:pgMar w:top="1020" w:right="1191" w:bottom="907" w:left="1191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color w:val="666666"/>
        <w:sz w:val="17"/>
      </w:rPr>
      <w:t xml:space="preserve">第 </w:t>
    </w:r>
    <w:r>
      <w:rPr>
        <w:rFonts w:ascii="Noto Sans CJK SC" w:hAnsi="Noto Sans CJK SC" w:eastAsia="Noto Sans CJK SC"/>
        <w:color w:val="666666"/>
        <w:sz w:val="17"/>
      </w:rP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color w:val="666666"/>
        <w:sz w:val="17"/>
      </w:rPr>
      <w:t xml:space="preserve">第 </w:t>
    </w:r>
    <w:r>
      <w:rPr>
        <w:rFonts w:ascii="Noto Sans CJK SC" w:hAnsi="Noto Sans CJK SC" w:eastAsia="Noto Sans CJK SC"/>
        <w:color w:val="666666"/>
        <w:sz w:val="17"/>
      </w:rP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7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color w:val="666666"/>
        <w:sz w:val="17"/>
      </w:rPr>
      <w:t xml:space="preserve">第 </w:t>
    </w:r>
    <w:r>
      <w:rPr>
        <w:rFonts w:ascii="Noto Sans CJK SC" w:hAnsi="Noto Sans CJK SC" w:eastAsia="Noto Sans CJK SC"/>
        <w:color w:val="666666"/>
        <w:sz w:val="17"/>
      </w:rP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7"/>
      </w:rPr>
      <w:t xml:space="preserve"> 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7"/>
      </w:rPr>
      <w:t xml:space="preserve">第 </w:t>
    </w:r>
    <w:r>
      <w:rPr>
        <w:rFonts w:ascii="Noto Sans CJK SC" w:hAnsi="Noto Sans CJK SC" w:eastAsia="Noto Sans CJK SC"/>
        <w:color w:val="666666"/>
        <w:sz w:val="17"/>
      </w:rP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D0D7DE"/>
      </w:pBdr>
    </w:pPr>
    <w:r/>
    <w:r>
      <w:rPr>
        <w:rFonts w:ascii="Noto Sans CJK SC" w:hAnsi="Noto Sans CJK SC" w:eastAsia="Noto Sans CJK SC"/>
        <w:color w:val="777777"/>
        <w:sz w:val="17"/>
      </w:rPr>
      <w:t>中医知识研究与临床推理平台 V1 · 系统详细设计说明书（LLD）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D0D7DE"/>
      </w:pBdr>
    </w:pPr>
    <w:r/>
    <w:r>
      <w:rPr>
        <w:rFonts w:ascii="Noto Sans CJK SC" w:hAnsi="Noto Sans CJK SC" w:eastAsia="Noto Sans CJK SC"/>
        <w:color w:val="777777"/>
        <w:sz w:val="17"/>
      </w:rPr>
      <w:t>中医知识研究与临床推理平台 V1 · 系统详细设计说明书（LLD）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D0D7DE"/>
      </w:pBdr>
    </w:pPr>
    <w:r/>
    <w:r>
      <w:rPr>
        <w:rFonts w:ascii="Noto Sans CJK SC" w:hAnsi="Noto Sans CJK SC" w:eastAsia="Noto Sans CJK SC"/>
        <w:color w:val="777777"/>
        <w:sz w:val="17"/>
      </w:rPr>
      <w:t>中医知识研究与临床推理平台 V1 · 系统详细设计说明书（LLD）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Noto Sans CJK SC" w:hAnsi="Noto Sans CJK SC" w:eastAsia="Noto Sans CJK SC"/>
        <w:b w:val="0"/>
        <w:color w:val="888888"/>
        <w:sz w:val="17"/>
      </w:rPr>
      <w:t>中医知识研究与临床推理平台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8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8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ageBreakBefore w:val="0"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55B8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52" w:lineRule="auto"/>
      <w:ind w:left="283" w:right="283"/>
    </w:pPr>
    <w:rPr>
      <w:rFonts w:ascii="DejaVu Sans Mono" w:hAnsi="DejaVu Sans Mono"/>
      <w:sz w:val="17"/>
    </w:rPr>
  </w:style>
  <w:style w:type="paragraph" w:customStyle="1" w:styleId="CaptionCustom">
    <w:name w:val="Caption Custom"/>
    <w:pPr>
      <w:spacing w:after="120"/>
      <w:jc w:val="center"/>
    </w:pPr>
    <w:rPr>
      <w:rFonts w:ascii="Noto Sans CJK SC" w:hAnsi="Noto Sans CJK SC" w:eastAsia="Noto Sans CJK SC"/>
      <w:color w:val="555555"/>
      <w:sz w:val="18"/>
    </w:rPr>
  </w:style>
  <w:style w:type="paragraph" w:customStyle="1" w:styleId="TOC1">
    <w:name w:val="TOC1"/>
    <w:pPr>
      <w:spacing w:after="40"/>
    </w:pPr>
    <w:rPr>
      <w:rFonts w:ascii="Noto Sans CJK SC" w:hAnsi="Noto Sans CJK SC" w:eastAsia="Noto Sans CJK SC"/>
      <w:sz w:val="21"/>
    </w:rPr>
  </w:style>
  <w:style w:type="paragraph" w:customStyle="1" w:styleId="TOC2">
    <w:name w:val="TOC2"/>
    <w:pPr>
      <w:spacing w:after="20"/>
      <w:ind w:left="397"/>
    </w:pPr>
    <w:rPr>
      <w:rFonts w:ascii="Noto Sans CJK SC" w:hAnsi="Noto Sans CJK SC" w:eastAsia="Noto Sans CJK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3.png"/><Relationship Id="rId16" Type="http://schemas.openxmlformats.org/officeDocument/2006/relationships/header" Target="header3.xml"/><Relationship Id="rId17" Type="http://schemas.openxmlformats.org/officeDocument/2006/relationships/footer" Target="footer3.xml"/><Relationship Id="rId18" Type="http://schemas.openxmlformats.org/officeDocument/2006/relationships/image" Target="media/image4.png"/><Relationship Id="rId19" Type="http://schemas.openxmlformats.org/officeDocument/2006/relationships/header" Target="header4.xml"/><Relationship Id="rId2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中医知识研究与临床推理平台 V1 系统详细设计说明书（LLD）</dc:title>
  <dc:subject>第一阶段 A + 第一阶段 B 详细设计</dc:subject>
  <dc:creator>python-docx</dc:creator>
  <cp:keywords/>
  <dc:description>正式详细设计基线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