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t xml:space="preserve">中医理论研究报告</w:t>
      </w:r>
    </w:p>
    <w:p>
      <w:pPr>
        <w:pStyle w:val="Normal"/>
      </w:pPr>
      <w:r>
        <w:t xml:space="preserve">研究问题：仅依据所选《方剂学》修订2的已审核原文，比较麻黄汤与大青龙汤的组成、证候和配伍，并解释大青龙汤为何倍用麻黄。请区分原方三两/六两与括注9g/12g，不把现代克数说成两倍；每个主要结论注明证据及不足，仅作理论研究。</w:t>
      </w:r>
    </w:p>
    <w:p>
      <w:pPr>
        <w:pStyle w:val="Normal"/>
      </w:pPr>
      <w:r>
        <w:t xml:space="preserve">报告编号：bfdbbbc0-77d7-5fbe-8766-89596fe41358</w:t>
      </w:r>
    </w:p>
    <w:p>
      <w:pPr>
        <w:pStyle w:val="Normal"/>
      </w:pPr>
      <w:r>
        <w:t xml:space="preserve">知识版本：01a0f739-9619-7794-9a63-fbba2a8da824；索引：01a0f73a-3359-7a6c-9e5f-76253194c1dc</w:t>
      </w:r>
    </w:p>
    <w:p>
      <w:pPr>
        <w:pStyle w:val="Heading1"/>
        <w:keepNext/>
      </w:pPr>
      <w:r>
        <w:t xml:space="preserve">综合摘要</w:t>
      </w:r>
    </w:p>
    <w:p>
      <w:pPr>
        <w:pStyle w:val="Normal"/>
      </w:pPr>
      <w:r>
        <w:t xml:space="preserve">高可信结论：5 条</w:t>
      </w:r>
    </w:p>
    <w:p>
      <w:pPr>
        <w:pStyle w:val="Normal"/>
      </w:pPr>
      <w:r>
        <w:t xml:space="preserve">条件性结论：1 条</w:t>
      </w:r>
    </w:p>
    <w:p>
      <w:pPr>
        <w:pStyle w:val="Normal"/>
      </w:pPr>
      <w:r>
        <w:t xml:space="preserve">争议结论：0 条</w:t>
      </w:r>
    </w:p>
    <w:p>
      <w:pPr>
        <w:pStyle w:val="Normal"/>
      </w:pPr>
      <w:r>
        <w:t xml:space="preserve">未支持结论：0 条</w:t>
      </w:r>
    </w:p>
    <w:p>
      <w:pPr>
        <w:pStyle w:val="Normal"/>
      </w:pPr>
      <w:r>
        <w:t xml:space="preserve">未解决问题：0 条</w:t>
      </w:r>
    </w:p>
    <w:p>
      <w:pPr>
        <w:pStyle w:val="Normal"/>
      </w:pPr>
      <w:r>
        <w:t xml:space="preserve">分类沿用已审计的断言。争议与未验证内容不作为确定事实。</w:t>
      </w:r>
    </w:p>
    <w:p>
      <w:pPr>
        <w:pStyle w:val="Heading1"/>
        <w:keepNext/>
      </w:pPr>
      <w:r>
        <w:t xml:space="preserve">高可信结论</w:t>
      </w:r>
    </w:p>
    <w:p>
      <w:pPr>
        <w:pStyle w:val="Heading2"/>
        <w:keepNext/>
      </w:pPr>
      <w:bookmarkStart w:id="13" w:name="claim01a0f740245571458557d9968d1863cd"/>
      <w:r>
        <w:t xml:space="preserve">麻黄汤的药物组成是：麻黄去节，三两(9g)；桂枝去皮，二两(6g)；杏仁去皮尖，七十个(9g)；甘草炙，一两(3g)。大青龙汤的药物组成是：麻黄去节，六两(12g)；桂枝二两(6g)；甘草炙，二两(6g)；杏仁去皮尖，四十粒(6g)；石膏如鸡子大，碎(18g)；生姜三两(9g)；大枣十二枚，擘(6g)。两方均含有麻黄、桂枝、杏仁、甘草，但大青龙汤增加了石膏、生姜、大枣，且麻黄、甘草用量增加，杏仁用量减少。</w:t>
      </w:r>
      <w:bookmarkEnd w:id="13"/>
    </w:p>
    <w:p>
      <w:pPr>
        <w:pStyle w:val="Normal"/>
      </w:pPr>
      <w:r>
        <w:t xml:space="preserve">断言 01a0f740-2455-7145-8557-d9968d1863cd；角色 Classicist；审计 SUPPORTED；理由 01a0f741-5973-7ac8-8955-ee880a9e8b6b</w:t>
      </w:r>
    </w:p>
    <w:p>
      <w:pPr>
        <w:pStyle w:val="Normal"/>
      </w:pPr>
      <w:r>
        <w:t xml:space="preserve">审计说明：证据中明确列出了麻黄汤和大青龙汤的完整药物组成、剂量及现代克数换算，并直接说明了大青龙汤由麻黄汤倍用麻黄、甘草，减少杏仁用量，再加石膏、生姜、大枣而成。断言中的所有具体信息（药物组成、剂量、克数、比较关系）均与证据原文完全一致。</w:t>
      </w:r>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18" w:name="claim01a0f74024567f5d89c341301585b147"/>
      <w:r>
        <w:t xml:space="preserve">大青龙汤中麻黄用量（原方六两）相较于麻黄汤（原方三两）增加的原因，原文解释为：大青龙汤证属风寒重证，兼内有郁热，故倍用麻黄以确保其发汗之力；同时，因无喘逆之症，故减少了杏仁用量。</w:t>
      </w:r>
      <w:bookmarkEnd w:id="18"/>
    </w:p>
    <w:p>
      <w:pPr>
        <w:pStyle w:val="Normal"/>
      </w:pPr>
      <w:r>
        <w:t xml:space="preserve">断言 01a0f740-2456-7f5d-89c3-41301585b147；角色 Classicist；审计 SUPPORTED；理由 01a0f741-794a-7466-94f4-50686c71741b</w:t>
      </w:r>
    </w:p>
    <w:p>
      <w:pPr>
        <w:pStyle w:val="Normal"/>
      </w:pPr>
      <w:r>
        <w:t xml:space="preserve">审计说明：证据中明确说明大青龙汤由麻黄汤倍用麻黄、减少杏仁用量，再加石膏、生姜、大枣而成，并解释其原因：证属风寒重证，兼内有郁热，故倍用麻黄以确保发汗之力；减杏仁用量，乃因无喘逆之症。这与断言完全一致。</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2"/>
        <w:keepNext/>
      </w:pPr>
      <w:bookmarkStart w:id="22" w:name="claim01a0f74024567f9785eebcc7fdb4abcb"/>
      <w:r>
        <w:t xml:space="preserve">麻黄汤主治外感风寒表实证，证候为恶寒发热，头身疼痛，无汗而喘，舌苔薄白，脉浮紧。大青龙汤主治外感风寒，内有郁热证，证候为恶寒发热，头身疼痛，不汗出而烦躁，脉浮紧；亦治溢饮，证见身体疼重，或四肢浮肿，恶寒身热，无汗，烦躁，脉浮紧。两方证均有恶寒发热、头身疼痛、无汗、脉浮紧等风寒束表证，但大青龙汤证多出“烦躁”这一内有郁热的症状。</w:t>
      </w:r>
      <w:bookmarkEnd w:id="22"/>
    </w:p>
    <w:p>
      <w:pPr>
        <w:pStyle w:val="Normal"/>
      </w:pPr>
      <w:r>
        <w:t xml:space="preserve">断言 01a0f740-2456-7f97-85ee-bcc7fdb4abcb；角色 Classicist；审计 SUPPORTED；理由 01a0f741-a9e5-7546-9153-b05e90e488d2</w:t>
      </w:r>
    </w:p>
    <w:p>
      <w:pPr>
        <w:pStyle w:val="Normal"/>
      </w:pPr>
      <w:r>
        <w:t xml:space="preserve">审计说明：证据直接支持了Claim中的所有断言。证据1明确描述了大青龙汤的主治证候（外感风寒，内有郁热证和溢饮）及其具体症状，包括“烦躁”。证据2明确描述了麻黄汤的主治证候（外感风寒表实证）及其具体症状。证据1还通过【鉴别】部分直接比较了两方，指出大青龙汤证属风寒重证，兼内有郁热，并提及了“烦躁”症状。</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27" w:name="claim01a0f74131d17219863814f6057f7639"/>
      <w:r>
        <w:t xml:space="preserve">麻黄汤与大青龙汤在药物组成上的相同点是均含有麻黄、桂枝、杏仁、甘草；不同点是大青龙汤在麻黄汤基础上倍用麻黄和甘草，减少杏仁用量，并增加了石膏、生姜、大枣。</w:t>
      </w:r>
      <w:bookmarkEnd w:id="27"/>
    </w:p>
    <w:p>
      <w:pPr>
        <w:pStyle w:val="Normal"/>
      </w:pPr>
      <w:r>
        <w:t xml:space="preserve">断言 01a0f741-31d1-7219-8638-14f6057f7639；角色 Theorist；审计 SUPPORTED；理由 01a0f741-d246-7677-9a0a-bec7866832ef</w:t>
      </w:r>
    </w:p>
    <w:p>
      <w:pPr>
        <w:pStyle w:val="Normal"/>
      </w:pPr>
      <w:r>
        <w:t xml:space="preserve">审计说明：证据明确支持了Claim中的所有断言。证据中麻黄汤的组成包含麻黄、桂枝、杏仁、甘草；大青龙汤的组成包含麻黄、桂枝、杏仁、甘草、石膏、生姜、大枣。在【鉴别】部分明确指出大青龙汤系由麻黄汤倍用麻黄、甘草，减少杏仁用量，再加石膏、生姜、大枣而成。</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2"/>
        <w:keepNext/>
      </w:pPr>
      <w:bookmarkStart w:id="32" w:name="claim01a0f74131d172aab97e4971e2fb99f8"/>
      <w:r>
        <w:t xml:space="preserve">麻黄汤证与大青龙汤证在临床表现上的相同点是均有外感风寒表实证，见恶寒发热、头身疼痛、无汗、脉浮紧；不同点是大青龙汤证兼有“烦躁”这一里有郁热的症状，而麻黄汤证则强调“无汗而喘”。</w:t>
      </w:r>
      <w:bookmarkEnd w:id="32"/>
    </w:p>
    <w:p>
      <w:pPr>
        <w:pStyle w:val="Normal"/>
      </w:pPr>
      <w:r>
        <w:t xml:space="preserve">断言 01a0f741-31d1-72aa-b97e-4971e2fb99f8；角色 Theorist；审计 SUPPORTED；理由 01a0f742-67b0-73b8-abb4-b2f475a635b5</w:t>
      </w:r>
    </w:p>
    <w:p>
      <w:pPr>
        <w:pStyle w:val="Normal"/>
      </w:pPr>
      <w:r>
        <w:t xml:space="preserve">审计说明：证据直接支持了断言中关于麻黄汤证与大青龙汤证在临床表现上的相同点和不同点。证据一明确描述大青龙汤主治“外感风寒，内有郁热证。恶寒发热，头身疼痛，不汗出而烦躁，脉浮紧”，并指出其与麻黄汤均可治疗“外感风寒表实证”。证据二描述麻黄汤主治“外感风寒表实证。恶寒发热，头身疼痛，无汗而喘，舌苔薄白，脉浮紧”。这直接支持了断言中两者相同点（均有外感风寒表实证，见恶寒发热、头身疼痛、无汗、脉浮紧）和不同点（大青龙汤证兼有“烦躁”，麻黄汤证强调“无汗而喘”）的陈述。</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Link"/>
      </w:pPr>
      <w:hyperlink w:anchor="evidence01a0f68be48e7f22b77820ef1354026a">
        <w:r>
          <w:rPr>
            <w:color w:val="0563C1"/>
            <w:u w:val="single"/>
          </w:rPr>
          <w:t xml:space="preserve">引用证据：《方剂学（麻黄汤与大青龙汤研究）》，来源修订 2，定位 路径 paragraph:157、页 1、段 157 至 路径 paragraph:164、页 1、段 164，证据修订 01a0f68b-e48e-7f22-b778-20ef1354026a</w:t>
        </w:r>
      </w:hyperlink>
    </w:p>
    <w:p>
      <w:pPr>
        <w:pStyle w:val="Heading1"/>
        <w:keepNext/>
      </w:pPr>
      <w:r>
        <w:t xml:space="preserve">条件性结论</w:t>
      </w:r>
    </w:p>
    <w:p>
      <w:pPr>
        <w:pStyle w:val="Heading2"/>
        <w:keepNext/>
      </w:pPr>
      <w:bookmarkStart w:id="38" w:name="claim01a0f74131d174f2b8bbf0ad26c22ec6"/>
      <w:r>
        <w:t xml:space="preserve">推论：大青龙汤倍用麻黄（原方六两相较于麻黄汤三两）的原因，是为了针对风寒束表更重、表气闭郁更甚的病机，确保有足够的发汗之力以开泄腠理，同时配伍石膏清里热，使辛温发表而无助热之弊，实现表里双解。</w:t>
      </w:r>
      <w:bookmarkEnd w:id="38"/>
    </w:p>
    <w:p>
      <w:pPr>
        <w:pStyle w:val="Normal"/>
      </w:pPr>
      <w:r>
        <w:t xml:space="preserve">断言 01a0f741-31d1-74f2-b8bb-f0ad26c22ec6；角色 Theorist；审计 SUPPORTED；理由 01a0f743-6b7b-7ea4-a798-1cc9e91b927a</w:t>
      </w:r>
    </w:p>
    <w:p>
      <w:pPr>
        <w:pStyle w:val="Normal"/>
      </w:pPr>
      <w:r>
        <w:t xml:space="preserve">审计说明：证据明确支持推论：大青龙汤倍用麻黄（六两）是为了针对风寒束表更重、表气闭郁更甚的病机，确保发汗之力以开泄腠理，同时配伍石膏清里热，实现表里双解。证据中多次提及麻黄用量为麻黄汤之倍，以增强发汗散寒之力；并说明配伍石膏可清里热，使辛温发表而无助热之弊；且证治机理指出病机为风寒束表较重、表气闭郁较重，阳气内郁化热。</w:t>
      </w:r>
    </w:p>
    <w:p>
      <w:pPr>
        <w:pStyle w:val="Link"/>
      </w:pPr>
      <w:hyperlink w:anchor="evidence01a0f68d64847e989118d6bc2bb2cfaa">
        <w:r>
          <w:rPr>
            <w:color w:val="0563C1"/>
            <w:u w:val="single"/>
          </w:rPr>
          <w:t xml:space="preserve">引用证据：《方剂学（麻黄汤与大青龙汤研究）》，来源修订 2，定位 路径 paragraph:180、页 1、段 180 至 路径 paragraph:194、页 1、段 194，证据修订 01a0f68d-6484-7e98-9118-d6bc2bb2cfaa</w:t>
        </w:r>
      </w:hyperlink>
    </w:p>
    <w:p>
      <w:pPr>
        <w:pStyle w:val="Heading1"/>
        <w:keepNext/>
      </w:pPr>
      <w:r>
        <w:t xml:space="preserve">争议结论</w:t>
      </w:r>
    </w:p>
    <w:p>
      <w:pPr>
        <w:pStyle w:val="Normal"/>
      </w:pPr>
      <w:r>
        <w:t xml:space="preserve">本类无断言。</w:t>
      </w:r>
    </w:p>
    <w:p>
      <w:pPr>
        <w:pStyle w:val="Heading1"/>
        <w:keepNext/>
      </w:pPr>
      <w:r>
        <w:t xml:space="preserve">未支持结论</w:t>
      </w:r>
    </w:p>
    <w:p>
      <w:pPr>
        <w:pStyle w:val="Normal"/>
      </w:pPr>
      <w:r>
        <w:t xml:space="preserve">本类无断言。</w:t>
      </w:r>
    </w:p>
    <w:p>
      <w:pPr>
        <w:pStyle w:val="Heading1"/>
        <w:keepNext/>
      </w:pPr>
      <w:r>
        <w:t xml:space="preserve">未解决问题</w:t>
      </w:r>
    </w:p>
    <w:p>
      <w:pPr>
        <w:pStyle w:val="Normal"/>
      </w:pPr>
      <w:r>
        <w:t xml:space="preserve">本类无断言。</w:t>
      </w:r>
    </w:p>
    <w:p>
      <w:pPr>
        <w:pStyle w:val="Heading1"/>
        <w:keepNext/>
      </w:pPr>
      <w:r>
        <w:t xml:space="preserve">争议与限制</w:t>
      </w:r>
    </w:p>
    <w:p>
      <w:pPr>
        <w:pStyle w:val="Normal"/>
      </w:pPr>
      <w:r>
        <w:t xml:space="preserve">另有 0 条未审定断言未进入综合。</w:t>
      </w:r>
    </w:p>
    <w:p>
      <w:pPr>
        <w:pStyle w:val="Heading1"/>
        <w:keepNext/>
      </w:pPr>
      <w:r>
        <w:t xml:space="preserve">原文证据与定位</w:t>
      </w:r>
    </w:p>
    <w:p>
      <w:pPr>
        <w:pStyle w:val="Heading2"/>
        <w:keepNext/>
      </w:pPr>
      <w:bookmarkStart w:id="51" w:name="evidence01a0f68be48e7f22b77820ef1354026a"/>
      <w:r>
        <w:t xml:space="preserve">证据 1 《方剂学（麻黄汤与大青龙汤研究）》</w:t>
      </w:r>
      <w:bookmarkEnd w:id="51"/>
    </w:p>
    <w:p>
      <w:pPr>
        <w:pStyle w:val="Normal"/>
      </w:pPr>
      <w:r>
        <w:t xml:space="preserve">《方剂学（麻黄汤与大青龙汤研究）》，来源修订 2，定位 路径 paragraph:157、页 1、段 157 至 路径 paragraph:164、页 1、段 164，证据修订 01a0f68b-e48e-7f22-b778-20ef1354026a</w:t>
      </w:r>
    </w:p>
    <w:p>
      <w:pPr>
        <w:pStyle w:val="Quote"/>
      </w:pPr>
      <w:r>
        <w:t xml:space="preserve">【组成】麻黄去节，三两(9g)桂枝去皮，二两(6g)杏仁去皮尖，七十个(9g)甘草炙，一两(3g)</w:t>
      </w:r>
      <w:r>
        <w:br/>
        <w:t xml:space="preserve">【用法】上四味，以水九升，先煮麻黄，减二升，去上沫，内诸药，煮取二升半，去滓，温</w:t>
      </w:r>
      <w:r>
        <w:br/>
        <w:t xml:space="preserve">服八合。覆取微似汗，不须啜粥，余如桂枝法将息(现代用法：水煎服，温覆取微汗)。</w:t>
      </w:r>
      <w:r>
        <w:br/>
        <w:t xml:space="preserve">【功用】发汗解表，宣肺平喘。</w:t>
      </w:r>
      <w:r>
        <w:br/>
        <w:t xml:space="preserve">【主治】外感风寒表实证。恶寒发热，头身疼痛，无汗而喘，舌苔薄白，脉浮紧。</w:t>
      </w:r>
      <w:r>
        <w:br/>
        <w:t xml:space="preserve">【证治机理】本证系由风寒束表，肺气失宣所致。风寒之邪侵袭肌表，营卫首当其冲，寒性</w:t>
      </w:r>
      <w:r>
        <w:br/>
        <w:t xml:space="preserve">收引凝滞，致使卫阳被遏，营阴郁滞，即卫闭营郁。卫气抗邪，正邪相争，则恶寒、发热；营卫</w:t>
      </w:r>
      <w:r>
        <w:br/>
        <w:t xml:space="preserve">不畅，腠理闭塞，经脉不通，则无汗、头痛、身痛、骨节疼痛；皮毛内合于肺，寒邪束表，肺气</w:t>
      </w:r>
      <w:r>
        <w:br/>
        <w:t xml:space="preserve">不宣，则上逆为喘；舌苔薄白，脉浮紧，皆是风寒束表之象。法当发汗解表，宣肺平喘。</w:t>
      </w:r>
      <w:r>
        <w:br/>
        <w:t xml:space="preserve">【方解】方中麻黄辛温，《本草纲目》谓其“肺经之专药”,为发汗之峻剂，既开腠理、透毛</w:t>
      </w:r>
      <w:r>
        <w:br/>
        <w:t xml:space="preserve">窍，发汗以祛在表之风寒；又开宣肺气，宣散肺经风寒而平喘，为君药。风寒外束，卫闭营郁，</w:t>
      </w:r>
      <w:r>
        <w:br/>
        <w:t xml:space="preserve">仅以麻黄开表散寒，恐难解营郁之滞，遂臣以辛温而甘之桂枝解肌发表，通达营卫，既助麻黄发</w:t>
      </w:r>
      <w:r>
        <w:br/>
        <w:t xml:space="preserve">汗散寒之力，又可温通营卫之郁。麻黄、桂枝相须为用，发汗之力较强，可使风寒去而营卫和。</w:t>
      </w:r>
      <w:r>
        <w:br/>
        <w:t xml:space="preserve">肺主宣降，肺气郁闭，宣降失常，故又佐以杏仁利肺平喘，与麻黄相伍，一宣一降，以复肺气宣</w:t>
      </w:r>
      <w:r>
        <w:br/>
        <w:t xml:space="preserve">降之权而平喘，又使邪气去而肺气和。使以炙甘草，既调和药性，又缓麻、桂峻烈之性，使汗出</w:t>
      </w:r>
      <w:r>
        <w:br/>
        <w:t xml:space="preserve">而不致耗伤正气。四药相伍，麻桂相须，腠开营畅，麻杏相使，宣降得宜，使风寒得散，肺气得</w:t>
      </w:r>
      <w:r>
        <w:br/>
        <w:t xml:space="preserve">宣，诸症可愈。</w:t>
      </w:r>
      <w:r>
        <w:br/>
        <w:t xml:space="preserve">【运用】本方既为治疗外感风寒表实证之代表方，又为辛温发汗法之基础方。以恶寒发热，</w:t>
      </w:r>
      <w:r>
        <w:br/>
        <w:t xml:space="preserve">无汗而喘，脉浮紧为辨证要点。本方为辛温发汗之峻剂，当中病即止，不可过服。柯琴指出：</w:t>
      </w:r>
      <w:r>
        <w:br/>
        <w:t xml:space="preserve">“此乃纯阳之剂，过于发散，如单刀直入之将，投之恰当，一战成功，不当则不戢而招祸。故用</w:t>
      </w:r>
      <w:r>
        <w:br/>
        <w:t xml:space="preserve">之发表，可一而不可再。”(《伤寒来苏集》)对于“疮家”“淋家”“衄家”“亡血家”,以及外感表</w:t>
      </w:r>
      <w:r>
        <w:br/>
        <w:t xml:space="preserve">虚自汗、血虚而脉兼“尺中迟”、或误下而见“身重心悸”等，虽有表寒证，亦皆应禁用。</w:t>
      </w:r>
    </w:p>
    <w:p>
      <w:pPr>
        <w:pStyle w:val="Normal"/>
      </w:pPr>
      <w:r>
        <w:t xml:space="preserve">来源 ID 01a0f5ce-fd1e-7f42-85ed-020d3de18a1c；来源修订 ID 01a0f5f1-ea2e-773b-a8d2-4dcbd42c35cc；文本片段修订 ID 01a0f5f2-d2a3-70b4-ac0d-b899a76f5dd1, 01a0f5f2-d2a3-72ee-ab6a-991cfbedbb0c, 01a0f5f2-d2a3-71c5-811d-e371f6774fee, 01a0f5f2-d2a3-7fa7-bb7d-923ef50e80f7, 01a0f5f2-d2a3-7dc5-aff8-fe3ddf2421dd, 01a0f5f2-d2a3-7675-86f0-3d3550983396, 01a0f5f2-d2a4-7c63-8abd-754cf42e9da4, 01a0f5f2-d2a4-7563-9221-a6b5b0f36309</w:t>
      </w:r>
    </w:p>
    <w:p>
      <w:pPr>
        <w:pStyle w:val="Heading2"/>
        <w:keepNext/>
      </w:pPr>
      <w:bookmarkStart w:id="55" w:name="evidence01a0f68d64847e989118d6bc2bb2cfaa"/>
      <w:r>
        <w:t xml:space="preserve">证据 2 《方剂学（麻黄汤与大青龙汤研究）》</w:t>
      </w:r>
      <w:bookmarkEnd w:id="55"/>
    </w:p>
    <w:p>
      <w:pPr>
        <w:pStyle w:val="Normal"/>
      </w:pPr>
      <w:r>
        <w:t xml:space="preserve">《方剂学（麻黄汤与大青龙汤研究）》，来源修订 2，定位 路径 paragraph:180、页 1、段 180 至 路径 paragraph:194、页 1、段 194，证据修订 01a0f68d-6484-7e98-9118-d6bc2bb2cfaa</w:t>
      </w:r>
    </w:p>
    <w:p>
      <w:pPr>
        <w:pStyle w:val="Quote"/>
      </w:pPr>
      <w:r>
        <w:t xml:space="preserve">【组成】麻黄去节，六两(12g) 桂枝二两(6g)甘草炙，二两(6g)杏仁去皮尖，四十粒(6g)石</w:t>
      </w:r>
      <w:r>
        <w:br/>
        <w:t xml:space="preserve">膏如鸡子大，碎(18g)生姜三两(9g)大枣十二枚，擘(6g)</w:t>
      </w:r>
      <w:r>
        <w:br/>
        <w:t xml:space="preserve">【用法】上七味，以水九升，先煮麻黄，减二升，去上沫，内诸药，煮取三升，去滓，温服</w:t>
      </w:r>
      <w:r>
        <w:br/>
        <w:t xml:space="preserve">一升，取微似汗。汗出多者，温粉扑之。一服汗者，停后服。若复服，汗多亡阳，遂虚，恶风烦</w:t>
      </w:r>
      <w:r>
        <w:br/>
        <w:t xml:space="preserve">躁，不得眠也(现代用法：水煎温服，取微汗)。</w:t>
      </w:r>
      <w:r>
        <w:br/>
        <w:t xml:space="preserve">【功用】发汗解表，兼清里热。</w:t>
      </w:r>
      <w:r>
        <w:br/>
        <w:t xml:space="preserve">【主治】</w:t>
      </w:r>
      <w:r>
        <w:br/>
        <w:t xml:space="preserve">1.外感风寒，内有郁热证。恶寒发热，头身疼痛，不汗出而烦躁，脉浮紧。</w:t>
      </w:r>
      <w:r>
        <w:br/>
        <w:t xml:space="preserve">2.溢饮。身体疼重，或四肢浮肿，恶寒身热，无汗，烦躁，脉浮紧。</w:t>
      </w:r>
      <w:r>
        <w:br/>
        <w:t xml:space="preserve">【证治机理】风寒束表，卫阳被遏，营阴郁滞，毛窍闭塞，故见恶寒发热、头身疼痛、无</w:t>
      </w:r>
      <w:r>
        <w:br/>
        <w:t xml:space="preserve">汗、脉浮紧之风寒表实证。表寒证又与烦躁、口渴并见，当系阳盛之体，外受风寒，寒邪较甚，</w:t>
      </w:r>
      <w:r>
        <w:br/>
        <w:t xml:space="preserve">表气闭郁较重，致使阳气内郁而化热，热邪伤津则口渴；热无宣泄之径，扰于胸中则烦，烦甚</w:t>
      </w:r>
      <w:r>
        <w:br/>
        <w:t xml:space="preserve">则躁。正如张秉成所谓：“阳盛之人，外为风寒骤加，则阳气内郁而不伸，故见燥烦不宁之象。”</w:t>
      </w:r>
      <w:r>
        <w:br/>
        <w:t xml:space="preserve">(《成方便读》)此证为风寒束表，里有郁热。法当发汗解表为主，兼清郁热。</w:t>
      </w:r>
      <w:r>
        <w:br/>
        <w:t xml:space="preserve">《金匮要略》又以本方治疗外感风寒，水饮内郁化热之溢饮。溢饮乃“饮水流行，归于四</w:t>
      </w:r>
      <w:r>
        <w:br/>
        <w:t xml:space="preserve">肢，当汗出而不汗出，身体疼重”之病证。风寒外束，水饮溢于四肢，则身体疼痛或浮肿，饮邪</w:t>
      </w:r>
      <w:r>
        <w:br/>
        <w:t xml:space="preserve">郁而化热则烦躁。二者病症虽异，但同属风寒束表、里有郁热之证，故皆用本方以异病同治。</w:t>
      </w:r>
      <w:r>
        <w:br/>
        <w:t xml:space="preserve">【方解】方中麻黄为君，发汗解表、宣肺平喘、利水消肿，其量为麻黄汤之倍，则开泄腠</w:t>
      </w:r>
      <w:r>
        <w:br/>
        <w:t xml:space="preserve">理，发汗散寒之力尤峻。桂枝辛温，解肌发汗，助麻黄解表而和营卫；石膏辛甘而寒，清里热并</w:t>
      </w:r>
      <w:r>
        <w:br/>
        <w:t xml:space="preserve">透郁热，二者同为臣药。麻黄得石膏，辛温发表而无助热之弊；石膏得麻黄，大寒清热而无凉遏</w:t>
      </w:r>
      <w:r>
        <w:br/>
        <w:t xml:space="preserve">之虞。杏仁降利肺气，与麻黄相合，宣降肺气，以适肺性；生姜、大枣合用则和脾胃、调营卫，</w:t>
      </w:r>
      <w:r>
        <w:br/>
        <w:t xml:space="preserve">兼助解表、益汗源，共为佐药。甘草益气和中，既缓辛温峻散之力，又调和诸药，且防石膏寒凉</w:t>
      </w:r>
      <w:r>
        <w:br/>
        <w:t xml:space="preserve">伤中，为佐使药。诸药相伍，寒温并用，发汗散寒之中又兼清解里热之效。</w:t>
      </w:r>
      <w:r>
        <w:br/>
        <w:t xml:space="preserve">本方麻黄发汗解表，桂枝温阳化气，生姜温胃散水，皆助麻黄发汗行水。麻黄、杏仁宣降肺</w:t>
      </w:r>
      <w:r>
        <w:br/>
        <w:t xml:space="preserve">气以通调水道；石膏清泄溢饮郁热；姜、枣、草益气和中，和营卫，运化水湿。全方发汗解表，</w:t>
      </w:r>
      <w:r>
        <w:br/>
        <w:t xml:space="preserve">宣通腠理，开鬼门以发越水气；宣降肺气，通调水道以利湿化饮，故亦治溢饮有表证兼里热者。</w:t>
      </w:r>
      <w:r>
        <w:br/>
        <w:t xml:space="preserve">【运用】本方为治疗外感风寒，里兼郁热证之常用方。以恶寒发热，无汗，烦躁，脉浮紧为</w:t>
      </w:r>
      <w:r>
        <w:br/>
        <w:t xml:space="preserve">辨证要点。表虚者，不可用，故原书强调：“若脉微弱，汗出恶风者，不可服。”本方发汗之功居</w:t>
      </w:r>
      <w:r>
        <w:br/>
        <w:t xml:space="preserve">解表诸方之冠，故“一服得汗者，停后服”,以防过剂；原书要求“取微似汗”“汗出多者，温粉</w:t>
      </w:r>
      <w:r>
        <w:br/>
        <w:t xml:space="preserve">扑之”。</w:t>
      </w:r>
      <w:r>
        <w:br/>
        <w:t xml:space="preserve">【鉴别】大青龙汤与麻黄汤均可治疗外感风寒表实证，同用麻黄、桂枝辛温解表发汗。然大</w:t>
      </w:r>
      <w:r>
        <w:br/>
        <w:t xml:space="preserve">青龙汤系由麻黄汤倍用麻黄、甘草，减少杏仁用量，再加石膏、生姜、大枣而成。证属风寒重</w:t>
      </w:r>
      <w:r>
        <w:br/>
        <w:t xml:space="preserve">证，兼内有郁热，故方中配以辛甘大寒之石膏以清解内热；且倍用麻黄以确保其发汗之力；减杏</w:t>
      </w:r>
      <w:r>
        <w:br/>
        <w:t xml:space="preserve">仁用量，乃因无喘逆之症。</w:t>
      </w:r>
      <w:r>
        <w:br/>
        <w:t xml:space="preserve">【方论选录】此即加味麻黄汤也。诸症全是麻黄，而有喘与烦躁之不同。喘者是寒郁其气，</w:t>
      </w:r>
      <w:r>
        <w:br/>
        <w:t xml:space="preserve">升降不得自如，故多杏仁之苦以降气；烦躁是热伤其气，无津不能作汗，故特加石膏之甘以生</w:t>
      </w:r>
      <w:r>
        <w:br/>
        <w:t xml:space="preserve">津。然其质沉，其性寒，恐其内热顿除，而外之表邪不解，变为寒中而协热下利，是引贼破家</w:t>
      </w:r>
      <w:r>
        <w:br/>
        <w:t xml:space="preserve">矣。故必倍麻黄以发汗，又倍甘草以和中，更用姜、枣以调营卫，一汗而表里双解，风热两除。</w:t>
      </w:r>
      <w:r>
        <w:br/>
        <w:t xml:space="preserve">此大青龙清内攘外之功，所以佐麻、桂二方之不及也。(柯琴《伤寒来苏集·伤寒论注》卷二)</w:t>
      </w:r>
    </w:p>
    <w:p>
      <w:pPr>
        <w:pStyle w:val="Normal"/>
      </w:pPr>
      <w:r>
        <w:t xml:space="preserve">来源 ID 01a0f5ce-fd1e-7f42-85ed-020d3de18a1c；来源修订 ID 01a0f5f1-ea2e-773b-a8d2-4dcbd42c35cc；文本片段修订 ID 01a0f5f2-d2a8-7a59-b945-9dd2d048bd0c, 01a0f5f2-d2a8-73c4-ad86-b4acfc52ffc4, 01a0f5f2-d2a8-797b-b453-632327da091b, 01a0f5f2-d2a8-7b26-bf7d-d88b30174a19, 01a0f5f2-d2a8-7a18-a20f-ff86afbff825, 01a0f5f2-d2a8-72a1-9bf5-da7624b99db9, 01a0f5f2-d2a8-7c85-bc73-9e46272b8e9a, 01a0f5f2-d2a9-770e-92cf-1c4f7f941ac0, 01a0f5f2-d2a9-7910-bad6-88bfb9f7a6f1, 01a0f5f2-d2a9-74dd-bd42-917a5f8fa634, 01a0f5f2-d2a9-70e2-82a5-1e32ce8b6de1, 01a0f5f2-d2a9-772f-8853-bb0757fe59a1, 01a0f5f2-d2a9-7572-94a9-5879657ec562, 01a0f5f2-d2aa-7c38-97c5-9c4eb3b67e2b, 01a0f5f2-d2aa-74f3-aa5f-d83c02931f04</w:t>
      </w:r>
    </w:p>
    <w:p>
      <w:pPr>
        <w:pStyle w:val="Heading1"/>
        <w:keepNext/>
      </w:pPr>
      <w:r>
        <w:t xml:space="preserve">研究过程</w:t>
      </w:r>
    </w:p>
    <w:p>
      <w:pPr>
        <w:pStyle w:val="Normal"/>
      </w:pPr>
      <w:r>
        <w:t xml:space="preserve">第 1 轮 Classicist：COMPLETED；模型 siliconflow/deepseek-ai/DeepSeek-V3.2；运行 01a0f73f-0455-7257-b308-7be29c335fda</w:t>
      </w:r>
    </w:p>
    <w:p>
      <w:pPr>
        <w:pStyle w:val="Normal"/>
      </w:pPr>
      <w:r>
        <w:t xml:space="preserve">第 1 轮 HistoricalScholar：COMPLETED；模型 siliconflow/deepseek-ai/DeepSeek-V3.2；运行 01a0f73f-0455-75e6-abe6-a1b2a74a38d0</w:t>
      </w:r>
    </w:p>
    <w:p>
      <w:pPr>
        <w:pStyle w:val="Normal"/>
      </w:pPr>
      <w:r>
        <w:t xml:space="preserve">第 1 轮 Theorist：COMPLETED；模型 siliconflow/deepseek-ai/DeepSeek-V3.2；运行 01a0f73f-0455-7a6a-ba4e-68c08d615a7a</w:t>
      </w:r>
    </w:p>
    <w:p>
      <w:pPr>
        <w:pStyle w:val="Normal"/>
      </w:pPr>
      <w:r>
        <w:t xml:space="preserve">第 2 轮 Critic：COMPLETED；模型 siliconflow/deepseek-ai/DeepSeek-V3.2；运行 01a0f743-6c14-7168-a9a7-a00b0fecaed1</w:t>
      </w:r>
    </w:p>
    <w:p>
      <w:pPr>
        <w:pStyle w:val="Normal"/>
      </w:pPr>
      <w:r>
        <w:t xml:space="preserve">第 0 轮 Judge：COMPLETED；模型 siliconflow/deepseek-ai/DeepSeek-V3.2；运行 01a0f743-8653-7207-bd1d-bfa3aeed477e</w:t>
      </w:r>
    </w:p>
    <w:p>
      <w:pPr>
        <w:pStyle w:val="Normal"/>
      </w:pPr>
      <w:r>
        <w:t xml:space="preserve">审计 01a0f741-324a-7785-ba38-cc67d086e2c8：断言 01a0f740-2455-7145-8557-d9968d1863cd；第 1 次，MECHANICAL / PASS；Citation chain verified</w:t>
      </w:r>
    </w:p>
    <w:p>
      <w:pPr>
        <w:pStyle w:val="Normal"/>
      </w:pPr>
      <w:r>
        <w:t xml:space="preserve">审计 01a0f741-5973-7ac8-8955-ee880a9e8b6b：断言 01a0f740-2455-7145-8557-d9968d1863cd；第 2 次，SEMANTIC / SUPPORTED；证据中明确列出了麻黄汤和大青龙汤的完整药物组成、剂量及现代克数换算，并直接说明了大青龙汤由麻黄汤倍用麻黄、甘草，减少杏仁用量，再加石膏、生姜、大枣而成。断言中的所有具体信息（药物组成、剂量、克数、比较关系）均与证据原文完全一致。</w:t>
      </w:r>
    </w:p>
    <w:p>
      <w:pPr>
        <w:pStyle w:val="Normal"/>
      </w:pPr>
      <w:r>
        <w:t xml:space="preserve">审计 01a0f741-59c2-7b84-a7ec-b07f13ce26a2：断言 01a0f740-2456-7f5d-89c3-41301585b147；第 1 次，MECHANICAL / PASS；Citation chain verified</w:t>
      </w:r>
    </w:p>
    <w:p>
      <w:pPr>
        <w:pStyle w:val="Normal"/>
      </w:pPr>
      <w:r>
        <w:t xml:space="preserve">审计 01a0f741-794a-7466-94f4-50686c71741b：断言 01a0f740-2456-7f5d-89c3-41301585b147；第 2 次，SEMANTIC / SUPPORTED；证据中明确说明大青龙汤由麻黄汤倍用麻黄、减少杏仁用量，再加石膏、生姜、大枣而成，并解释其原因：证属风寒重证，兼内有郁热，故倍用麻黄以确保发汗之力；减杏仁用量，乃因无喘逆之症。这与断言完全一致。</w:t>
      </w:r>
    </w:p>
    <w:p>
      <w:pPr>
        <w:pStyle w:val="Normal"/>
      </w:pPr>
      <w:r>
        <w:t xml:space="preserve">审计 01a0f741-79ac-78b6-b506-463d7e8a7db6：断言 01a0f740-2456-7f97-85ee-bcc7fdb4abcb；第 1 次，MECHANICAL / PASS；Citation chain verified</w:t>
      </w:r>
    </w:p>
    <w:p>
      <w:pPr>
        <w:pStyle w:val="Normal"/>
      </w:pPr>
      <w:r>
        <w:t xml:space="preserve">审计 01a0f741-a9e5-7546-9153-b05e90e488d2：断言 01a0f740-2456-7f97-85ee-bcc7fdb4abcb；第 2 次，SEMANTIC / SUPPORTED；证据直接支持了Claim中的所有断言。证据1明确描述了大青龙汤的主治证候（外感风寒，内有郁热证和溢饮）及其具体症状，包括“烦躁”。证据2明确描述了麻黄汤的主治证候（外感风寒表实证）及其具体症状。证据1还通过【鉴别】部分直接比较了两方，指出大青龙汤证属风寒重证，兼内有郁热，并提及了“烦躁”症状。</w:t>
      </w:r>
    </w:p>
    <w:p>
      <w:pPr>
        <w:pStyle w:val="Normal"/>
      </w:pPr>
      <w:r>
        <w:t xml:space="preserve">审计 01a0f741-aa61-7a0d-99ec-abb7de4934b3：断言 01a0f741-31d1-7219-8638-14f6057f7639；第 1 次，MECHANICAL / PASS；Citation chain verified</w:t>
      </w:r>
    </w:p>
    <w:p>
      <w:pPr>
        <w:pStyle w:val="Normal"/>
      </w:pPr>
      <w:r>
        <w:t xml:space="preserve">审计 01a0f741-d246-7677-9a0a-bec7866832ef：断言 01a0f741-31d1-7219-8638-14f6057f7639；第 2 次，SEMANTIC / SUPPORTED；证据明确支持了Claim中的所有断言。证据中麻黄汤的组成包含麻黄、桂枝、杏仁、甘草；大青龙汤的组成包含麻黄、桂枝、杏仁、甘草、石膏、生姜、大枣。在【鉴别】部分明确指出大青龙汤系由麻黄汤倍用麻黄、甘草，减少杏仁用量，再加石膏、生姜、大枣而成。</w:t>
      </w:r>
    </w:p>
    <w:p>
      <w:pPr>
        <w:pStyle w:val="Normal"/>
      </w:pPr>
      <w:r>
        <w:t xml:space="preserve">审计 01a0f741-d2db-73a0-a2e4-0225dcd40bbd：断言 01a0f741-31d1-72aa-b97e-4971e2fb99f8；第 1 次，MECHANICAL / PASS；Citation chain verified</w:t>
      </w:r>
    </w:p>
    <w:p>
      <w:pPr>
        <w:pStyle w:val="Normal"/>
      </w:pPr>
      <w:r>
        <w:t xml:space="preserve">审计 01a0f742-67b0-73b8-abb4-b2f475a635b5：断言 01a0f741-31d1-72aa-b97e-4971e2fb99f8；第 2 次，SEMANTIC / SUPPORTED；证据直接支持了断言中关于麻黄汤证与大青龙汤证在临床表现上的相同点和不同点。证据一明确描述大青龙汤主治“外感风寒，内有郁热证。恶寒发热，头身疼痛，不汗出而烦躁，脉浮紧”，并指出其与麻黄汤均可治疗“外感风寒表实证”。证据二描述麻黄汤主治“外感风寒表实证。恶寒发热，头身疼痛，无汗而喘，舌苔薄白，脉浮紧”。这直接支持了断言中两者相同点（均有外感风寒表实证，见恶寒发热、头身疼痛、无汗、脉浮紧）和不同点（大青龙汤证兼有“烦躁”，麻黄汤证强调“无汗而喘”）的陈述。</w:t>
      </w:r>
    </w:p>
    <w:p>
      <w:pPr>
        <w:pStyle w:val="Normal"/>
      </w:pPr>
      <w:r>
        <w:t xml:space="preserve">审计 01a0f742-6823-7402-80b8-c023d21b269f：断言 01a0f741-31d1-74f2-b8bb-f0ad26c22ec6；第 1 次，MECHANICAL / PASS；Citation chain verified</w:t>
      </w:r>
    </w:p>
    <w:p>
      <w:pPr>
        <w:pStyle w:val="Normal"/>
      </w:pPr>
      <w:r>
        <w:t xml:space="preserve">审计 01a0f743-6b7b-7ea4-a798-1cc9e91b927a：断言 01a0f741-31d1-74f2-b8bb-f0ad26c22ec6；第 2 次，SEMANTIC / SUPPORTED；证据明确支持推论：大青龙汤倍用麻黄（六两）是为了针对风寒束表更重、表气闭郁更甚的病机，确保发汗之力以开泄腠理，同时配伍石膏清里热，实现表里双解。证据中多次提及麻黄用量为麻黄汤之倍，以增强发汗散寒之力；并说明配伍石膏可清里热，使辛温发表而无助热之弊；且证治机理指出病机为风寒束表较重、表气闭郁较重，阳气内郁化热。</w:t>
      </w:r>
    </w:p>
    <w:p>
      <w:pPr>
        <w:pStyle w:val="Normal"/>
      </w:pPr>
      <w:r>
        <w:t xml:space="preserve">停止判断 01a0f743-85dc-7d42-a4f8-ef03d225b6ac：第 2 轮，STOP；NO_CRITIQUES；输入哈希 9ae3e6d0a204247e7dc370018df341df16fc1063fdcd9db7285cc7a7ea67e784</w:t>
      </w:r>
    </w:p>
    <w:p>
      <w:pPr>
        <w:pStyle w:val="Heading1"/>
        <w:keepNext/>
      </w:pPr>
      <w:r>
        <w:t xml:space="preserve">报告版本</w:t>
      </w:r>
    </w:p>
    <w:p>
      <w:pPr>
        <w:pStyle w:val="Normal"/>
      </w:pPr>
      <w:r>
        <w:t xml:space="preserve">报告结构 research-report/v1；停止判断 01a0f743-85dc-7d42-a4f8-ef03d225b6ac；运行指纹 d96ba7c965dbf7f311221164d94bf35ac4b04fbdb644ff93417885f597f8e87f</w:t>
      </w:r>
    </w:p>
    <w:sectPr>
      <w:pgSz w:w="12240" w:h="15840"/>
      <w:pgMar w:top="1260" w:right="1260" w:bottom="1260" w:left="1260" w:header="720" w:footer="720" w:gutter="0"/>
    </w:sectPr>
  </w:body>
</w:document>
</file>

<file path=word/styles.xml><?xml version="1.0" encoding="utf-8"?>
<w:styles xmlns:w="http://schemas.openxmlformats.org/wordprocessingml/2006/main">
  <w:style w:type="paragraph" w:styleId="Normal">
    <w:name w:val="Normal"/>
    <w:pPr>
      <w:spacing w:before="0" w:after="120" w:line="320" w:lineRule="auto"/>
      <w:widowControl/>
    </w:pPr>
    <w:rPr>
      <w:rFonts w:ascii="Arial" w:hAnsi="Arial" w:eastAsia="Microsoft YaHei"/>
      <w:sz w:val="22"/>
      <w:color w:val="000000"/>
    </w:rPr>
  </w:style>
  <w:style w:type="paragraph" w:styleId="Title">
    <w:name w:val="Title"/>
    <w:pPr>
      <w:spacing w:before="0" w:after="300" w:line="320" w:lineRule="auto"/>
      <w:widowControl/>
    </w:pPr>
    <w:rPr>
      <w:rFonts w:ascii="Arial" w:hAnsi="Arial" w:eastAsia="Microsoft YaHei"/>
      <w:sz w:val="32"/>
      <w:color w:val="000000"/>
      <w:b/>
    </w:rPr>
  </w:style>
  <w:style w:type="paragraph" w:styleId="Heading1">
    <w:name w:val="Heading1"/>
    <w:pPr>
      <w:spacing w:before="300" w:after="140" w:line="320" w:lineRule="auto"/>
      <w:widowControl/>
    </w:pPr>
    <w:rPr>
      <w:rFonts w:ascii="Arial" w:hAnsi="Arial" w:eastAsia="Microsoft YaHei"/>
      <w:sz w:val="27"/>
      <w:color w:val="000000"/>
      <w:b/>
    </w:rPr>
  </w:style>
  <w:style w:type="paragraph" w:styleId="Heading2">
    <w:name w:val="Heading2"/>
    <w:pPr>
      <w:spacing w:before="220" w:after="100" w:line="320" w:lineRule="auto"/>
      <w:widowControl/>
    </w:pPr>
    <w:rPr>
      <w:rFonts w:ascii="Arial" w:hAnsi="Arial" w:eastAsia="Microsoft YaHei"/>
      <w:sz w:val="23"/>
      <w:color w:val="000000"/>
      <w:b/>
    </w:rPr>
  </w:style>
  <w:style w:type="paragraph" w:styleId="Quote">
    <w:name w:val="Quote"/>
    <w:pPr>
      <w:spacing w:before="40" w:after="140" w:line="320" w:lineRule="auto"/>
      <w:widowControl/>
      <w:ind w:left="420" w:right="260"/>
    </w:pPr>
    <w:rPr>
      <w:rFonts w:ascii="Arial" w:hAnsi="Arial" w:eastAsia="Microsoft YaHei"/>
      <w:sz w:val="21"/>
      <w:color w:val="000000"/>
    </w:rPr>
  </w:style>
  <w:style w:type="paragraph" w:styleId="Link">
    <w:name w:val="Link"/>
    <w:pPr>
      <w:spacing w:before="0" w:after="100" w:line="320" w:lineRule="auto"/>
      <w:widowControl/>
    </w:pPr>
    <w:rPr>
      <w:rFonts w:ascii="Arial" w:hAnsi="Arial" w:eastAsia="Microsoft YaHei"/>
      <w:sz w:val="21"/>
      <w:color w:val="000000"/>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