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keepNext/>
      </w:pPr>
      <w:r>
        <w:t xml:space="preserve">中医理论研究报告</w:t>
      </w:r>
    </w:p>
    <w:p>
      <w:pPr>
        <w:pStyle w:val="Normal"/>
      </w:pPr>
      <w:r>
        <w:t xml:space="preserve">研究问题：比较麻黄汤和大青龙汤，检验“大青龙汤原方麻黄用量是麻黄汤的两倍，因此发汗强度也必然是两倍”这一推断是否成立。区分古制剂量与教材括注克数，并分析两方配伍差异对该推断的影响。</w:t>
      </w:r>
    </w:p>
    <w:p>
      <w:pPr>
        <w:pStyle w:val="Normal"/>
      </w:pPr>
      <w:r>
        <w:t xml:space="preserve">报告已保存：下方综合回答草稿未通过复核，不作为已审核结论。已审计观点、争议、证据缺口及辩论记录完整保留。</w:t>
      </w:r>
    </w:p>
    <w:p>
      <w:pPr>
        <w:pStyle w:val="Heading1"/>
        <w:keepNext/>
      </w:pPr>
      <w:r>
        <w:t xml:space="preserve">综合回答草稿（待修订）</w:t>
      </w:r>
    </w:p>
    <w:p>
      <w:pPr>
        <w:pStyle w:val="Normal"/>
      </w:pPr>
      <w:r>
        <w:t xml:space="preserve">这一推断不成立。古制剂量层面，大青龙汤麻黄六两确为麻黄汤三两的两倍，但“麻黄用量翻倍”不能直接等同于“发汗强度翻倍”。教材对两方发汗作用的表述是定性的：麻黄汤为辛温发汗之峻剂、辛温发汗法之基础方，大青龙汤则称发汗之功居解表诸方之冠，均未写成倍数关系。</w:t>
      </w:r>
    </w:p>
    <w:p>
      <w:pPr>
        <w:pStyle w:val="Link"/>
      </w:pPr>
      <w:hyperlink w:anchor="evidence01a0f68be48e7f22b77820ef1354026a">
        <w:r>
          <w:rPr>
            <w:color w:val="0563C1"/>
            <w:u w:val="single"/>
          </w:rPr>
          <w:t xml:space="preserve">依据 [1]</w:t>
        </w:r>
      </w:hyperlink>
    </w:p>
    <w:p>
      <w:pPr>
        <w:pStyle w:val="Link"/>
      </w:pPr>
      <w:hyperlink w:anchor="evidence01a0f68d64847e989118d6bc2bb2cfaa">
        <w:r>
          <w:rPr>
            <w:color w:val="0563C1"/>
            <w:u w:val="single"/>
          </w:rPr>
          <w:t xml:space="preserve">依据 [2]</w:t>
        </w:r>
      </w:hyperlink>
    </w:p>
    <w:p>
      <w:pPr>
        <w:pStyle w:val="Normal"/>
      </w:pPr>
      <w:r>
        <w:t xml:space="preserve">配伍差异是推断失效的关键。大青龙汤并非只把麻黄加倍，而是倍用麻黄、倍用甘草、减少杏仁用量，再加石膏、生姜、大枣。方中石膏辛甘大寒，与麻黄相制，教材称“麻黄得石膏，辛温发表而无助热之弊；石膏得麻黄，大寒清热而无凉遏之虞”，说明石膏参与制约发汗发表之性。因此即使麻黄用量加倍，全方发汗强度也不是麻黄单味药量的简单比例。</w:t>
      </w:r>
    </w:p>
    <w:p>
      <w:pPr>
        <w:pStyle w:val="Link"/>
      </w:pPr>
      <w:hyperlink w:anchor="evidence01a0f68be48e7f22b77820ef1354026a">
        <w:r>
          <w:rPr>
            <w:color w:val="0563C1"/>
            <w:u w:val="single"/>
          </w:rPr>
          <w:t xml:space="preserve">依据 [1]</w:t>
        </w:r>
      </w:hyperlink>
    </w:p>
    <w:p>
      <w:pPr>
        <w:pStyle w:val="Link"/>
      </w:pPr>
      <w:hyperlink w:anchor="evidence01a0f68d64847e989118d6bc2bb2cfaa">
        <w:r>
          <w:rPr>
            <w:color w:val="0563C1"/>
            <w:u w:val="single"/>
          </w:rPr>
          <w:t xml:space="preserve">依据 [2]</w:t>
        </w:r>
      </w:hyperlink>
    </w:p>
    <w:p>
      <w:pPr>
        <w:pStyle w:val="Normal"/>
      </w:pPr>
      <w:r>
        <w:t xml:space="preserve">古制剂量与教材括注克数须分开看。古制六两与三两构成两倍关系，但括注分别为12g与9g，并非两倍。教材明确括注剂量是参考当代临床习用剂量而定，与原方古代剂量并非度量衡制上的绝对等值换算，切忌以此推算古今剂量之换算标准。因此两方古制麻黄用量的倍数应以原文“六两”“三两”为准，括注克数不宜作为方间用量倍数的换算依据。</w:t>
      </w:r>
    </w:p>
    <w:p>
      <w:pPr>
        <w:pStyle w:val="Link"/>
      </w:pPr>
      <w:hyperlink w:anchor="evidence01a0f68be48e7f22b77820ef1354026a">
        <w:r>
          <w:rPr>
            <w:color w:val="0563C1"/>
            <w:u w:val="single"/>
          </w:rPr>
          <w:t xml:space="preserve">依据 [1]</w:t>
        </w:r>
      </w:hyperlink>
    </w:p>
    <w:p>
      <w:pPr>
        <w:pStyle w:val="Link"/>
      </w:pPr>
      <w:hyperlink w:anchor="evidence01a0f68d64847e989118d6bc2bb2cfaa">
        <w:r>
          <w:rPr>
            <w:color w:val="0563C1"/>
            <w:u w:val="single"/>
          </w:rPr>
          <w:t xml:space="preserve">依据 [2]</w:t>
        </w:r>
      </w:hyperlink>
    </w:p>
    <w:p>
      <w:pPr>
        <w:pStyle w:val="Link"/>
      </w:pPr>
      <w:hyperlink w:anchor="evidence01a0f75f142e7cc2863c85f018be3f3d">
        <w:r>
          <w:rPr>
            <w:color w:val="0563C1"/>
            <w:u w:val="single"/>
          </w:rPr>
          <w:t xml:space="preserve">依据 [4]</w:t>
        </w:r>
      </w:hyperlink>
    </w:p>
    <w:p>
      <w:pPr>
        <w:pStyle w:val="Normal"/>
      </w:pPr>
      <w:r>
        <w:t xml:space="preserve">服法同样不支持倍数换算。大青龙汤要求“取微似汗”“汗出多者，温粉扑之”“一服汗者，停后服”，麻黄汤亦载“覆取微似汗”。教材对两方均载取汗要求，未将发汗强度表述为倍数目标，说明发汗表现受配伍、煎服法与取汗要求共同制约。</w:t>
      </w:r>
    </w:p>
    <w:p>
      <w:pPr>
        <w:pStyle w:val="Link"/>
      </w:pPr>
      <w:hyperlink w:anchor="evidence01a0f68be48e7f22b77820ef1354026a">
        <w:r>
          <w:rPr>
            <w:color w:val="0563C1"/>
            <w:u w:val="single"/>
          </w:rPr>
          <w:t xml:space="preserve">依据 [1]</w:t>
        </w:r>
      </w:hyperlink>
    </w:p>
    <w:p>
      <w:pPr>
        <w:pStyle w:val="Link"/>
      </w:pPr>
      <w:hyperlink w:anchor="evidence01a0f68d64847e989118d6bc2bb2cfaa">
        <w:r>
          <w:rPr>
            <w:color w:val="0563C1"/>
            <w:u w:val="single"/>
          </w:rPr>
          <w:t xml:space="preserve">依据 [2]</w:t>
        </w:r>
      </w:hyperlink>
    </w:p>
    <w:p>
      <w:pPr>
        <w:pStyle w:val="Normal"/>
      </w:pPr>
      <w:r>
        <w:t xml:space="preserve">推论边界在于：现有材料只能确认古制麻黄用量存在两倍差异，以及两方配伍、服法不同，因而“发汗强度必然两倍”缺乏依据；至于实际发汗强度究竟如何，文本未给出可量化的比较标准，不能由麻黄用量倍数直接判定。</w:t>
      </w:r>
    </w:p>
    <w:p>
      <w:pPr>
        <w:pStyle w:val="Link"/>
      </w:pPr>
      <w:hyperlink w:anchor="evidence01a0f68be48e7f22b77820ef1354026a">
        <w:r>
          <w:rPr>
            <w:color w:val="0563C1"/>
            <w:u w:val="single"/>
          </w:rPr>
          <w:t xml:space="preserve">依据 [1]</w:t>
        </w:r>
      </w:hyperlink>
    </w:p>
    <w:p>
      <w:pPr>
        <w:pStyle w:val="Link"/>
      </w:pPr>
      <w:hyperlink w:anchor="evidence01a0f68d64847e989118d6bc2bb2cfaa">
        <w:r>
          <w:rPr>
            <w:color w:val="0563C1"/>
            <w:u w:val="single"/>
          </w:rPr>
          <w:t xml:space="preserve">依据 [2]</w:t>
        </w:r>
      </w:hyperlink>
    </w:p>
    <w:p>
      <w:pPr>
        <w:pStyle w:val="Link"/>
      </w:pPr>
      <w:hyperlink w:anchor="evidence01a0f75f142e7cc2863c85f018be3f3d">
        <w:r>
          <w:rPr>
            <w:color w:val="0563C1"/>
            <w:u w:val="single"/>
          </w:rPr>
          <w:t xml:space="preserve">依据 [4]</w:t>
        </w:r>
      </w:hyperlink>
    </w:p>
    <w:p>
      <w:pPr>
        <w:pStyle w:val="Heading2"/>
        <w:keepNext/>
      </w:pPr>
      <w:r>
        <w:t xml:space="preserve">综合回答需要修订的事项</w:t>
      </w:r>
    </w:p>
    <w:p>
      <w:pPr>
        <w:pStyle w:val="Normal"/>
      </w:pPr>
      <w:r>
        <w:t xml:space="preserve">第3段（explanation）中“因此两方古制麻黄用量的倍数应以原文‘六两’‘三两’为准，括注克数不宜作为方间用量倍数的换算依据”一句，将教材关于“切忌以此推算古今剂量之换算标准”的告诫，扩展为“不宜作为方间用量倍数的换算依据”。所引 claim 01a0f7c5-91bc-7f60-ae4b-5473b7ac20ad 与 01a0f7c5-ae46-7997-b74d-8a077889591f 的证据仅支持“括注克数非古制绝对等值换算、不可据以推算古今换算标准”，并未直接讨论“方间用量倍数关系”能否由括注克数推算。该句属于对告诫适用范围的延伸，缺少直接文本依据。建议改为：括注克数不宜作为古今剂量换算标准；至于能否据以比较两方用量倍数，教材未直接说明，本报告不作断言。</w:t>
      </w:r>
    </w:p>
    <w:p>
      <w:pPr>
        <w:pStyle w:val="Normal"/>
      </w:pPr>
      <w:r>
        <w:t xml:space="preserve">第5段（boundary）称“现有材料只能确认古制麻黄用量存在两倍差异”，但所引 claim 01a0f7c5-762d-7433-9661-b347c6ffb8ff、01a0f7c5-762d-752a-9516-3f4a38ecfde4、01a0f7c5-91bc-7f60-ae4b-5473b7ac20ad 的证据虽载有“六两”“三两”及“其量为麻黄汤之倍”，却未处理煎服法差异对可比性的影响：麻黄汤“煮取二升半……温服八合”，大青龙汤“煮取三升……温服一升”，每次服用所摄取的麻黄量是否仍为两倍，取决于总煎出量与分服次数的对应关系。该段将“原方麻黄用量两倍”直接等同于“每次服用麻黄量两倍”，未说明这一口径问题。建议补充限定：此处“两倍”仅指原方麻黄总用量，未涉及每次服用量的可比性；或明确说明煎服法差异使每次服用量倍数关系无法由现有材料确定。</w:t>
      </w:r>
    </w:p>
    <w:p>
      <w:pPr>
        <w:pStyle w:val="Normal"/>
      </w:pPr>
      <w:r>
        <w:t xml:space="preserve">第4段（finding）称“麻黄汤亦载‘覆取微似汗’……说明发汗表现受配伍、煎服法与取汗要求共同制约”，其中“煎服法”一词所引 claim 01a0f7c5-762d-752a-9516-3f4a38ecfde4、01a0f7c5-91bc-7be7-a976-54c6809a6e5c、01a0f7c5-ae46-7b84-b684-67a3f015eaf7 的证据虽载有煎服法原文，但未直接分析煎服法对发汗强度的制约作用；该句将“载有煎服法”扩展为“煎服法共同制约发汗表现”，属于对证据的适度解释，尚可接受，但建议明确表述为“教材载有不同煎服法与取汗要求，提示发汗表现不能仅由麻黄用量判定”，避免过度断言。</w:t>
      </w:r>
    </w:p>
    <w:p>
      <w:pPr>
        <w:pStyle w:val="Heading1"/>
        <w:keepNext/>
        <w:pageBreakBefore/>
      </w:pPr>
      <w:r>
        <w:t xml:space="preserve">附录：已审计观点</w:t>
      </w:r>
    </w:p>
    <w:p>
      <w:pPr>
        <w:pStyle w:val="Normal"/>
      </w:pPr>
      <w:r>
        <w:t xml:space="preserve">高可信结论：7 条</w:t>
      </w:r>
    </w:p>
    <w:p>
      <w:pPr>
        <w:pStyle w:val="Normal"/>
      </w:pPr>
      <w:r>
        <w:t xml:space="preserve">条件性结论：0 条</w:t>
      </w:r>
    </w:p>
    <w:p>
      <w:pPr>
        <w:pStyle w:val="Normal"/>
      </w:pPr>
      <w:r>
        <w:t xml:space="preserve">争议结论：0 条</w:t>
      </w:r>
    </w:p>
    <w:p>
      <w:pPr>
        <w:pStyle w:val="Normal"/>
      </w:pPr>
      <w:r>
        <w:t xml:space="preserve">未支持结论：0 条</w:t>
      </w:r>
    </w:p>
    <w:p>
      <w:pPr>
        <w:pStyle w:val="Normal"/>
      </w:pPr>
      <w:r>
        <w:t xml:space="preserve">未解决问题：2 条</w:t>
      </w:r>
    </w:p>
    <w:p>
      <w:pPr>
        <w:pStyle w:val="Normal"/>
      </w:pPr>
      <w:r>
        <w:t xml:space="preserve">分类沿用已审计的断言。争议与未验证内容不作为确定事实。</w:t>
      </w:r>
    </w:p>
    <w:p>
      <w:pPr>
        <w:pStyle w:val="Heading1"/>
        <w:keepNext/>
      </w:pPr>
      <w:r>
        <w:t xml:space="preserve">高可信结论</w:t>
      </w:r>
    </w:p>
    <w:p>
      <w:pPr>
        <w:pStyle w:val="Heading2"/>
        <w:keepNext/>
      </w:pPr>
      <w:bookmarkStart w:id="34" w:name="claim01a0f7c5762d74339661b347c6ffb8ff"/>
      <w:r>
        <w:t xml:space="preserve">即使承认大青龙汤麻黄古制用量为麻黄汤的两倍，也不能据此推出发汗强度必然为两倍：两方在桂枝、杏仁、甘草用量及是否配伍石膏、生姜、大枣上均有差异，且大青龙汤方解明言麻黄得石膏则辛温发表而无助热之弊，说明石膏参与制约发汗发表之性，故发汗强度不是麻黄单味药量的简单比例。</w:t>
      </w:r>
      <w:bookmarkEnd w:id="34"/>
    </w:p>
    <w:p>
      <w:pPr>
        <w:pStyle w:val="Normal"/>
      </w:pPr>
      <w:r>
        <w:t xml:space="preserve">断言 01a0f7c5-762d-7433-9661-b347c6ffb8ff；角色 Classicist；审计 SUPPORTED；理由 01a0f7c5-c436-77d8-8a27-5c25c70c52a2</w:t>
      </w:r>
    </w:p>
    <w:p>
      <w:pPr>
        <w:pStyle w:val="Normal"/>
      </w:pPr>
      <w:r>
        <w:t xml:space="preserve">审计说明：证据显示大青龙汤麻黄用量为麻黄汤之倍，但两方在桂枝、杏仁、甘草用量及石膏、生姜、大枣配伍上均有差异；方解明言“麻黄得石膏，辛温发表而无助热之弊”，且大青龙汤要求“取微似汗”“汗出多者，温粉扑之”，说明石膏参与制约发汗发表之性，发汗强度并非麻黄单味药量的简单比例。</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Link"/>
      </w:pPr>
      <w:hyperlink w:anchor="evidence01a0f68be48e7f22b77820ef1354026a">
        <w:r>
          <w:rPr>
            <w:color w:val="0563C1"/>
            <w:u w:val="single"/>
          </w:rPr>
          <w:t xml:space="preserve">引用证据：《方剂学（麻黄汤与大青龙汤研究）》，来源修订 2，定位 路径 paragraph:157、页 1、段 157 至 路径 paragraph:164、页 1、段 164，证据修订 01a0f68b-e48e-7f22-b778-20ef1354026a</w:t>
        </w:r>
      </w:hyperlink>
    </w:p>
    <w:p>
      <w:pPr>
        <w:pStyle w:val="Heading2"/>
        <w:keepNext/>
      </w:pPr>
      <w:bookmarkStart w:id="39" w:name="claim01a0f7c5762d752a95163f4a38ecfde4"/>
      <w:r>
        <w:t xml:space="preserve">教材对两方发汗作用的表述是定性比较而非倍数比较：麻黄汤被称为辛温发汗之峻剂、辛温发汗法之基础方，大青龙汤则被称为发汗之功居解表诸方之冠，并强调取微似汗、汗出多者温粉扑之、一服汗者停后服，说明其发汗强度受方剂定位与服法控制，不能由麻黄用量直接换算为两倍。</w:t>
      </w:r>
      <w:bookmarkEnd w:id="39"/>
    </w:p>
    <w:p>
      <w:pPr>
        <w:pStyle w:val="Normal"/>
      </w:pPr>
      <w:r>
        <w:t xml:space="preserve">断言 01a0f7c5-762d-752a-9516-3f4a38ecfde4；角色 Classicist；审计 SUPPORTED；理由 01a0f7c5-ce15-7d8e-8826-741c7a3663b5</w:t>
      </w:r>
    </w:p>
    <w:p>
      <w:pPr>
        <w:pStyle w:val="Normal"/>
      </w:pPr>
      <w:r>
        <w:t xml:space="preserve">审计说明：证据中麻黄汤被称为辛温发汗之峻剂、辛温发汗法之基础方，大青龙汤被称为发汗之功居解表诸方之冠，并载取微似汗、汗出多者温粉扑之、一服汗者停后服，均为定性表述与服法控制，未将两方发汗作用表述为倍数比较。</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Link"/>
      </w:pPr>
      <w:hyperlink w:anchor="evidence01a0f68be48e7f22b77820ef1354026a">
        <w:r>
          <w:rPr>
            <w:color w:val="0563C1"/>
            <w:u w:val="single"/>
          </w:rPr>
          <w:t xml:space="preserve">引用证据：《方剂学（麻黄汤与大青龙汤研究）》，来源修订 2，定位 路径 paragraph:157、页 1、段 157 至 路径 paragraph:164、页 1、段 164，证据修订 01a0f68b-e48e-7f22-b778-20ef1354026a</w:t>
        </w:r>
      </w:hyperlink>
    </w:p>
    <w:p>
      <w:pPr>
        <w:pStyle w:val="Heading2"/>
        <w:keepNext/>
      </w:pPr>
      <w:bookmarkStart w:id="44" w:name="claim01a0f7c591bc7be7a97654c6809a6e5c"/>
      <w:r>
        <w:t xml:space="preserve">教材对两方发汗力的表述是定性而非定量：麻黄汤为“辛温发汗之峻剂”，大青龙汤“发汗之功居解表诸方之冠”，并强调“一服得汗者，停后服”“取微似汗”“汗出多者，温粉扑之”。这些表述说明发汗强度受配伍、煎服法与取汗要求共同制约，不能仅凭麻黄用量倍数推出“必然两倍”。</w:t>
      </w:r>
      <w:bookmarkEnd w:id="44"/>
    </w:p>
    <w:p>
      <w:pPr>
        <w:pStyle w:val="Normal"/>
      </w:pPr>
      <w:r>
        <w:t xml:space="preserve">断言 01a0f7c5-91bc-7be7-a976-54c6809a6e5c；角色 HistoricalScholar；审计 SUPPORTED；理由 01a0f7c5-e91f-7ab6-a0c9-5589b1d50d50</w:t>
      </w:r>
    </w:p>
    <w:p>
      <w:pPr>
        <w:pStyle w:val="Normal"/>
      </w:pPr>
      <w:r>
        <w:t xml:space="preserve">审计说明：两段证据分别支持：麻黄汤被称为“辛温发汗之峻剂”，大青龙汤“发汗之功居解表诸方之冠”，并载有“一服得汗者，停后服”“取微似汗”“汗出多者，温粉扑之”等取汗要求；大青龙汤方解还说明麻黄“其量为麻黄汤之倍”但发汗力受石膏、配伍等制约，故不能仅凭麻黄用量倍数推出必然两倍。</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Link"/>
      </w:pPr>
      <w:hyperlink w:anchor="evidence01a0f68be48e7f22b77820ef1354026a">
        <w:r>
          <w:rPr>
            <w:color w:val="0563C1"/>
            <w:u w:val="single"/>
          </w:rPr>
          <w:t xml:space="preserve">引用证据：《方剂学（麻黄汤与大青龙汤研究）》，来源修订 2，定位 路径 paragraph:157、页 1、段 157 至 路径 paragraph:164、页 1、段 164，证据修订 01a0f68b-e48e-7f22-b778-20ef1354026a</w:t>
        </w:r>
      </w:hyperlink>
    </w:p>
    <w:p>
      <w:pPr>
        <w:pStyle w:val="Heading2"/>
        <w:keepNext/>
      </w:pPr>
      <w:bookmarkStart w:id="49" w:name="claim01a0f7c591bc7d6f8001757cb8e588c3"/>
      <w:r>
        <w:t xml:space="preserve">两方配伍结构不同：大青龙汤系由麻黄汤倍用麻黄、甘草，减少杏仁用量，再加石膏、生姜、大枣而成；方中石膏辛甘大寒，与麻黄相制，“麻黄得石膏，辛温发表而无助热之弊；石膏得麻黄，大寒清热而无凉遏之虞”。因此即使麻黄用量加倍，石膏的配伍制约也使发汗强度不能简单按麻黄用量成比例推断。</w:t>
      </w:r>
      <w:bookmarkEnd w:id="49"/>
    </w:p>
    <w:p>
      <w:pPr>
        <w:pStyle w:val="Normal"/>
      </w:pPr>
      <w:r>
        <w:t xml:space="preserve">断言 01a0f7c5-91bc-7d6f-8001-757cb8e588c3；角色 HistoricalScholar；审计 SUPPORTED；理由 01a0f7c5-f8c3-7315-bfa0-79ff4376460a</w:t>
      </w:r>
    </w:p>
    <w:p>
      <w:pPr>
        <w:pStyle w:val="Normal"/>
      </w:pPr>
      <w:r>
        <w:t xml:space="preserve">审计说明：原文明确记载大青龙汤由麻黄汤倍用麻黄、甘草，减少杏仁用量，再加石膏、生姜、大枣而成；并载有“麻黄得石膏，辛温发表而无助热之弊；石膏得麻黄，大寒清热而无凉遏之虞”及“倍用麻黄以确保其发汗之力”等表述，支持石膏配伍制约使发汗强度不能简单按麻黄用量成比例推断。</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Heading2"/>
        <w:keepNext/>
      </w:pPr>
      <w:bookmarkStart w:id="53" w:name="claim01a0f7c591bc7f60ae4b5473b7ac20ad"/>
      <w:r>
        <w:t xml:space="preserve">从古制剂量看，大青龙汤麻黄六两确为麻黄汤麻黄三两的两倍；但教材括注克数分别为12g与9g，并非两倍关系。教材明确说明括注克数“与原方古代剂量并非是度量衡制上的绝对等值换算，切忌以此推算古今剂量之换算标准”，故不能以括注克数直接推出发汗强度成倍。</w:t>
      </w:r>
      <w:bookmarkEnd w:id="53"/>
    </w:p>
    <w:p>
      <w:pPr>
        <w:pStyle w:val="Normal"/>
      </w:pPr>
      <w:r>
        <w:t xml:space="preserve">断言 01a0f7c5-91bc-7f60-ae4b-5473b7ac20ad；角色 HistoricalScholar；审计 SUPPORTED；理由 01a0f7c5-dc09-7d1f-9299-4e44f441be9e</w:t>
      </w:r>
    </w:p>
    <w:p>
      <w:pPr>
        <w:pStyle w:val="Normal"/>
      </w:pPr>
      <w:r>
        <w:t xml:space="preserve">审计说明：证据1显示大青龙汤麻黄六两(12g)，证据2显示麻黄汤麻黄三两(9g)，古制六两确为三两两倍，而括注克数12g与9g非两倍；证据3明确说明括注克数“与原方古代剂量并非是度量衡制上的绝对等值换算，切忌以此推算古今剂量之换算标准”，支持不能以括注克数直接推算。</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Link"/>
      </w:pPr>
      <w:hyperlink w:anchor="evidence01a0f68be48e7f22b77820ef1354026a">
        <w:r>
          <w:rPr>
            <w:color w:val="0563C1"/>
            <w:u w:val="single"/>
          </w:rPr>
          <w:t xml:space="preserve">引用证据：《方剂学（麻黄汤与大青龙汤研究）》，来源修订 2，定位 路径 paragraph:157、页 1、段 157 至 路径 paragraph:164、页 1、段 164，证据修订 01a0f68b-e48e-7f22-b778-20ef1354026a</w:t>
        </w:r>
      </w:hyperlink>
    </w:p>
    <w:p>
      <w:pPr>
        <w:pStyle w:val="Link"/>
      </w:pPr>
      <w:hyperlink w:anchor="evidence01a0f75f142e7cc2863c85f018be3f3d">
        <w:r>
          <w:rPr>
            <w:color w:val="0563C1"/>
            <w:u w:val="single"/>
          </w:rPr>
          <w:t xml:space="preserve">引用证据：《方剂学（麻黄汤与大青龙汤研究）》，来源修订 2，定位 路径 paragraph:136、页 1、段 136 至 路径 paragraph:140、页 1、段 140，证据修订 01a0f75f-142e-7cc2-863c-85f018be3f3d</w:t>
        </w:r>
      </w:hyperlink>
    </w:p>
    <w:p>
      <w:pPr>
        <w:pStyle w:val="Heading2"/>
        <w:keepNext/>
      </w:pPr>
      <w:bookmarkStart w:id="59" w:name="claim01a0f7c5ae467997b74d8a077889591f"/>
      <w:r>
        <w:t xml:space="preserve">从古制剂量看，大青龙汤麻黄六两确为麻黄汤麻黄三两的两倍；但教材括注克数分别为12g与9g，并非两倍关系，且教材明确括注剂量是参考当代临床习用剂量而定，并非古制剂的绝对等值换算，因此不能以括注克数直接推算两方麻黄用量的倍数关系。</w:t>
      </w:r>
      <w:bookmarkEnd w:id="59"/>
    </w:p>
    <w:p>
      <w:pPr>
        <w:pStyle w:val="Normal"/>
      </w:pPr>
      <w:r>
        <w:t xml:space="preserve">断言 01a0f7c5-ae46-7997-b74d-8a077889591f；角色 Theorist；审计 SUPPORTED；理由 01a0f7c6-0a19-7dcb-af81-fa94ca46d8b6</w:t>
      </w:r>
    </w:p>
    <w:p>
      <w:pPr>
        <w:pStyle w:val="Normal"/>
      </w:pPr>
      <w:r>
        <w:t xml:space="preserve">审计说明：证据1显示大青龙汤麻黄六两(12g)，证据2显示麻黄汤麻黄三两(9g)，古制六两确为三两两倍，但括注12g与9g非两倍；证据3明确括注克数参考当代临床习用剂量而定，并非古制绝对等值换算，切忌以此推算换算标准，支持不能以括注克数直接推算倍数关系。</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Link"/>
      </w:pPr>
      <w:hyperlink w:anchor="evidence01a0f68be48e7f22b77820ef1354026a">
        <w:r>
          <w:rPr>
            <w:color w:val="0563C1"/>
            <w:u w:val="single"/>
          </w:rPr>
          <w:t xml:space="preserve">引用证据：《方剂学（麻黄汤与大青龙汤研究）》，来源修订 2，定位 路径 paragraph:157、页 1、段 157 至 路径 paragraph:164、页 1、段 164，证据修订 01a0f68b-e48e-7f22-b778-20ef1354026a</w:t>
        </w:r>
      </w:hyperlink>
    </w:p>
    <w:p>
      <w:pPr>
        <w:pStyle w:val="Link"/>
      </w:pPr>
      <w:hyperlink w:anchor="evidence01a0f75f142e7cc2863c85f018be3f3d">
        <w:r>
          <w:rPr>
            <w:color w:val="0563C1"/>
            <w:u w:val="single"/>
          </w:rPr>
          <w:t xml:space="preserve">引用证据：《方剂学（麻黄汤与大青龙汤研究）》，来源修订 2，定位 路径 paragraph:136、页 1、段 136 至 路径 paragraph:140、页 1、段 140，证据修订 01a0f75f-142e-7cc2-863c-85f018be3f3d</w:t>
        </w:r>
      </w:hyperlink>
    </w:p>
    <w:p>
      <w:pPr>
        <w:pStyle w:val="Heading2"/>
        <w:keepNext/>
      </w:pPr>
      <w:bookmarkStart w:id="65" w:name="claim01a0f7c5ae467b84b68467a3f015eaf7"/>
      <w:r>
        <w:t xml:space="preserve">两方并非仅麻黄用量不同：大青龙汤由麻黄汤倍用麻黄、倍用甘草、减少杏仁用量，再加石膏、生姜、大枣而成；方中石膏与麻黄配伍，教材称“麻黄得石膏，辛温发表而无助热之弊”，且大青龙汤用法要求“取微似汗”“汗出多者，温粉扑之”“一服汗者，停后服”。因此，即使麻黄用量增加，其实际发汗表现也受石膏配伍与服法约束，不能仅凭麻黄用量倍数直接判定发汗强度倍数。</w:t>
      </w:r>
      <w:bookmarkEnd w:id="65"/>
    </w:p>
    <w:p>
      <w:pPr>
        <w:pStyle w:val="Normal"/>
      </w:pPr>
      <w:r>
        <w:t xml:space="preserve">断言 01a0f7c5-ae46-7b84-b684-67a3f015eaf7；角色 Theorist；审计 SUPPORTED；理由 01a0f7c6-11f7-7b45-bc0d-47373f91582a</w:t>
      </w:r>
    </w:p>
    <w:p>
      <w:pPr>
        <w:pStyle w:val="Normal"/>
      </w:pPr>
      <w:r>
        <w:t xml:space="preserve">审计说明：证据明确记载大青龙汤系由麻黄汤倍用麻黄、甘草，减少杏仁用量，再加石膏、生姜、大枣而成；并载有“麻黄得石膏，辛温发表而无助热之弊”及“取微似汗”“汗出多者，温粉扑之”“一服汗者，停后服”等用法要求，支持该断言。</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Link"/>
      </w:pPr>
      <w:hyperlink w:anchor="evidence01a0f68be48e7f22b77820ef1354026a">
        <w:r>
          <w:rPr>
            <w:color w:val="0563C1"/>
            <w:u w:val="single"/>
          </w:rPr>
          <w:t xml:space="preserve">引用证据：《方剂学（麻黄汤与大青龙汤研究）》，来源修订 2，定位 路径 paragraph:157、页 1、段 157 至 路径 paragraph:164、页 1、段 164，证据修订 01a0f68b-e48e-7f22-b778-20ef1354026a</w:t>
        </w:r>
      </w:hyperlink>
    </w:p>
    <w:p>
      <w:pPr>
        <w:pStyle w:val="Heading1"/>
        <w:keepNext/>
      </w:pPr>
      <w:r>
        <w:t xml:space="preserve">条件性结论</w:t>
      </w:r>
    </w:p>
    <w:p>
      <w:pPr>
        <w:pStyle w:val="Normal"/>
      </w:pPr>
      <w:r>
        <w:t xml:space="preserve">本类无断言。</w:t>
      </w:r>
    </w:p>
    <w:p>
      <w:pPr>
        <w:pStyle w:val="Heading1"/>
        <w:keepNext/>
      </w:pPr>
      <w:r>
        <w:t xml:space="preserve">争议结论</w:t>
      </w:r>
    </w:p>
    <w:p>
      <w:pPr>
        <w:pStyle w:val="Normal"/>
      </w:pPr>
      <w:r>
        <w:t xml:space="preserve">本类无断言。</w:t>
      </w:r>
    </w:p>
    <w:p>
      <w:pPr>
        <w:pStyle w:val="Heading1"/>
        <w:keepNext/>
      </w:pPr>
      <w:r>
        <w:t xml:space="preserve">未支持结论</w:t>
      </w:r>
    </w:p>
    <w:p>
      <w:pPr>
        <w:pStyle w:val="Normal"/>
      </w:pPr>
      <w:r>
        <w:t xml:space="preserve">本类无断言。</w:t>
      </w:r>
    </w:p>
    <w:p>
      <w:pPr>
        <w:pStyle w:val="Heading1"/>
        <w:keepNext/>
      </w:pPr>
      <w:r>
        <w:t xml:space="preserve">未解决问题</w:t>
      </w:r>
    </w:p>
    <w:p>
      <w:pPr>
        <w:pStyle w:val="Heading2"/>
        <w:keepNext/>
      </w:pPr>
      <w:bookmarkStart w:id="77" w:name="claim01a0f7c5762d7b99971cf575739fc03a"/>
      <w:r>
        <w:t xml:space="preserve">从古制剂量看，大青龙汤麻黄六两确为麻黄汤麻黄三两的两倍；但教材括注克数分别为12g与9g，并非两倍，且教材明确说明括注克数不是古制剂量的绝对等值换算，因此不能以括注克数直接推算两方麻黄用量的倍数关系。</w:t>
      </w:r>
      <w:bookmarkEnd w:id="77"/>
    </w:p>
    <w:p>
      <w:pPr>
        <w:pStyle w:val="Normal"/>
      </w:pPr>
      <w:r>
        <w:t xml:space="preserve">断言 01a0f7c5-762d-7b99-971c-f575739fc03a；角色 Classicist；审计 SUPPORTED；理由 01a0f7c7-7076-7535-8f0f-a3c0a7d01a44</w:t>
      </w:r>
    </w:p>
    <w:p>
      <w:pPr>
        <w:pStyle w:val="Normal"/>
      </w:pPr>
      <w:r>
        <w:t xml:space="preserve">审计说明：证据显示大青龙汤麻黄六两(12g)、麻黄汤麻黄三两(9g)，古制六两确为三两两倍而括注12g与9g非两倍；且教材明确括注克数为现代参考剂量，并非古剂量的绝对等值换算，切忌以此推算换算标准，故不能以括注克数直接推算两方麻黄用量倍数关系。</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Link"/>
      </w:pPr>
      <w:hyperlink w:anchor="evidence01a0f68be48e7f22b77820ef1354026a">
        <w:r>
          <w:rPr>
            <w:color w:val="0563C1"/>
            <w:u w:val="single"/>
          </w:rPr>
          <w:t xml:space="preserve">引用证据：《方剂学（麻黄汤与大青龙汤研究）》，来源修订 2，定位 路径 paragraph:157、页 1、段 157 至 路径 paragraph:164、页 1、段 164，证据修订 01a0f68b-e48e-7f22-b778-20ef1354026a</w:t>
        </w:r>
      </w:hyperlink>
    </w:p>
    <w:p>
      <w:pPr>
        <w:pStyle w:val="Link"/>
      </w:pPr>
      <w:hyperlink w:anchor="evidence01a0f75f142e7cc2863c85f018be3f3d">
        <w:r>
          <w:rPr>
            <w:color w:val="0563C1"/>
            <w:u w:val="single"/>
          </w:rPr>
          <w:t xml:space="preserve">引用证据：《方剂学（麻黄汤与大青龙汤研究）》，来源修订 2，定位 路径 paragraph:136、页 1、段 136 至 路径 paragraph:140、页 1、段 140，证据修订 01a0f75f-142e-7cc2-863c-85f018be3f3d</w:t>
        </w:r>
      </w:hyperlink>
    </w:p>
    <w:p>
      <w:pPr>
        <w:pStyle w:val="Normal"/>
      </w:pPr>
      <w:r>
        <w:t xml:space="preserve">证据缺口：01a0f7c7-7076-7535-8f0f-a3c0a7d01a44</w:t>
      </w:r>
    </w:p>
    <w:p>
      <w:pPr>
        <w:pStyle w:val="Heading2"/>
        <w:keepNext/>
      </w:pPr>
      <w:bookmarkStart w:id="84" w:name="claim01a0f7c5ae4679f091c286b3b2d494e0"/>
      <w:r>
        <w:t xml:space="preserve">推论：在可见证据范围内，“大青龙汤原方麻黄用量是麻黄汤的两倍，因此发汗强度也必然是两倍”这一推断不能成立。前提是：方剂功用由配伍关系与药力共同决定，且教材括注克数非古制绝对换算；边界是：证据仅支持两方在麻黄古制用量上存在两倍差异，并提示配伍、服法及“取微似汗”等要求会影响发汗表现，但未提供可直接量化发汗强度的数据，故不能把用量倍数等同于发汗强度倍数。</w:t>
      </w:r>
      <w:bookmarkEnd w:id="84"/>
    </w:p>
    <w:p>
      <w:pPr>
        <w:pStyle w:val="Normal"/>
      </w:pPr>
      <w:r>
        <w:t xml:space="preserve">断言 01a0f7c5-ae46-79f0-91c2-86b3b2d494e0；角色 Theorist；审计 SUPPORTED；理由 01a0f7c7-7080-7158-9457-1abb401ec982</w:t>
      </w:r>
    </w:p>
    <w:p>
      <w:pPr>
        <w:pStyle w:val="Normal"/>
      </w:pPr>
      <w:r>
        <w:t xml:space="preserve">审计说明：证据1明确大青龙汤麻黄“其量为麻黄汤之倍”，并载“取微似汗”“汗出多者，温粉扑之”等服法要求；证据2说明配伍关系是决定方剂功用的主要因素、药量变化会影响配伍与功用；证据3说明教材括注克数非古制绝对换算。三者共同支持：仅凭麻黄用量两倍不能推出“发汗强度必然两倍”，且未提供量化发汗强度数据。</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Link"/>
      </w:pPr>
      <w:hyperlink w:anchor="evidence01a0f75f12ee7281a0436f5f462d13e7">
        <w:r>
          <w:rPr>
            <w:color w:val="0563C1"/>
            <w:u w:val="single"/>
          </w:rPr>
          <w:t xml:space="preserve">引用证据：《方剂学（麻黄汤与大青龙汤研究）》，来源修订 2，定位 路径 paragraph:116、页 1、段 116 至 路径 paragraph:120、页 1、段 120，证据修订 01a0f75f-12ee-7281-a043-6f5f462d13e7</w:t>
        </w:r>
      </w:hyperlink>
    </w:p>
    <w:p>
      <w:pPr>
        <w:pStyle w:val="Link"/>
      </w:pPr>
      <w:hyperlink w:anchor="evidence01a0f75f142e7cc2863c85f018be3f3d">
        <w:r>
          <w:rPr>
            <w:color w:val="0563C1"/>
            <w:u w:val="single"/>
          </w:rPr>
          <w:t xml:space="preserve">引用证据：《方剂学（麻黄汤与大青龙汤研究）》，来源修订 2，定位 路径 paragraph:136、页 1、段 136 至 路径 paragraph:140、页 1、段 140，证据修订 01a0f75f-142e-7cc2-863c-85f018be3f3d</w:t>
        </w:r>
      </w:hyperlink>
    </w:p>
    <w:p>
      <w:pPr>
        <w:pStyle w:val="Normal"/>
      </w:pPr>
      <w:r>
        <w:t xml:space="preserve">证据缺口：01a0f7c7-7080-7158-9457-1abb401ec982</w:t>
      </w:r>
    </w:p>
    <w:p>
      <w:pPr>
        <w:pStyle w:val="Heading1"/>
        <w:keepNext/>
      </w:pPr>
      <w:r>
        <w:t xml:space="preserve">争议与限制</w:t>
      </w:r>
    </w:p>
    <w:p>
      <w:pPr>
        <w:pStyle w:val="Normal"/>
      </w:pPr>
      <w:r>
        <w:t xml:space="preserve">缺口 01a0f7c7-7076-7535-8f0f-a3c0a7d01a44，断言 01a0f7c5-762d-7b99-971c-f575739fc03a：CRITIQUE_EVIDENCE_GAP，该 Claim 断言“不能以括注克数直接推算两方麻黄用量的倍数关系”，但所引证据仅说明括注克数非古制绝对等值换算、不可据以推算古今换算标准，并未直接讨论“两方麻黄用量倍数关系”能否由括注克数推算。教材原文的告诫针对的是古今度量衡折算，而非方间用量比较；将“不可推算古今换算标准”扩展为“不可推算两方用量倍数”属于对告诫适用范围的延伸，缺少直接文本依据。</w:t>
      </w:r>
    </w:p>
    <w:p>
      <w:pPr>
        <w:pStyle w:val="Normal"/>
      </w:pPr>
      <w:r>
        <w:t xml:space="preserve">缺口 01a0f7c7-7080-7158-9457-1abb401ec982，断言 01a0f7c5-ae46-79f0-91c2-86b3b2d494e0：CRITIQUE_EVIDENCE_GAP，该推论 Claim 的边界声明称“证据仅支持两方在麻黄古制用量上存在两倍差异”，但未处理煎服法差异对可比性的影响：麻黄汤“煮取二升半……温服八合”（约三服），大青龙汤“煮取三升……温服一升”（约三服），两方每次服用所摄取的麻黄量是否仍为两倍，取决于总煎出量与分服次数的对应关系。Claim 将“原方麻黄用量两倍”直接等同于“每次服用麻黄量两倍”，未说明这一口径问题，存在证据链缺口。</w:t>
      </w:r>
    </w:p>
    <w:p>
      <w:pPr>
        <w:pStyle w:val="Normal"/>
      </w:pPr>
      <w:r>
        <w:t xml:space="preserve">另有 0 条未审定断言未进入综合。</w:t>
      </w:r>
    </w:p>
    <w:p>
      <w:pPr>
        <w:pStyle w:val="Heading1"/>
        <w:keepNext/>
      </w:pPr>
      <w:r>
        <w:t xml:space="preserve">原文证据与定位</w:t>
      </w:r>
    </w:p>
    <w:p>
      <w:pPr>
        <w:pStyle w:val="Heading2"/>
        <w:keepNext/>
      </w:pPr>
      <w:bookmarkStart w:id="96" w:name="evidence01a0f68be48e7f22b77820ef1354026a"/>
      <w:r>
        <w:t xml:space="preserve">证据 1 《方剂学（麻黄汤与大青龙汤研究）》</w:t>
      </w:r>
      <w:bookmarkEnd w:id="96"/>
    </w:p>
    <w:p>
      <w:pPr>
        <w:pStyle w:val="Normal"/>
      </w:pPr>
      <w:r>
        <w:t xml:space="preserve">《方剂学（麻黄汤与大青龙汤研究）》，来源修订 2，定位 路径 paragraph:157、页 1、段 157 至 路径 paragraph:164、页 1、段 164，证据修订 01a0f68b-e48e-7f22-b778-20ef1354026a</w:t>
      </w:r>
    </w:p>
    <w:p>
      <w:pPr>
        <w:pStyle w:val="Quote"/>
      </w:pPr>
      <w:r>
        <w:t xml:space="preserve">【组成】麻黄去节，三两(9g)桂枝去皮，二两(6g)杏仁去皮尖，七十个(9g)甘草炙，一两(3g)</w:t>
      </w:r>
      <w:r>
        <w:br/>
        <w:t xml:space="preserve">【用法】上四味，以水九升，先煮麻黄，减二升，去上沫，内诸药，煮取二升半，去滓，温</w:t>
      </w:r>
      <w:r>
        <w:br/>
        <w:t xml:space="preserve">服八合。覆取微似汗，不须啜粥，余如桂枝法将息(现代用法：水煎服，温覆取微汗)。</w:t>
      </w:r>
      <w:r>
        <w:br/>
        <w:t xml:space="preserve">【功用】发汗解表，宣肺平喘。</w:t>
      </w:r>
      <w:r>
        <w:br/>
        <w:t xml:space="preserve">【主治】外感风寒表实证。恶寒发热，头身疼痛，无汗而喘，舌苔薄白，脉浮紧。</w:t>
      </w:r>
      <w:r>
        <w:br/>
        <w:t xml:space="preserve">【证治机理】本证系由风寒束表，肺气失宣所致。风寒之邪侵袭肌表，营卫首当其冲，寒性</w:t>
      </w:r>
      <w:r>
        <w:br/>
        <w:t xml:space="preserve">收引凝滞，致使卫阳被遏，营阴郁滞，即卫闭营郁。卫气抗邪，正邪相争，则恶寒、发热；营卫</w:t>
      </w:r>
      <w:r>
        <w:br/>
        <w:t xml:space="preserve">不畅，腠理闭塞，经脉不通，则无汗、头痛、身痛、骨节疼痛；皮毛内合于肺，寒邪束表，肺气</w:t>
      </w:r>
      <w:r>
        <w:br/>
        <w:t xml:space="preserve">不宣，则上逆为喘；舌苔薄白，脉浮紧，皆是风寒束表之象。法当发汗解表，宣肺平喘。</w:t>
      </w:r>
      <w:r>
        <w:br/>
        <w:t xml:space="preserve">【方解】方中麻黄辛温，《本草纲目》谓其“肺经之专药”,为发汗之峻剂，既开腠理、透毛</w:t>
      </w:r>
      <w:r>
        <w:br/>
        <w:t xml:space="preserve">窍，发汗以祛在表之风寒；又开宣肺气，宣散肺经风寒而平喘，为君药。风寒外束，卫闭营郁，</w:t>
      </w:r>
      <w:r>
        <w:br/>
        <w:t xml:space="preserve">仅以麻黄开表散寒，恐难解营郁之滞，遂臣以辛温而甘之桂枝解肌发表，通达营卫，既助麻黄发</w:t>
      </w:r>
      <w:r>
        <w:br/>
        <w:t xml:space="preserve">汗散寒之力，又可温通营卫之郁。麻黄、桂枝相须为用，发汗之力较强，可使风寒去而营卫和。</w:t>
      </w:r>
      <w:r>
        <w:br/>
        <w:t xml:space="preserve">肺主宣降，肺气郁闭，宣降失常，故又佐以杏仁利肺平喘，与麻黄相伍，一宣一降，以复肺气宣</w:t>
      </w:r>
      <w:r>
        <w:br/>
        <w:t xml:space="preserve">降之权而平喘，又使邪气去而肺气和。使以炙甘草，既调和药性，又缓麻、桂峻烈之性，使汗出</w:t>
      </w:r>
      <w:r>
        <w:br/>
        <w:t xml:space="preserve">而不致耗伤正气。四药相伍，麻桂相须，腠开营畅，麻杏相使，宣降得宜，使风寒得散，肺气得</w:t>
      </w:r>
      <w:r>
        <w:br/>
        <w:t xml:space="preserve">宣，诸症可愈。</w:t>
      </w:r>
      <w:r>
        <w:br/>
        <w:t xml:space="preserve">【运用】本方既为治疗外感风寒表实证之代表方，又为辛温发汗法之基础方。以恶寒发热，</w:t>
      </w:r>
      <w:r>
        <w:br/>
        <w:t xml:space="preserve">无汗而喘，脉浮紧为辨证要点。本方为辛温发汗之峻剂，当中病即止，不可过服。柯琴指出：</w:t>
      </w:r>
      <w:r>
        <w:br/>
        <w:t xml:space="preserve">“此乃纯阳之剂，过于发散，如单刀直入之将，投之恰当，一战成功，不当则不戢而招祸。故用</w:t>
      </w:r>
      <w:r>
        <w:br/>
        <w:t xml:space="preserve">之发表，可一而不可再。”(《伤寒来苏集》)对于“疮家”“淋家”“衄家”“亡血家”,以及外感表</w:t>
      </w:r>
      <w:r>
        <w:br/>
        <w:t xml:space="preserve">虚自汗、血虚而脉兼“尺中迟”、或误下而见“身重心悸”等，虽有表寒证，亦皆应禁用。</w:t>
      </w:r>
    </w:p>
    <w:p>
      <w:pPr>
        <w:pStyle w:val="Normal"/>
      </w:pPr>
      <w:r>
        <w:t xml:space="preserve">来源 ID 01a0f5ce-fd1e-7f42-85ed-020d3de18a1c；来源修订 ID 01a0f5f1-ea2e-773b-a8d2-4dcbd42c35cc；文本片段修订 ID 01a0f5f2-d2a3-70b4-ac0d-b899a76f5dd1, 01a0f5f2-d2a3-72ee-ab6a-991cfbedbb0c, 01a0f5f2-d2a3-71c5-811d-e371f6774fee, 01a0f5f2-d2a3-7fa7-bb7d-923ef50e80f7, 01a0f5f2-d2a3-7dc5-aff8-fe3ddf2421dd, 01a0f5f2-d2a3-7675-86f0-3d3550983396, 01a0f5f2-d2a4-7c63-8abd-754cf42e9da4, 01a0f5f2-d2a4-7563-9221-a6b5b0f36309</w:t>
      </w:r>
    </w:p>
    <w:p>
      <w:pPr>
        <w:pStyle w:val="Heading2"/>
        <w:keepNext/>
      </w:pPr>
      <w:bookmarkStart w:id="100" w:name="evidence01a0f68d64847e989118d6bc2bb2cfaa"/>
      <w:r>
        <w:t xml:space="preserve">证据 2 《方剂学（麻黄汤与大青龙汤研究）》</w:t>
      </w:r>
      <w:bookmarkEnd w:id="100"/>
    </w:p>
    <w:p>
      <w:pPr>
        <w:pStyle w:val="Normal"/>
      </w:pPr>
      <w:r>
        <w:t xml:space="preserve">《方剂学（麻黄汤与大青龙汤研究）》，来源修订 2，定位 路径 paragraph:180、页 1、段 180 至 路径 paragraph:194、页 1、段 194，证据修订 01a0f68d-6484-7e98-9118-d6bc2bb2cfaa</w:t>
      </w:r>
    </w:p>
    <w:p>
      <w:pPr>
        <w:pStyle w:val="Quote"/>
      </w:pPr>
      <w:r>
        <w:t xml:space="preserve">【组成】麻黄去节，六两(12g) 桂枝二两(6g)甘草炙，二两(6g)杏仁去皮尖，四十粒(6g)石</w:t>
      </w:r>
      <w:r>
        <w:br/>
        <w:t xml:space="preserve">膏如鸡子大，碎(18g)生姜三两(9g)大枣十二枚，擘(6g)</w:t>
      </w:r>
      <w:r>
        <w:br/>
        <w:t xml:space="preserve">【用法】上七味，以水九升，先煮麻黄，减二升，去上沫，内诸药，煮取三升，去滓，温服</w:t>
      </w:r>
      <w:r>
        <w:br/>
        <w:t xml:space="preserve">一升，取微似汗。汗出多者，温粉扑之。一服汗者，停后服。若复服，汗多亡阳，遂虚，恶风烦</w:t>
      </w:r>
      <w:r>
        <w:br/>
        <w:t xml:space="preserve">躁，不得眠也(现代用法：水煎温服，取微汗)。</w:t>
      </w:r>
      <w:r>
        <w:br/>
        <w:t xml:space="preserve">【功用】发汗解表，兼清里热。</w:t>
      </w:r>
      <w:r>
        <w:br/>
        <w:t xml:space="preserve">【主治】</w:t>
      </w:r>
      <w:r>
        <w:br/>
        <w:t xml:space="preserve">1.外感风寒，内有郁热证。恶寒发热，头身疼痛，不汗出而烦躁，脉浮紧。</w:t>
      </w:r>
      <w:r>
        <w:br/>
        <w:t xml:space="preserve">2.溢饮。身体疼重，或四肢浮肿，恶寒身热，无汗，烦躁，脉浮紧。</w:t>
      </w:r>
      <w:r>
        <w:br/>
        <w:t xml:space="preserve">【证治机理】风寒束表，卫阳被遏，营阴郁滞，毛窍闭塞，故见恶寒发热、头身疼痛、无</w:t>
      </w:r>
      <w:r>
        <w:br/>
        <w:t xml:space="preserve">汗、脉浮紧之风寒表实证。表寒证又与烦躁、口渴并见，当系阳盛之体，外受风寒，寒邪较甚，</w:t>
      </w:r>
      <w:r>
        <w:br/>
        <w:t xml:space="preserve">表气闭郁较重，致使阳气内郁而化热，热邪伤津则口渴；热无宣泄之径，扰于胸中则烦，烦甚</w:t>
      </w:r>
      <w:r>
        <w:br/>
        <w:t xml:space="preserve">则躁。正如张秉成所谓：“阳盛之人，外为风寒骤加，则阳气内郁而不伸，故见燥烦不宁之象。”</w:t>
      </w:r>
      <w:r>
        <w:br/>
        <w:t xml:space="preserve">(《成方便读》)此证为风寒束表，里有郁热。法当发汗解表为主，兼清郁热。</w:t>
      </w:r>
      <w:r>
        <w:br/>
        <w:t xml:space="preserve">《金匮要略》又以本方治疗外感风寒，水饮内郁化热之溢饮。溢饮乃“饮水流行，归于四</w:t>
      </w:r>
      <w:r>
        <w:br/>
        <w:t xml:space="preserve">肢，当汗出而不汗出，身体疼重”之病证。风寒外束，水饮溢于四肢，则身体疼痛或浮肿，饮邪</w:t>
      </w:r>
      <w:r>
        <w:br/>
        <w:t xml:space="preserve">郁而化热则烦躁。二者病症虽异，但同属风寒束表、里有郁热之证，故皆用本方以异病同治。</w:t>
      </w:r>
      <w:r>
        <w:br/>
        <w:t xml:space="preserve">【方解】方中麻黄为君，发汗解表、宣肺平喘、利水消肿，其量为麻黄汤之倍，则开泄腠</w:t>
      </w:r>
      <w:r>
        <w:br/>
        <w:t xml:space="preserve">理，发汗散寒之力尤峻。桂枝辛温，解肌发汗，助麻黄解表而和营卫；石膏辛甘而寒，清里热并</w:t>
      </w:r>
      <w:r>
        <w:br/>
        <w:t xml:space="preserve">透郁热，二者同为臣药。麻黄得石膏，辛温发表而无助热之弊；石膏得麻黄，大寒清热而无凉遏</w:t>
      </w:r>
      <w:r>
        <w:br/>
        <w:t xml:space="preserve">之虞。杏仁降利肺气，与麻黄相合，宣降肺气，以适肺性；生姜、大枣合用则和脾胃、调营卫，</w:t>
      </w:r>
      <w:r>
        <w:br/>
        <w:t xml:space="preserve">兼助解表、益汗源，共为佐药。甘草益气和中，既缓辛温峻散之力，又调和诸药，且防石膏寒凉</w:t>
      </w:r>
      <w:r>
        <w:br/>
        <w:t xml:space="preserve">伤中，为佐使药。诸药相伍，寒温并用，发汗散寒之中又兼清解里热之效。</w:t>
      </w:r>
      <w:r>
        <w:br/>
        <w:t xml:space="preserve">本方麻黄发汗解表，桂枝温阳化气，生姜温胃散水，皆助麻黄发汗行水。麻黄、杏仁宣降肺</w:t>
      </w:r>
      <w:r>
        <w:br/>
        <w:t xml:space="preserve">气以通调水道；石膏清泄溢饮郁热；姜、枣、草益气和中，和营卫，运化水湿。全方发汗解表，</w:t>
      </w:r>
      <w:r>
        <w:br/>
        <w:t xml:space="preserve">宣通腠理，开鬼门以发越水气；宣降肺气，通调水道以利湿化饮，故亦治溢饮有表证兼里热者。</w:t>
      </w:r>
      <w:r>
        <w:br/>
        <w:t xml:space="preserve">【运用】本方为治疗外感风寒，里兼郁热证之常用方。以恶寒发热，无汗，烦躁，脉浮紧为</w:t>
      </w:r>
      <w:r>
        <w:br/>
        <w:t xml:space="preserve">辨证要点。表虚者，不可用，故原书强调：“若脉微弱，汗出恶风者，不可服。”本方发汗之功居</w:t>
      </w:r>
      <w:r>
        <w:br/>
        <w:t xml:space="preserve">解表诸方之冠，故“一服得汗者，停后服”,以防过剂；原书要求“取微似汗”“汗出多者，温粉</w:t>
      </w:r>
      <w:r>
        <w:br/>
        <w:t xml:space="preserve">扑之”。</w:t>
      </w:r>
      <w:r>
        <w:br/>
        <w:t xml:space="preserve">【鉴别】大青龙汤与麻黄汤均可治疗外感风寒表实证，同用麻黄、桂枝辛温解表发汗。然大</w:t>
      </w:r>
      <w:r>
        <w:br/>
        <w:t xml:space="preserve">青龙汤系由麻黄汤倍用麻黄、甘草，减少杏仁用量，再加石膏、生姜、大枣而成。证属风寒重</w:t>
      </w:r>
      <w:r>
        <w:br/>
        <w:t xml:space="preserve">证，兼内有郁热，故方中配以辛甘大寒之石膏以清解内热；且倍用麻黄以确保其发汗之力；减杏</w:t>
      </w:r>
      <w:r>
        <w:br/>
        <w:t xml:space="preserve">仁用量，乃因无喘逆之症。</w:t>
      </w:r>
      <w:r>
        <w:br/>
        <w:t xml:space="preserve">【方论选录】此即加味麻黄汤也。诸症全是麻黄，而有喘与烦躁之不同。喘者是寒郁其气，</w:t>
      </w:r>
      <w:r>
        <w:br/>
        <w:t xml:space="preserve">升降不得自如，故多杏仁之苦以降气；烦躁是热伤其气，无津不能作汗，故特加石膏之甘以生</w:t>
      </w:r>
      <w:r>
        <w:br/>
        <w:t xml:space="preserve">津。然其质沉，其性寒，恐其内热顿除，而外之表邪不解，变为寒中而协热下利，是引贼破家</w:t>
      </w:r>
      <w:r>
        <w:br/>
        <w:t xml:space="preserve">矣。故必倍麻黄以发汗，又倍甘草以和中，更用姜、枣以调营卫，一汗而表里双解，风热两除。</w:t>
      </w:r>
      <w:r>
        <w:br/>
        <w:t xml:space="preserve">此大青龙清内攘外之功，所以佐麻、桂二方之不及也。(柯琴《伤寒来苏集·伤寒论注》卷二)</w:t>
      </w:r>
    </w:p>
    <w:p>
      <w:pPr>
        <w:pStyle w:val="Normal"/>
      </w:pPr>
      <w:r>
        <w:t xml:space="preserve">来源 ID 01a0f5ce-fd1e-7f42-85ed-020d3de18a1c；来源修订 ID 01a0f5f1-ea2e-773b-a8d2-4dcbd42c35cc；文本片段修订 ID 01a0f5f2-d2a8-7a59-b945-9dd2d048bd0c, 01a0f5f2-d2a8-73c4-ad86-b4acfc52ffc4, 01a0f5f2-d2a8-797b-b453-632327da091b, 01a0f5f2-d2a8-7b26-bf7d-d88b30174a19, 01a0f5f2-d2a8-7a18-a20f-ff86afbff825, 01a0f5f2-d2a8-72a1-9bf5-da7624b99db9, 01a0f5f2-d2a8-7c85-bc73-9e46272b8e9a, 01a0f5f2-d2a9-770e-92cf-1c4f7f941ac0, 01a0f5f2-d2a9-7910-bad6-88bfb9f7a6f1, 01a0f5f2-d2a9-74dd-bd42-917a5f8fa634, 01a0f5f2-d2a9-70e2-82a5-1e32ce8b6de1, 01a0f5f2-d2a9-772f-8853-bb0757fe59a1, 01a0f5f2-d2a9-7572-94a9-5879657ec562, 01a0f5f2-d2aa-7c38-97c5-9c4eb3b67e2b, 01a0f5f2-d2aa-74f3-aa5f-d83c02931f04</w:t>
      </w:r>
    </w:p>
    <w:p>
      <w:pPr>
        <w:pStyle w:val="Heading2"/>
        <w:keepNext/>
      </w:pPr>
      <w:bookmarkStart w:id="104" w:name="evidence01a0f75f12ee7281a0436f5f462d13e7"/>
      <w:r>
        <w:t xml:space="preserve">证据 3 《方剂学（麻黄汤与大青龙汤研究）》</w:t>
      </w:r>
      <w:bookmarkEnd w:id="104"/>
    </w:p>
    <w:p>
      <w:pPr>
        <w:pStyle w:val="Normal"/>
      </w:pPr>
      <w:r>
        <w:t xml:space="preserve">《方剂学（麻黄汤与大青龙汤研究）》，来源修订 2，定位 路径 paragraph:116、页 1、段 116 至 路径 paragraph:120、页 1、段 120，证据修订 01a0f75f-12ee-7281-a043-6f5f462d13e7</w:t>
      </w:r>
    </w:p>
    <w:p>
      <w:pPr>
        <w:pStyle w:val="Quote"/>
      </w:pPr>
      <w:r>
        <w:t xml:space="preserve">二、方剂的变化</w:t>
      </w:r>
      <w:r>
        <w:br/>
        <w:t xml:space="preserve">方剂的组成是根据病情的需要及患者体质、性别、年龄之不同，并参照季节与气候的变化、</w:t>
      </w:r>
      <w:r>
        <w:br/>
        <w:t xml:space="preserve">地域的差异等因素而确定的。因此，运用成方，或遣药组方时，必须因病、因人、因时、因地制</w:t>
      </w:r>
      <w:r>
        <w:br/>
        <w:t xml:space="preserve">宜，将原则性和灵活性相结合，使方药与病证丝丝入扣，做到师其法而不泥其方。徐大椿在《医</w:t>
      </w:r>
      <w:r>
        <w:br/>
        <w:t xml:space="preserve">学源流论》中亦云：“欲用古方，必先审病者所患之症，悉与古方前所陈列之症皆合，更检方中</w:t>
      </w:r>
      <w:r>
        <w:br/>
        <w:t xml:space="preserve">所用之药，无一不与所现之症相合，然后施用，否则必须加减，无可加减，则另择一方。”临证</w:t>
      </w:r>
      <w:r>
        <w:br/>
        <w:t xml:space="preserve">遣方，需根据病证的变化进行药物加减变化，以符合病证变化之需要，从而实现治疗的“个体</w:t>
      </w:r>
      <w:r>
        <w:br/>
        <w:t xml:space="preserve">化”主旨，即“方之用，变也”。方剂本身无优劣之分，只有疗效差异之别。正所谓“方无至方，</w:t>
      </w:r>
      <w:r>
        <w:br/>
        <w:t xml:space="preserve">方以效论”。</w:t>
      </w:r>
      <w:r>
        <w:br/>
        <w:t xml:space="preserve">1.药味加减 方剂是由药物组成的，药物是通过与方中其他药物的配伍关系而体现自身之药</w:t>
      </w:r>
      <w:r>
        <w:br/>
        <w:t xml:space="preserve">性的，其体现的程度，即为该药在方中之“药力”。而药物间的配伍关系是决定药物在方中药力</w:t>
      </w:r>
      <w:r>
        <w:br/>
        <w:t xml:space="preserve">大小及如何发挥作用的重要因素之一，是决定方剂功用的主要因素。因此，当增加或减少方剂中</w:t>
      </w:r>
      <w:r>
        <w:br/>
        <w:t xml:space="preserve">的药物时，必然使方中药物间的配伍关系发生变化，进而使方剂之功用发生相应改变。大凡运用</w:t>
      </w:r>
      <w:r>
        <w:br/>
        <w:t xml:space="preserve">君臣佐使原则而组成的方剂，针对某一具体成方之药味加减的变化，是指在君药不变的前提下，</w:t>
      </w:r>
      <w:r>
        <w:br/>
        <w:t xml:space="preserve">加减方中其他药物，以适应病情变化的需要。药味加减变化一般有两种情况：一是佐使药的加</w:t>
      </w:r>
      <w:r>
        <w:br/>
        <w:t xml:space="preserve">减，因为佐使药在方中的药力较小，不至于引起该方功用的根本改变，故这种加减是在主症不变</w:t>
      </w:r>
      <w:r>
        <w:br/>
        <w:t xml:space="preserve">的情况下，对某些药物进行加减，以适应一些次要兼症的需要。以桂枝汤(桂枝、芍药、生姜、</w:t>
      </w:r>
      <w:r>
        <w:br/>
        <w:t xml:space="preserve">大枣、甘草)为例，本方主治太阳中风表虚证，症见发热头痛、汗出恶风、鼻鸣干呕、苔薄白、</w:t>
      </w:r>
      <w:r>
        <w:br/>
        <w:t xml:space="preserve">脉浮缓。若兼见咳喘者，可加厚朴、杏仁下气平喘(桂枝加厚朴杏子汤)。二是臣药的加减，这</w:t>
      </w:r>
      <w:r>
        <w:br/>
        <w:t xml:space="preserve">种变化改变了方剂的主要配伍关系，使方剂的功用发生较大变化。例如麻黄汤，适用于外感风寒</w:t>
      </w:r>
      <w:r>
        <w:br/>
        <w:t xml:space="preserve">表实证，具有发汗解表、宣肺平喘之功。若去桂枝，只用麻黄、杏仁、甘草三味，名三拗汤，解</w:t>
      </w:r>
      <w:r>
        <w:br/>
        <w:t xml:space="preserve">表之力减弱，功专宣肺散寒、止咳平喘，为治风寒犯肺之鼻塞声重、语音不出、咳嗽胸闷之方。</w:t>
      </w:r>
      <w:r>
        <w:br/>
        <w:t xml:space="preserve">又如麻黄加术汤，即麻黄汤原方加白术，且白术用量为四两，则成发汗解表、散寒祛湿之剂，适</w:t>
      </w:r>
      <w:r>
        <w:br/>
        <w:t xml:space="preserve">用于风寒湿痹、身体烦痛、无汗等症。</w:t>
      </w:r>
      <w:r>
        <w:br/>
        <w:t xml:space="preserve">2.药量加减 药量是药物在方中药力大小的重要标识之一。如两首方剂的组成药物相同，但</w:t>
      </w:r>
      <w:r>
        <w:br/>
        <w:t xml:space="preserve">用量不相同时，随着方中药物药力的相应变化，必然导致配伍关系相应变化，遂使功用、主治各</w:t>
      </w:r>
      <w:r>
        <w:br/>
        <w:t xml:space="preserve">有所异。如小承气汤与厚朴三物汤虽均由大黄、厚朴、枳实三药组成，但小承气汤以大黄四两为</w:t>
      </w:r>
      <w:r>
        <w:br/>
        <w:t xml:space="preserve">君，枳实三枚为臣，厚朴二两为佐，其功用为攻下热结，主治阳明热结实证的潮热、谵语、大便</w:t>
      </w:r>
      <w:r>
        <w:br/>
        <w:t xml:space="preserve">秘结、胸腹痞满、舌苔老黄、脉沉数；而厚朴三物汤则以厚朴八两为君，枳实五枚为臣，大黄四</w:t>
      </w:r>
      <w:r>
        <w:br/>
        <w:t xml:space="preserve">两为佐使，其功用为行气消满，主治气滞腹满、大便不通。前者行气以助攻下，病机是因热结而</w:t>
      </w:r>
      <w:r>
        <w:br/>
        <w:t xml:space="preserve">浊气不行；后者泻下以助行气，病机是因气郁而大便不下(表1-1)。</w:t>
      </w:r>
    </w:p>
    <w:p>
      <w:pPr>
        <w:pStyle w:val="Normal"/>
      </w:pPr>
      <w:r>
        <w:t xml:space="preserve">来源 ID 01a0f5ce-fd1e-7f42-85ed-020d3de18a1c；来源修订 ID 01a0f5f1-ea2e-773b-a8d2-4dcbd42c35cc；文本片段修订 ID 01a0f5f2-d29c-7de1-97a2-56c43fdd5db2, 01a0f5f2-d29c-78ef-ba90-09fc9cc58276, 01a0f5f2-d29c-7645-b485-5ba6d3640a43, 01a0f5f2-d29d-7384-b8f5-db62628c169d, 01a0f5f2-d29d-7448-9b5c-f492febb8b3e</w:t>
      </w:r>
    </w:p>
    <w:p>
      <w:pPr>
        <w:pStyle w:val="Heading2"/>
        <w:keepNext/>
      </w:pPr>
      <w:bookmarkStart w:id="108" w:name="evidence01a0f75f142e7cc2863c85f018be3f3d"/>
      <w:r>
        <w:t xml:space="preserve">证据 4 《方剂学（麻黄汤与大青龙汤研究）》</w:t>
      </w:r>
      <w:bookmarkEnd w:id="108"/>
    </w:p>
    <w:p>
      <w:pPr>
        <w:pStyle w:val="Normal"/>
      </w:pPr>
      <w:r>
        <w:t xml:space="preserve">《方剂学（麻黄汤与大青龙汤研究）》，来源修订 2，定位 路径 paragraph:136、页 1、段 136 至 路径 paragraph:140、页 1、段 140，证据修订 01a0f75f-142e-7cc2-863c-85f018be3f3d</w:t>
      </w:r>
    </w:p>
    <w:p>
      <w:pPr>
        <w:pStyle w:val="Quote"/>
      </w:pPr>
      <w:r>
        <w:t xml:space="preserve">1市分=0.3125g</w:t>
      </w:r>
      <w:r>
        <w:br/>
        <w:t xml:space="preserve">1市厘=0.03125g</w:t>
      </w:r>
      <w:r>
        <w:br/>
        <w:t xml:space="preserve">(注：换算尾数可以舍去)</w:t>
      </w:r>
      <w:r>
        <w:br/>
        <w:t xml:space="preserve">方剂中药物的用量一般应以最新版《中华人民共和国药典》为指导，根据药物性质、剂型、</w:t>
      </w:r>
      <w:r>
        <w:br/>
        <w:t xml:space="preserve">配伍关系，患者的年龄、体质、病情，以及季节的变化而酌定。本教材每首方剂中药物标注的剂</w:t>
      </w:r>
      <w:r>
        <w:br/>
        <w:t xml:space="preserve">量多为两种：一是录其古方原著之用量，冀以领悟古方的配伍意义、组方特点，并作为今人临</w:t>
      </w:r>
      <w:r>
        <w:br/>
        <w:t xml:space="preserve">证用药配伍比例之参考；另一种则以“(×g)”标注，此为现代临床作为汤剂使用时的参考剂量</w:t>
      </w:r>
      <w:r>
        <w:br/>
        <w:t xml:space="preserve">[个别不宜作汤剂者，其组成药物下之“(×g)”剂量，为作丸、散等时的现代参考用量]。后者</w:t>
      </w:r>
      <w:r>
        <w:br/>
        <w:t xml:space="preserve">是依据古今度量衡、方剂用法之差异，并参考当代临床习用剂量而定，其与原方古代剂量并非是</w:t>
      </w:r>
      <w:r>
        <w:br/>
        <w:t xml:space="preserve">度量衡制上的绝对等值换算，切忌以此推算古今剂量之换算标准。而且，同一时代，甚至同一原</w:t>
      </w:r>
      <w:r>
        <w:br/>
        <w:t xml:space="preserve">著各方中同一药物之剂量相同，但教材中所提供之当今临证参考用量亦不尽一致。学者当以今人</w:t>
      </w:r>
      <w:r>
        <w:br/>
        <w:t xml:space="preserve">临床实际应用为准，不可过于刻求拘泥于古今度量衡折算之剂量。</w:t>
      </w:r>
      <w:r>
        <w:br/>
        <w:t xml:space="preserve">复习思考题</w:t>
      </w:r>
    </w:p>
    <w:p>
      <w:pPr>
        <w:pStyle w:val="Normal"/>
      </w:pPr>
      <w:r>
        <w:t xml:space="preserve">来源 ID 01a0f5ce-fd1e-7f42-85ed-020d3de18a1c；来源修订 ID 01a0f5f1-ea2e-773b-a8d2-4dcbd42c35cc；文本片段修订 ID 01a0f5f2-d2a0-7fb0-8ccd-18c864ef1e28, 01a0f5f2-d2a0-7d5f-b35c-70e97db6a45c, 01a0f5f2-d2a0-7cf3-ba7c-ed923b37ddfc, 01a0f5f2-d2a0-79d1-8627-1f9f08ff8bac, 01a0f5f2-d2a1-7a63-a763-614b69678c5a</w:t>
      </w:r>
    </w:p>
    <w:p>
      <w:pPr>
        <w:pStyle w:val="Heading1"/>
        <w:keepNext/>
      </w:pPr>
      <w:r>
        <w:t xml:space="preserve">研究过程</w:t>
      </w:r>
    </w:p>
    <w:p>
      <w:pPr>
        <w:pStyle w:val="Normal"/>
      </w:pPr>
      <w:r>
        <w:t xml:space="preserve">第 1 轮 Classicist：COMPLETED；模型 deepseek/deepseek-flash；运行 01a0f7c5-590b-791f-8870-205dca161121</w:t>
      </w:r>
    </w:p>
    <w:p>
      <w:pPr>
        <w:pStyle w:val="Normal"/>
      </w:pPr>
      <w:r>
        <w:t xml:space="preserve">第 1 轮 HistoricalScholar：COMPLETED；模型 deepseek/deepseek-flash；运行 01a0f7c5-590b-71d9-bcbd-da7fd6f470bf</w:t>
      </w:r>
    </w:p>
    <w:p>
      <w:pPr>
        <w:pStyle w:val="Normal"/>
      </w:pPr>
      <w:r>
        <w:t xml:space="preserve">第 1 轮 Theorist：COMPLETED；模型 deepseek/deepseek-flash；运行 01a0f7c5-590b-7481-83df-cadbaf4bddc3</w:t>
      </w:r>
    </w:p>
    <w:p>
      <w:pPr>
        <w:pStyle w:val="Normal"/>
      </w:pPr>
      <w:r>
        <w:t xml:space="preserve">第 2 轮 Critic：COMPLETED；模型 deepseek/deepseek-flash；运行 01a0f7c6-1e32-7729-b196-775712951822</w:t>
      </w:r>
    </w:p>
    <w:p>
      <w:pPr>
        <w:pStyle w:val="Normal"/>
      </w:pPr>
      <w:r>
        <w:t xml:space="preserve">第 2 轮 Rebuttal：COMPLETED；模型 deepseek/deepseek-flash；运行 01a0f7c7-4adb-71de-80f3-279d551a3ccb</w:t>
      </w:r>
    </w:p>
    <w:p>
      <w:pPr>
        <w:pStyle w:val="Normal"/>
      </w:pPr>
      <w:r>
        <w:t xml:space="preserve">第 0 轮 Judge：COMPLETED；模型 deepseek/deepseek-flash；运行 01a0f7c7-71c3-70b6-bcfd-2a8a6e26a61a</w:t>
      </w:r>
    </w:p>
    <w:p>
      <w:pPr>
        <w:pStyle w:val="Normal"/>
      </w:pPr>
      <w:r>
        <w:t xml:space="preserve">第 0 轮 ReportWriter：COMPLETED；模型 deepseek/deepseek-flash；运行 01a0f7c7-840d-7b42-9c9d-7b8223c0d59e</w:t>
      </w:r>
    </w:p>
    <w:p>
      <w:pPr>
        <w:pStyle w:val="Normal"/>
      </w:pPr>
      <w:r>
        <w:t xml:space="preserve">第 0 轮 ReportReviewer：COMPLETED；模型 deepseek/deepseek-flash；运行 01a0f7c7-a3e8-70c0-8318-bfd4ee90f635</w:t>
      </w:r>
    </w:p>
    <w:p>
      <w:pPr>
        <w:pStyle w:val="Normal"/>
      </w:pPr>
      <w:r>
        <w:t xml:space="preserve">第 1 轮 ReportWriter：COMPLETED；模型 deepseek/deepseek-flash；运行 01a0f7c7-baab-70ac-9c86-57ec9182707e</w:t>
      </w:r>
    </w:p>
    <w:p>
      <w:pPr>
        <w:pStyle w:val="Normal"/>
      </w:pPr>
      <w:r>
        <w:t xml:space="preserve">第 1 轮 ReportReviewer：COMPLETED；模型 deepseek/deepseek-flash；运行 01a0f7c7-d4df-7e26-8052-09ef87a8e5db</w:t>
      </w:r>
    </w:p>
    <w:p>
      <w:pPr>
        <w:pStyle w:val="Normal"/>
      </w:pPr>
      <w:r>
        <w:t xml:space="preserve">第 2 轮 ReportWriter：COMPLETED；模型 deepseek/deepseek-flash；运行 01a0f7c7-eeed-7055-9c52-b6d7183ca47f</w:t>
      </w:r>
    </w:p>
    <w:p>
      <w:pPr>
        <w:pStyle w:val="Normal"/>
      </w:pPr>
      <w:r>
        <w:t xml:space="preserve">第 2 轮 ReportReviewer：COMPLETED；模型 deepseek/deepseek-flash；运行 01a0f7c8-08c1-715a-94ed-70b24ef9ec35</w:t>
      </w:r>
    </w:p>
    <w:p>
      <w:pPr>
        <w:pStyle w:val="Normal"/>
      </w:pPr>
      <w:r>
        <w:t xml:space="preserve">审计 01a0f7c5-af01-793e-91d0-7225f4b194f7：断言 01a0f7c5-762d-7b99-971c-f575739fc03a；第 1 次，MECHANICAL / PASS；Citation chain verified</w:t>
      </w:r>
    </w:p>
    <w:p>
      <w:pPr>
        <w:pStyle w:val="Normal"/>
      </w:pPr>
      <w:r>
        <w:t xml:space="preserve">审计 01a0f7c5-b883-707f-b121-3fcecfdabae4：断言 01a0f7c5-762d-7b99-971c-f575739fc03a；第 2 次，SEMANTIC / SUPPORTED；证据显示大青龙汤麻黄六两(12g)、麻黄汤麻黄三两(9g)，古制六两确为三两两倍而括注12g与9g非两倍；且教材明确括注克数为现代参考剂量，并非古剂量的绝对等值换算，切忌以此推算换算标准，故不能以括注克数直接推算两方麻黄用量倍数关系。</w:t>
      </w:r>
    </w:p>
    <w:p>
      <w:pPr>
        <w:pStyle w:val="Normal"/>
      </w:pPr>
      <w:r>
        <w:t xml:space="preserve">审计 01a0f7c5-b8fb-75be-bc62-05670560a778：断言 01a0f7c5-762d-7433-9661-b347c6ffb8ff；第 1 次，MECHANICAL / PASS；Citation chain verified</w:t>
      </w:r>
    </w:p>
    <w:p>
      <w:pPr>
        <w:pStyle w:val="Normal"/>
      </w:pPr>
      <w:r>
        <w:t xml:space="preserve">审计 01a0f7c5-c436-77d8-8a27-5c25c70c52a2：断言 01a0f7c5-762d-7433-9661-b347c6ffb8ff；第 2 次，SEMANTIC / SUPPORTED；证据显示大青龙汤麻黄用量为麻黄汤之倍，但两方在桂枝、杏仁、甘草用量及石膏、生姜、大枣配伍上均有差异；方解明言“麻黄得石膏，辛温发表而无助热之弊”，且大青龙汤要求“取微似汗”“汗出多者，温粉扑之”，说明石膏参与制约发汗发表之性，发汗强度并非麻黄单味药量的简单比例。</w:t>
      </w:r>
    </w:p>
    <w:p>
      <w:pPr>
        <w:pStyle w:val="Normal"/>
      </w:pPr>
      <w:r>
        <w:t xml:space="preserve">审计 01a0f7c5-c4d2-7a3d-9f7f-d14b175ac386：断言 01a0f7c5-762d-752a-9516-3f4a38ecfde4；第 1 次，MECHANICAL / PASS；Citation chain verified</w:t>
      </w:r>
    </w:p>
    <w:p>
      <w:pPr>
        <w:pStyle w:val="Normal"/>
      </w:pPr>
      <w:r>
        <w:t xml:space="preserve">审计 01a0f7c5-ce15-7d8e-8826-741c7a3663b5：断言 01a0f7c5-762d-752a-9516-3f4a38ecfde4；第 2 次，SEMANTIC / SUPPORTED；证据中麻黄汤被称为辛温发汗之峻剂、辛温发汗法之基础方，大青龙汤被称为发汗之功居解表诸方之冠，并载取微似汗、汗出多者温粉扑之、一服汗者停后服，均为定性表述与服法控制，未将两方发汗作用表述为倍数比较。</w:t>
      </w:r>
    </w:p>
    <w:p>
      <w:pPr>
        <w:pStyle w:val="Normal"/>
      </w:pPr>
      <w:r>
        <w:t xml:space="preserve">审计 01a0f7c5-cebd-70d9-944f-e251fd5e38e8：断言 01a0f7c5-91bc-7f60-ae4b-5473b7ac20ad；第 1 次，MECHANICAL / PASS；Citation chain verified</w:t>
      </w:r>
    </w:p>
    <w:p>
      <w:pPr>
        <w:pStyle w:val="Normal"/>
      </w:pPr>
      <w:r>
        <w:t xml:space="preserve">审计 01a0f7c5-dc09-7d1f-9299-4e44f441be9e：断言 01a0f7c5-91bc-7f60-ae4b-5473b7ac20ad；第 2 次，SEMANTIC / SUPPORTED；证据1显示大青龙汤麻黄六两(12g)，证据2显示麻黄汤麻黄三两(9g)，古制六两确为三两两倍，而括注克数12g与9g非两倍；证据3明确说明括注克数“与原方古代剂量并非是度量衡制上的绝对等值换算，切忌以此推算古今剂量之换算标准”，支持不能以括注克数直接推算。</w:t>
      </w:r>
    </w:p>
    <w:p>
      <w:pPr>
        <w:pStyle w:val="Normal"/>
      </w:pPr>
      <w:r>
        <w:t xml:space="preserve">审计 01a0f7c5-dc70-7f0b-8fd4-6344e360a0fd：断言 01a0f7c5-91bc-7be7-a976-54c6809a6e5c；第 1 次，MECHANICAL / PASS；Citation chain verified</w:t>
      </w:r>
    </w:p>
    <w:p>
      <w:pPr>
        <w:pStyle w:val="Normal"/>
      </w:pPr>
      <w:r>
        <w:t xml:space="preserve">审计 01a0f7c5-e91f-7ab6-a0c9-5589b1d50d50：断言 01a0f7c5-91bc-7be7-a976-54c6809a6e5c；第 2 次，SEMANTIC / SUPPORTED；两段证据分别支持：麻黄汤被称为“辛温发汗之峻剂”，大青龙汤“发汗之功居解表诸方之冠”，并载有“一服得汗者，停后服”“取微似汗”“汗出多者，温粉扑之”等取汗要求；大青龙汤方解还说明麻黄“其量为麻黄汤之倍”但发汗力受石膏、配伍等制约，故不能仅凭麻黄用量倍数推出必然两倍。</w:t>
      </w:r>
    </w:p>
    <w:p>
      <w:pPr>
        <w:pStyle w:val="Normal"/>
      </w:pPr>
      <w:r>
        <w:t xml:space="preserve">审计 01a0f7c5-e96d-78e1-8341-4eaaac04d119：断言 01a0f7c5-91bc-7d6f-8001-757cb8e588c3；第 1 次，MECHANICAL / PASS；Citation chain verified</w:t>
      </w:r>
    </w:p>
    <w:p>
      <w:pPr>
        <w:pStyle w:val="Normal"/>
      </w:pPr>
      <w:r>
        <w:t xml:space="preserve">审计 01a0f7c5-f8c3-7315-bfa0-79ff4376460a：断言 01a0f7c5-91bc-7d6f-8001-757cb8e588c3；第 2 次，SEMANTIC / SUPPORTED；原文明确记载大青龙汤由麻黄汤倍用麻黄、甘草，减少杏仁用量，再加石膏、生姜、大枣而成；并载有“麻黄得石膏，辛温发表而无助热之弊；石膏得麻黄，大寒清热而无凉遏之虞”及“倍用麻黄以确保其发汗之力”等表述，支持石膏配伍制约使发汗强度不能简单按麻黄用量成比例推断。</w:t>
      </w:r>
    </w:p>
    <w:p>
      <w:pPr>
        <w:pStyle w:val="Normal"/>
      </w:pPr>
      <w:r>
        <w:t xml:space="preserve">审计 01a0f7c5-f976-7719-a15c-28f0db7b272e：断言 01a0f7c5-ae46-7997-b74d-8a077889591f；第 1 次，MECHANICAL / PASS；Citation chain verified</w:t>
      </w:r>
    </w:p>
    <w:p>
      <w:pPr>
        <w:pStyle w:val="Normal"/>
      </w:pPr>
      <w:r>
        <w:t xml:space="preserve">审计 01a0f7c6-0a19-7dcb-af81-fa94ca46d8b6：断言 01a0f7c5-ae46-7997-b74d-8a077889591f；第 2 次，SEMANTIC / SUPPORTED；证据1显示大青龙汤麻黄六两(12g)，证据2显示麻黄汤麻黄三两(9g)，古制六两确为三两两倍，但括注12g与9g非两倍；证据3明确括注克数参考当代临床习用剂量而定，并非古制绝对等值换算，切忌以此推算换算标准，支持不能以括注克数直接推算倍数关系。</w:t>
      </w:r>
    </w:p>
    <w:p>
      <w:pPr>
        <w:pStyle w:val="Normal"/>
      </w:pPr>
      <w:r>
        <w:t xml:space="preserve">审计 01a0f7c6-0a7f-76e2-bad2-4d334aebc60a：断言 01a0f7c5-ae46-7b84-b684-67a3f015eaf7；第 1 次，MECHANICAL / PASS；Citation chain verified</w:t>
      </w:r>
    </w:p>
    <w:p>
      <w:pPr>
        <w:pStyle w:val="Normal"/>
      </w:pPr>
      <w:r>
        <w:t xml:space="preserve">审计 01a0f7c6-11f7-7b45-bc0d-47373f91582a：断言 01a0f7c5-ae46-7b84-b684-67a3f015eaf7；第 2 次，SEMANTIC / SUPPORTED；证据明确记载大青龙汤系由麻黄汤倍用麻黄、甘草，减少杏仁用量，再加石膏、生姜、大枣而成；并载有“麻黄得石膏，辛温发表而无助热之弊”及“取微似汗”“汗出多者，温粉扑之”“一服汗者，停后服”等用法要求，支持该断言。</w:t>
      </w:r>
    </w:p>
    <w:p>
      <w:pPr>
        <w:pStyle w:val="Normal"/>
      </w:pPr>
      <w:r>
        <w:t xml:space="preserve">审计 01a0f7c6-1277-7e3d-b300-f4033ff3c90d：断言 01a0f7c5-ae46-79f0-91c2-86b3b2d494e0；第 1 次，MECHANICAL / PASS；Citation chain verified</w:t>
      </w:r>
    </w:p>
    <w:p>
      <w:pPr>
        <w:pStyle w:val="Normal"/>
      </w:pPr>
      <w:r>
        <w:t xml:space="preserve">审计 01a0f7c6-1d70-7508-8aa3-32e77c81d7c5：断言 01a0f7c5-ae46-79f0-91c2-86b3b2d494e0；第 2 次，SEMANTIC / SUPPORTED；证据1明确大青龙汤麻黄“其量为麻黄汤之倍”，并载“取微似汗”“汗出多者，温粉扑之”等服法要求；证据2说明配伍关系是决定方剂功用的主要因素、药量变化会影响配伍与功用；证据3说明教材括注克数非古制绝对换算。三者共同支持：仅凭麻黄用量两倍不能推出“发汗强度必然两倍”，且未提供量化发汗强度数据。</w:t>
      </w:r>
    </w:p>
    <w:p>
      <w:pPr>
        <w:pStyle w:val="Normal"/>
      </w:pPr>
      <w:r>
        <w:t xml:space="preserve">质疑 01a0f7c6-cc0f-7712-aab2-dc9183c16e86：断言 01a0f7c5-762d-7b99-971c-f575739fc03a；EVIDENCE_GAP；该 Claim 断言“不能以括注克数直接推算两方麻黄用量的倍数关系”，但所引证据仅说明括注克数非古制绝对等值换算、不可据以推算古今换算标准，并未直接讨论“两方麻黄用量倍数关系”能否由括注克数推算。教材原文的告诫针对的是古今度量衡折算，而非方间用量比较；将“不可推算古今换算标准”扩展为“不可推算两方用量倍数”属于对告诫适用范围的延伸，缺少直接文本依据。</w:t>
      </w:r>
    </w:p>
    <w:p>
      <w:pPr>
        <w:pStyle w:val="Normal"/>
      </w:pPr>
      <w:r>
        <w:t xml:space="preserve">质疑 01a0f7c6-cc0f-75e7-af64-1bd6cf77aeeb：断言 01a0f7c5-762d-7433-9661-b347c6ffb8ff；OVERCLAIM；该 Claim 由“麻黄得石膏，辛温发表而无助热之弊”推出“石膏参与制约发汗发表之性”，进而否定发汗强度与麻黄用量的比例关系。但原文“无助热之弊”是就石膏制约麻黄辛温助热而言，并未直接表述为制约“发汗发表之性”；且大青龙汤方解同时明言“倍用麻黄以确保其发汗之力”，教材本身将倍用麻黄与发汗力增强相联系。将“无助热”解读为“制约发汗”并据此否定比例推断，存在对原文语义的过度延伸。</w:t>
      </w:r>
    </w:p>
    <w:p>
      <w:pPr>
        <w:pStyle w:val="Normal"/>
      </w:pPr>
      <w:r>
        <w:t xml:space="preserve">质疑 01a0f7c6-cc0f-75b6-bda4-54f0a285c3ef：断言 01a0f7c5-91bc-7d6f-8001-757cb8e588c3；HISTORICAL_SCOPE；该 Claim 断言“即使麻黄用量加倍，石膏的配伍制约也使发汗强度不能简单按麻黄用量成比例推断”。但所引证据为教材方解与方论选录（如柯琴“必倍麻黄以发汗”），属于后世对经方的解释性论述，并非可直接量化发汗强度的临床或实验数据。以解释性方论支撑“石膏制约使发汗强度不成比例”的结论，跨越了文本所能支持的边界，未提供可检验的发汗强度证据。</w:t>
      </w:r>
    </w:p>
    <w:p>
      <w:pPr>
        <w:pStyle w:val="Normal"/>
      </w:pPr>
      <w:r>
        <w:t xml:space="preserve">质疑 01a0f7c6-cc0f-7c5a-9733-a804910eacd6：断言 01a0f7c5-762d-752a-9516-3f4a38ecfde4；TEXTUAL_MISREAD；该 Claim 称教材对两方发汗作用的表述“是定性比较而非倍数比较”，但所引“发汗之功居解表诸方之冠”本身即是一种比较性表述（居诸方之冠），并非纯粹定性描述；且“峻剂”“居冠”等语在教材语境中用于标示发汗力强弱层级。将其概括为“定性而非倍数”虽可支持“非严格倍数”，但“定性比较”的措辞与原文的比较性用语存在张力，可能弱化原文对发汗力强弱的层级判断。</w:t>
      </w:r>
    </w:p>
    <w:p>
      <w:pPr>
        <w:pStyle w:val="Normal"/>
      </w:pPr>
      <w:r>
        <w:t xml:space="preserve">质疑 01a0f7c6-cc0f-7f95-8561-9b8e2fdc8841：断言 01a0f7c5-ae46-79f0-91c2-86b3b2d494e0；EVIDENCE_GAP；该推论 Claim 的边界声明称“证据仅支持两方在麻黄古制用量上存在两倍差异”，但未处理煎服法差异对可比性的影响：麻黄汤“煮取二升半……温服八合”（约三服），大青龙汤“煮取三升……温服一升”（约三服），两方每次服用所摄取的麻黄量是否仍为两倍，取决于总煎出量与分服次数的对应关系。Claim 将“原方麻黄用量两倍”直接等同于“每次服用麻黄量两倍”，未说明这一口径问题，存在证据链缺口。</w:t>
      </w:r>
    </w:p>
    <w:p>
      <w:pPr>
        <w:pStyle w:val="Normal"/>
      </w:pPr>
      <w:r>
        <w:t xml:space="preserve">反驳 01a0f7c7-6fe7-7537-916f-b6fb7e4616af：质疑 01a0f7c6-cc0f-7712-aab2-dc9183c16e86；第 2 轮 PARTIAL_ACCEPT；接受质疑中关于教材告诫仅针对古今度量衡折算、未直接讨论方间用量倍数比较的限定；但保留原Claim中“不能以括注克数直接推算两方麻黄用量倍数关系”的核心结论，因其仍可由括注克数非绝对等值换算及两方括注克数非两倍关系共同支持。</w:t>
      </w:r>
    </w:p>
    <w:p>
      <w:pPr>
        <w:pStyle w:val="Normal"/>
      </w:pPr>
      <w:r>
        <w:t xml:space="preserve">反驳 01a0f7c7-6fe7-77fc-8489-d8773c8f1536：质疑 01a0f7c6-cc0f-75e7-af64-1bd6cf77aeeb；第 2 轮 PARTIAL_ACCEPT；接受质疑中“无助热之弊”原文语义主要针对制约辛温助热、未直接表述为制约发汗发表之性的限定；但保留原Claim中“发汗强度不是麻黄单味药量的简单比例”的核心结论，因两方在桂枝、杏仁、甘草用量及石膏、生姜、大枣配伍上均有差异，且教材明言“倍用麻黄以确保其发汗之力”与“取微似汗”“汗出多者，温粉扑之”等服法控制，均支持发汗强度不能仅由麻黄用量倍数决定。</w:t>
      </w:r>
    </w:p>
    <w:p>
      <w:pPr>
        <w:pStyle w:val="Normal"/>
      </w:pPr>
      <w:r>
        <w:t xml:space="preserve">反驳 01a0f7c7-6fe7-74a6-b580-dab16b85eeed：质疑 01a0f7c6-cc0f-75b6-bda4-54f0a285c3ef；第 2 轮 PARTIAL_ACCEPT；接受质疑中关于所引证据为教材方解与方论选录、属解释性论述而非可直接量化发汗强度的临床或实验数据的限定；但保留原Claim中“即使麻黄用量加倍，石膏的配伍制约也使发汗强度不能简单按麻黄用量成比例推断”的核心结论，因教材方解明言“麻黄得石膏，辛温发表而无助热之弊；石膏得麻黄，大寒清热而无凉遏之虞”，且方论选录载“必倍麻黄以发汗”，均支持配伍制约影响发汗表现。</w:t>
      </w:r>
    </w:p>
    <w:p>
      <w:pPr>
        <w:pStyle w:val="Normal"/>
      </w:pPr>
      <w:r>
        <w:t xml:space="preserve">反驳 01a0f7c7-6fe7-79db-a9ee-078923723c12：质疑 01a0f7c6-cc0f-7c5a-9733-a804910eacd6；第 2 轮 PARTIAL_ACCEPT；接受质疑中“发汗之功居解表诸方之冠”本身即比较性表述、并非纯粹定性描述的限定；但保留原Claim中“不能由麻黄用量直接换算为两倍”的核心结论，因教材对两方发汗作用的表述为“峻剂”“居冠”等强弱层级描述，并强调“取微似汗”“汗出多者，温粉扑之”“一服汗者，停后服”，均未给出与麻黄用量成比例的倍数结论。</w:t>
      </w:r>
    </w:p>
    <w:p>
      <w:pPr>
        <w:pStyle w:val="Normal"/>
      </w:pPr>
      <w:r>
        <w:t xml:space="preserve">反驳 01a0f7c7-6fe7-7bcd-80eb-28592afdd3a0：质疑 01a0f7c6-cc0f-7f95-8561-9b8e2fdc8841；第 2 轮 PARTIAL_ACCEPT；接受质疑中关于煎服法差异影响可比性的限定；但保留原推论Claim中“不能把用量倍数等同于发汗强度倍数”的核心结论，因证据仅支持两方在麻黄古制用量上存在两倍差异，并提示配伍、服法及“取微似汗”等要求会影响发汗表现，未提供可直接量化发汗强度的数据。</w:t>
      </w:r>
    </w:p>
    <w:p>
      <w:pPr>
        <w:pStyle w:val="Normal"/>
      </w:pPr>
      <w:r>
        <w:t xml:space="preserve">停止判断 01a0f7c7-709f-7170-bfda-f5a2d87b6fbf：第 2 轮，STOP；ROUND_LIMIT；输入哈希 39396491421d3df5374753ab9cad8fe9bd1870fc99a57f4a7d4c2f0f3778bbeb</w:t>
      </w:r>
    </w:p>
    <w:p>
      <w:pPr>
        <w:pStyle w:val="Heading1"/>
        <w:keepNext/>
      </w:pPr>
      <w:r>
        <w:t xml:space="preserve">报告版本</w:t>
      </w:r>
    </w:p>
    <w:p>
      <w:pPr>
        <w:pStyle w:val="Normal"/>
      </w:pPr>
      <w:r>
        <w:t xml:space="preserve">报告编号：08cfa753-9eb2-5c3e-b4bc-f079b9182e24；知识版本：01a0f766-f9ce-768e-b7ce-ca16c5e07a78；索引：01a0f76a-5f40-7363-bc31-a61b7a22bb8c</w:t>
      </w:r>
    </w:p>
    <w:p>
      <w:pPr>
        <w:pStyle w:val="Normal"/>
      </w:pPr>
      <w:r>
        <w:t xml:space="preserve">回答复核：逐项复核：第1段直接回答推断不成立，区分古制与定性表述，所引 claim 支持，通过。第2段配伍差异分析有原文支持，通过。第3段古制与括注克数区分基本成立，但“括注克数不宜作为方间用量倍数的换算依据”延伸了教材告诫的适用范围，缺少直接文本依据，需修改。第4段服法分析基本成立，但“煎服法共同制约”表述可更谨慎。第5段边界声明未处理煎服法差异对“两倍”可比性的影响，将原方总用量两倍直接等同于每次服用量两倍，存在证据链缺口，需补充限定。全文核心问题已回答，但存在上述越界与口径问题，故 accepted=false。</w:t>
      </w:r>
    </w:p>
    <w:p>
      <w:pPr>
        <w:pStyle w:val="Normal"/>
      </w:pPr>
      <w:r>
        <w:t xml:space="preserve">报告结构 research-report/v3；停止判断 01a0f7c7-709f-7170-bfda-f5a2d87b6fbf；运行指纹 ad3f3b0aa460d8384f73ade6ca32d1e7bdc3df703ec6602ef2001c8047366015</w:t>
      </w:r>
    </w:p>
    <w:sectPr>
      <w:pgSz w:w="12240" w:h="15840"/>
      <w:pgMar w:top="1260" w:right="1260" w:bottom="1260" w:left="1260" w:header="720" w:footer="720" w:gutter="0"/>
    </w:sectPr>
  </w:body>
</w:document>
</file>

<file path=word/styles.xml><?xml version="1.0" encoding="utf-8"?>
<w:styles xmlns:w="http://schemas.openxmlformats.org/wordprocessingml/2006/main">
  <w:style w:type="paragraph" w:styleId="Normal">
    <w:name w:val="Normal"/>
    <w:pPr>
      <w:spacing w:before="0" w:after="120" w:line="320" w:lineRule="auto"/>
      <w:widowControl/>
    </w:pPr>
    <w:rPr>
      <w:rFonts w:ascii="Arial" w:hAnsi="Arial" w:eastAsia="Microsoft YaHei"/>
      <w:sz w:val="22"/>
      <w:color w:val="000000"/>
    </w:rPr>
  </w:style>
  <w:style w:type="paragraph" w:styleId="Title">
    <w:name w:val="Title"/>
    <w:pPr>
      <w:spacing w:before="0" w:after="300" w:line="320" w:lineRule="auto"/>
      <w:widowControl/>
    </w:pPr>
    <w:rPr>
      <w:rFonts w:ascii="Arial" w:hAnsi="Arial" w:eastAsia="Microsoft YaHei"/>
      <w:sz w:val="32"/>
      <w:color w:val="000000"/>
      <w:b/>
    </w:rPr>
  </w:style>
  <w:style w:type="paragraph" w:styleId="Heading1">
    <w:name w:val="Heading1"/>
    <w:pPr>
      <w:spacing w:before="300" w:after="140" w:line="320" w:lineRule="auto"/>
      <w:widowControl/>
      <w:outlineLvl w:val="0"/>
    </w:pPr>
    <w:rPr>
      <w:rFonts w:ascii="Arial" w:hAnsi="Arial" w:eastAsia="Microsoft YaHei"/>
      <w:sz w:val="27"/>
      <w:color w:val="000000"/>
      <w:b/>
    </w:rPr>
  </w:style>
  <w:style w:type="paragraph" w:styleId="Heading2">
    <w:name w:val="Heading2"/>
    <w:pPr>
      <w:spacing w:before="220" w:after="100" w:line="320" w:lineRule="auto"/>
      <w:widowControl/>
      <w:outlineLvl w:val="1"/>
    </w:pPr>
    <w:rPr>
      <w:rFonts w:ascii="Arial" w:hAnsi="Arial" w:eastAsia="Microsoft YaHei"/>
      <w:sz w:val="23"/>
      <w:color w:val="000000"/>
      <w:b/>
    </w:rPr>
  </w:style>
  <w:style w:type="paragraph" w:styleId="Quote">
    <w:name w:val="Quote"/>
    <w:pPr>
      <w:spacing w:before="40" w:after="140" w:line="320" w:lineRule="auto"/>
      <w:widowControl/>
      <w:ind w:left="420" w:right="260"/>
    </w:pPr>
    <w:rPr>
      <w:rFonts w:ascii="Arial" w:hAnsi="Arial" w:eastAsia="Microsoft YaHei"/>
      <w:sz w:val="21"/>
      <w:color w:val="000000"/>
    </w:rPr>
  </w:style>
  <w:style w:type="paragraph" w:styleId="Link">
    <w:name w:val="Link"/>
    <w:pPr>
      <w:spacing w:before="0" w:after="100" w:line="320" w:lineRule="auto"/>
      <w:widowControl/>
    </w:pPr>
    <w:rPr>
      <w:rFonts w:ascii="Arial" w:hAnsi="Arial" w:eastAsia="Microsoft YaHei"/>
      <w:sz w:val="21"/>
      <w:color w:val="000000"/>
    </w:rPr>
  </w:style>
</w:styles>
</file>

<file path=word/_rels/document.xml.rels><?xml version="1.0" encoding="UTF-8"?>
<Relationships xmlns="http://schemas.openxmlformats.org/package/2006/relationships">
<Relationship Id="rId1" Type="http://schemas.openxmlformats.org/officeDocument/2006/relationships/styles" Target="styles.xml"/>
</Relationships>
</file>