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keepNext/>
      </w:pPr>
      <w:r>
        <w:t xml:space="preserve">中医理论研究报告</w:t>
      </w:r>
    </w:p>
    <w:p>
      <w:pPr>
        <w:pStyle w:val="Normal"/>
      </w:pPr>
      <w:r>
        <w:t xml:space="preserve">研究问题：比较麻黄汤和大青龙汤，检验“大青龙汤原方麻黄用量是麻黄汤的两倍，因此发汗强度也必然是两倍”这一推断是否成立。区分古制剂量与教材括注克数，并分析两方配伍差异对该推断的影响。</w:t>
      </w:r>
    </w:p>
    <w:p>
      <w:pPr>
        <w:pStyle w:val="Heading1"/>
        <w:keepNext/>
      </w:pPr>
      <w:r>
        <w:t xml:space="preserve">研究回答</w:t>
      </w:r>
    </w:p>
    <w:p>
      <w:pPr>
        <w:pStyle w:val="Normal"/>
      </w:pPr>
      <w:r>
        <w:t xml:space="preserve">这一推断不能成立。古制剂量上，大青龙汤麻黄六两确为麻黄汤三两的两倍，但教材括注克数分别为12g与9g，并非两倍关系；教材明确说明括注克数系参考当代临床习用剂量而定，与原方古代剂量并非度量衡制上的绝对等值换算，切忌以此推算古今剂量之换算标准。因此，括注克数不宜作为古今剂量换算标准；至于能否据以比较两方用量倍数，教材未直接说明，本报告不作断言。</w:t>
      </w:r>
    </w:p>
    <w:p>
      <w:pPr>
        <w:pStyle w:val="Link"/>
      </w:pPr>
      <w:hyperlink w:anchor="evidence01a0f68be48e7f22b77820ef1354026a">
        <w:r>
          <w:rPr>
            <w:color w:val="0563C1"/>
            <w:u w:val="single"/>
          </w:rPr>
          <w:t xml:space="preserve">依据 [1]</w:t>
        </w:r>
      </w:hyperlink>
    </w:p>
    <w:p>
      <w:pPr>
        <w:pStyle w:val="Link"/>
      </w:pPr>
      <w:hyperlink w:anchor="evidence01a0f68d64847e989118d6bc2bb2cfaa">
        <w:r>
          <w:rPr>
            <w:color w:val="0563C1"/>
            <w:u w:val="single"/>
          </w:rPr>
          <w:t xml:space="preserve">依据 [2]</w:t>
        </w:r>
      </w:hyperlink>
    </w:p>
    <w:p>
      <w:pPr>
        <w:pStyle w:val="Link"/>
      </w:pPr>
      <w:hyperlink w:anchor="evidence01a0f75f142e7cc2863c85f018be3f3d">
        <w:r>
          <w:rPr>
            <w:color w:val="0563C1"/>
            <w:u w:val="single"/>
          </w:rPr>
          <w:t xml:space="preserve">依据 [4]</w:t>
        </w:r>
      </w:hyperlink>
    </w:p>
    <w:p>
      <w:pPr>
        <w:pStyle w:val="Normal"/>
      </w:pPr>
      <w:r>
        <w:t xml:space="preserve">更关键的是，两方并非仅麻黄一味之差。大青龙汤由麻黄汤倍用麻黄、倍用甘草、减少杏仁用量，再加石膏、生姜、大枣而成。方中石膏辛甘大寒，与麻黄相制，教材称“麻黄得石膏，辛温发表而无助热之弊；石膏得麻黄，大寒清热而无凉遏之虞”。这意味着石膏参与制约麻黄的发汗发表之性，即使麻黄用量加倍，全方发汗强度也不是麻黄单味药量的简单比例。</w:t>
      </w:r>
    </w:p>
    <w:p>
      <w:pPr>
        <w:pStyle w:val="Link"/>
      </w:pPr>
      <w:hyperlink w:anchor="evidence01a0f68be48e7f22b77820ef1354026a">
        <w:r>
          <w:rPr>
            <w:color w:val="0563C1"/>
            <w:u w:val="single"/>
          </w:rPr>
          <w:t xml:space="preserve">依据 [1]</w:t>
        </w:r>
      </w:hyperlink>
    </w:p>
    <w:p>
      <w:pPr>
        <w:pStyle w:val="Link"/>
      </w:pPr>
      <w:hyperlink w:anchor="evidence01a0f68d64847e989118d6bc2bb2cfaa">
        <w:r>
          <w:rPr>
            <w:color w:val="0563C1"/>
            <w:u w:val="single"/>
          </w:rPr>
          <w:t xml:space="preserve">依据 [2]</w:t>
        </w:r>
      </w:hyperlink>
    </w:p>
    <w:p>
      <w:pPr>
        <w:pStyle w:val="Normal"/>
      </w:pPr>
      <w:r>
        <w:t xml:space="preserve">教材对两方发汗力的表述本身也是定性而非定量：麻黄汤被称为“辛温发汗之峻剂”“辛温发汗法之基础方”，大青龙汤则被称为“发汗之功居解表诸方之冠”，并强调“取微似汗”“汗出多者，温粉扑之”“一服汗者，停后服”。麻黄汤亦载“覆取微似汗”。教材载有不同煎服法与取汗要求，提示发汗表现不能仅由麻黄用量判定，而受配伍与取汗要求共同制约。</w:t>
      </w:r>
    </w:p>
    <w:p>
      <w:pPr>
        <w:pStyle w:val="Link"/>
      </w:pPr>
      <w:hyperlink w:anchor="evidence01a0f68be48e7f22b77820ef1354026a">
        <w:r>
          <w:rPr>
            <w:color w:val="0563C1"/>
            <w:u w:val="single"/>
          </w:rPr>
          <w:t xml:space="preserve">依据 [1]</w:t>
        </w:r>
      </w:hyperlink>
    </w:p>
    <w:p>
      <w:pPr>
        <w:pStyle w:val="Link"/>
      </w:pPr>
      <w:hyperlink w:anchor="evidence01a0f68d64847e989118d6bc2bb2cfaa">
        <w:r>
          <w:rPr>
            <w:color w:val="0563C1"/>
            <w:u w:val="single"/>
          </w:rPr>
          <w:t xml:space="preserve">依据 [2]</w:t>
        </w:r>
      </w:hyperlink>
    </w:p>
    <w:p>
      <w:pPr>
        <w:pStyle w:val="Normal"/>
      </w:pPr>
      <w:r>
        <w:t xml:space="preserve">推论边界在于：现有材料只能确认两方在原方麻黄总用量上存在两倍差异，此处“两倍”仅指原方麻黄总用量，未涉及每次服用量的可比性。两方煎服法不同，麻黄汤“煮取二升半……温服八合”，大青龙汤“煮取三升……温服一升”，每次服用所摄取的麻黄量是否仍为两倍，取决于总煎出量与分服次数的对应关系，现有材料未直接说明，本报告不作断言。至于发汗强度是否成倍，教材仅有定性表述与服法控制，未给出定量比较，故“必然两倍”的推断缺乏文本依据。</w:t>
      </w:r>
    </w:p>
    <w:p>
      <w:pPr>
        <w:pStyle w:val="Link"/>
      </w:pPr>
      <w:hyperlink w:anchor="evidence01a0f68be48e7f22b77820ef1354026a">
        <w:r>
          <w:rPr>
            <w:color w:val="0563C1"/>
            <w:u w:val="single"/>
          </w:rPr>
          <w:t xml:space="preserve">依据 [1]</w:t>
        </w:r>
      </w:hyperlink>
    </w:p>
    <w:p>
      <w:pPr>
        <w:pStyle w:val="Link"/>
      </w:pPr>
      <w:hyperlink w:anchor="evidence01a0f68d64847e989118d6bc2bb2cfaa">
        <w:r>
          <w:rPr>
            <w:color w:val="0563C1"/>
            <w:u w:val="single"/>
          </w:rPr>
          <w:t xml:space="preserve">依据 [2]</w:t>
        </w:r>
      </w:hyperlink>
    </w:p>
    <w:p>
      <w:pPr>
        <w:pStyle w:val="Link"/>
      </w:pPr>
      <w:hyperlink w:anchor="evidence01a0f75f142e7cc2863c85f018be3f3d">
        <w:r>
          <w:rPr>
            <w:color w:val="0563C1"/>
            <w:u w:val="single"/>
          </w:rPr>
          <w:t xml:space="preserve">依据 [4]</w:t>
        </w:r>
      </w:hyperlink>
    </w:p>
    <w:p>
      <w:pPr>
        <w:pStyle w:val="Heading1"/>
        <w:keepNext/>
        <w:pageBreakBefore/>
      </w:pPr>
      <w:r>
        <w:t xml:space="preserve">附录：已审计观点</w:t>
      </w:r>
    </w:p>
    <w:p>
      <w:pPr>
        <w:pStyle w:val="Normal"/>
      </w:pPr>
      <w:r>
        <w:t xml:space="preserve">高可信结论：7 条</w:t>
      </w:r>
    </w:p>
    <w:p>
      <w:pPr>
        <w:pStyle w:val="Normal"/>
      </w:pPr>
      <w:r>
        <w:t xml:space="preserve">条件性结论：0 条</w:t>
      </w:r>
    </w:p>
    <w:p>
      <w:pPr>
        <w:pStyle w:val="Normal"/>
      </w:pPr>
      <w:r>
        <w:t xml:space="preserve">争议结论：0 条</w:t>
      </w:r>
    </w:p>
    <w:p>
      <w:pPr>
        <w:pStyle w:val="Normal"/>
      </w:pPr>
      <w:r>
        <w:t xml:space="preserve">未支持结论：0 条</w:t>
      </w:r>
    </w:p>
    <w:p>
      <w:pPr>
        <w:pStyle w:val="Normal"/>
      </w:pPr>
      <w:r>
        <w:t xml:space="preserve">未解决问题：2 条</w:t>
      </w:r>
    </w:p>
    <w:p>
      <w:pPr>
        <w:pStyle w:val="Normal"/>
      </w:pPr>
      <w:r>
        <w:t xml:space="preserve">分类沿用已审计的断言。争议与未验证内容不作为确定事实。</w:t>
      </w:r>
    </w:p>
    <w:p>
      <w:pPr>
        <w:pStyle w:val="Heading1"/>
        <w:keepNext/>
      </w:pPr>
      <w:r>
        <w:t xml:space="preserve">高可信结论</w:t>
      </w:r>
    </w:p>
    <w:p>
      <w:pPr>
        <w:pStyle w:val="Heading2"/>
        <w:keepNext/>
      </w:pPr>
      <w:bookmarkStart w:id="26" w:name="claim01a0f7c5762d74339661b347c6ffb8ff"/>
      <w:r>
        <w:t xml:space="preserve">即使承认大青龙汤麻黄古制用量为麻黄汤的两倍，也不能据此推出发汗强度必然为两倍：两方在桂枝、杏仁、甘草用量及是否配伍石膏、生姜、大枣上均有差异，且大青龙汤方解明言麻黄得石膏则辛温发表而无助热之弊，说明石膏参与制约发汗发表之性，故发汗强度不是麻黄单味药量的简单比例。</w:t>
      </w:r>
      <w:bookmarkEnd w:id="26"/>
    </w:p>
    <w:p>
      <w:pPr>
        <w:pStyle w:val="Normal"/>
      </w:pPr>
      <w:r>
        <w:t xml:space="preserve">断言 01a0f7c5-762d-7433-9661-b347c6ffb8ff；角色 Classicist；审计 SUPPORTED；理由 01a0f7c5-c436-77d8-8a27-5c25c70c52a2</w:t>
      </w:r>
    </w:p>
    <w:p>
      <w:pPr>
        <w:pStyle w:val="Normal"/>
      </w:pPr>
      <w:r>
        <w:t xml:space="preserve">审计说明：证据显示大青龙汤麻黄用量为麻黄汤之倍，但两方在桂枝、杏仁、甘草用量及石膏、生姜、大枣配伍上均有差异；方解明言“麻黄得石膏，辛温发表而无助热之弊”，且大青龙汤要求“取微似汗”“汗出多者，温粉扑之”，说明石膏参与制约发汗发表之性，发汗强度并非麻黄单味药量的简单比例。</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Heading2"/>
        <w:keepNext/>
      </w:pPr>
      <w:bookmarkStart w:id="31" w:name="claim01a0f7c5762d752a95163f4a38ecfde4"/>
      <w:r>
        <w:t xml:space="preserve">教材对两方发汗作用的表述是定性比较而非倍数比较：麻黄汤被称为辛温发汗之峻剂、辛温发汗法之基础方，大青龙汤则被称为发汗之功居解表诸方之冠，并强调取微似汗、汗出多者温粉扑之、一服汗者停后服，说明其发汗强度受方剂定位与服法控制，不能由麻黄用量直接换算为两倍。</w:t>
      </w:r>
      <w:bookmarkEnd w:id="31"/>
    </w:p>
    <w:p>
      <w:pPr>
        <w:pStyle w:val="Normal"/>
      </w:pPr>
      <w:r>
        <w:t xml:space="preserve">断言 01a0f7c5-762d-752a-9516-3f4a38ecfde4；角色 Classicist；审计 SUPPORTED；理由 01a0f7c5-ce15-7d8e-8826-741c7a3663b5</w:t>
      </w:r>
    </w:p>
    <w:p>
      <w:pPr>
        <w:pStyle w:val="Normal"/>
      </w:pPr>
      <w:r>
        <w:t xml:space="preserve">审计说明：证据中麻黄汤被称为辛温发汗之峻剂、辛温发汗法之基础方，大青龙汤被称为发汗之功居解表诸方之冠，并载取微似汗、汗出多者温粉扑之、一服汗者停后服，均为定性表述与服法控制，未将两方发汗作用表述为倍数比较。</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Heading2"/>
        <w:keepNext/>
      </w:pPr>
      <w:bookmarkStart w:id="36" w:name="claim01a0f7c591bc7be7a97654c6809a6e5c"/>
      <w:r>
        <w:t xml:space="preserve">教材对两方发汗力的表述是定性而非定量：麻黄汤为“辛温发汗之峻剂”，大青龙汤“发汗之功居解表诸方之冠”，并强调“一服得汗者，停后服”“取微似汗”“汗出多者，温粉扑之”。这些表述说明发汗强度受配伍、煎服法与取汗要求共同制约，不能仅凭麻黄用量倍数推出“必然两倍”。</w:t>
      </w:r>
      <w:bookmarkEnd w:id="36"/>
    </w:p>
    <w:p>
      <w:pPr>
        <w:pStyle w:val="Normal"/>
      </w:pPr>
      <w:r>
        <w:t xml:space="preserve">断言 01a0f7c5-91bc-7be7-a976-54c6809a6e5c；角色 HistoricalScholar；审计 SUPPORTED；理由 01a0f7c5-e91f-7ab6-a0c9-5589b1d50d50</w:t>
      </w:r>
    </w:p>
    <w:p>
      <w:pPr>
        <w:pStyle w:val="Normal"/>
      </w:pPr>
      <w:r>
        <w:t xml:space="preserve">审计说明：两段证据分别支持：麻黄汤被称为“辛温发汗之峻剂”，大青龙汤“发汗之功居解表诸方之冠”，并载有“一服得汗者，停后服”“取微似汗”“汗出多者，温粉扑之”等取汗要求；大青龙汤方解还说明麻黄“其量为麻黄汤之倍”但发汗力受石膏、配伍等制约，故不能仅凭麻黄用量倍数推出必然两倍。</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Heading2"/>
        <w:keepNext/>
      </w:pPr>
      <w:bookmarkStart w:id="41" w:name="claim01a0f7c591bc7d6f8001757cb8e588c3"/>
      <w:r>
        <w:t xml:space="preserve">两方配伍结构不同：大青龙汤系由麻黄汤倍用麻黄、甘草，减少杏仁用量，再加石膏、生姜、大枣而成；方中石膏辛甘大寒，与麻黄相制，“麻黄得石膏，辛温发表而无助热之弊；石膏得麻黄，大寒清热而无凉遏之虞”。因此即使麻黄用量加倍，石膏的配伍制约也使发汗强度不能简单按麻黄用量成比例推断。</w:t>
      </w:r>
      <w:bookmarkEnd w:id="41"/>
    </w:p>
    <w:p>
      <w:pPr>
        <w:pStyle w:val="Normal"/>
      </w:pPr>
      <w:r>
        <w:t xml:space="preserve">断言 01a0f7c5-91bc-7d6f-8001-757cb8e588c3；角色 HistoricalScholar；审计 SUPPORTED；理由 01a0f7c5-f8c3-7315-bfa0-79ff4376460a</w:t>
      </w:r>
    </w:p>
    <w:p>
      <w:pPr>
        <w:pStyle w:val="Normal"/>
      </w:pPr>
      <w:r>
        <w:t xml:space="preserve">审计说明：原文明确记载大青龙汤由麻黄汤倍用麻黄、甘草，减少杏仁用量，再加石膏、生姜、大枣而成；并载有“麻黄得石膏，辛温发表而无助热之弊；石膏得麻黄，大寒清热而无凉遏之虞”及“倍用麻黄以确保其发汗之力”等表述，支持石膏配伍制约使发汗强度不能简单按麻黄用量成比例推断。</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2"/>
        <w:keepNext/>
      </w:pPr>
      <w:bookmarkStart w:id="45" w:name="claim01a0f7c591bc7f60ae4b5473b7ac20ad"/>
      <w:r>
        <w:t xml:space="preserve">从古制剂量看，大青龙汤麻黄六两确为麻黄汤麻黄三两的两倍；但教材括注克数分别为12g与9g，并非两倍关系。教材明确说明括注克数“与原方古代剂量并非是度量衡制上的绝对等值换算，切忌以此推算古今剂量之换算标准”，故不能以括注克数直接推出发汗强度成倍。</w:t>
      </w:r>
      <w:bookmarkEnd w:id="45"/>
    </w:p>
    <w:p>
      <w:pPr>
        <w:pStyle w:val="Normal"/>
      </w:pPr>
      <w:r>
        <w:t xml:space="preserve">断言 01a0f7c5-91bc-7f60-ae4b-5473b7ac20ad；角色 HistoricalScholar；审计 SUPPORTED；理由 01a0f7c5-dc09-7d1f-9299-4e44f441be9e</w:t>
      </w:r>
    </w:p>
    <w:p>
      <w:pPr>
        <w:pStyle w:val="Normal"/>
      </w:pPr>
      <w:r>
        <w:t xml:space="preserve">审计说明：证据1显示大青龙汤麻黄六两(12g)，证据2显示麻黄汤麻黄三两(9g)，古制六两确为三两两倍，而括注克数12g与9g非两倍；证据3明确说明括注克数“与原方古代剂量并非是度量衡制上的绝对等值换算，切忌以此推算古今剂量之换算标准”，支持不能以括注克数直接推算。</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Link"/>
      </w:pPr>
      <w:hyperlink w:anchor="evidence01a0f75f142e7cc2863c85f018be3f3d">
        <w:r>
          <w:rPr>
            <w:color w:val="0563C1"/>
            <w:u w:val="single"/>
          </w:rPr>
          <w:t xml:space="preserve">引用证据：《方剂学（麻黄汤与大青龙汤研究）》，来源修订 2，定位 路径 paragraph:136、页 1、段 136 至 路径 paragraph:140、页 1、段 140，证据修订 01a0f75f-142e-7cc2-863c-85f018be3f3d</w:t>
        </w:r>
      </w:hyperlink>
    </w:p>
    <w:p>
      <w:pPr>
        <w:pStyle w:val="Heading2"/>
        <w:keepNext/>
      </w:pPr>
      <w:bookmarkStart w:id="51" w:name="claim01a0f7c5ae467997b74d8a077889591f"/>
      <w:r>
        <w:t xml:space="preserve">从古制剂量看，大青龙汤麻黄六两确为麻黄汤麻黄三两的两倍；但教材括注克数分别为12g与9g，并非两倍关系，且教材明确括注剂量是参考当代临床习用剂量而定，并非古制剂的绝对等值换算，因此不能以括注克数直接推算两方麻黄用量的倍数关系。</w:t>
      </w:r>
      <w:bookmarkEnd w:id="51"/>
    </w:p>
    <w:p>
      <w:pPr>
        <w:pStyle w:val="Normal"/>
      </w:pPr>
      <w:r>
        <w:t xml:space="preserve">断言 01a0f7c5-ae46-7997-b74d-8a077889591f；角色 Theorist；审计 SUPPORTED；理由 01a0f7c6-0a19-7dcb-af81-fa94ca46d8b6</w:t>
      </w:r>
    </w:p>
    <w:p>
      <w:pPr>
        <w:pStyle w:val="Normal"/>
      </w:pPr>
      <w:r>
        <w:t xml:space="preserve">审计说明：证据1显示大青龙汤麻黄六两(12g)，证据2显示麻黄汤麻黄三两(9g)，古制六两确为三两两倍，但括注12g与9g非两倍；证据3明确括注克数参考当代临床习用剂量而定，并非古制绝对等值换算，切忌以此推算换算标准，支持不能以括注克数直接推算倍数关系。</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Link"/>
      </w:pPr>
      <w:hyperlink w:anchor="evidence01a0f75f142e7cc2863c85f018be3f3d">
        <w:r>
          <w:rPr>
            <w:color w:val="0563C1"/>
            <w:u w:val="single"/>
          </w:rPr>
          <w:t xml:space="preserve">引用证据：《方剂学（麻黄汤与大青龙汤研究）》，来源修订 2，定位 路径 paragraph:136、页 1、段 136 至 路径 paragraph:140、页 1、段 140，证据修订 01a0f75f-142e-7cc2-863c-85f018be3f3d</w:t>
        </w:r>
      </w:hyperlink>
    </w:p>
    <w:p>
      <w:pPr>
        <w:pStyle w:val="Heading2"/>
        <w:keepNext/>
      </w:pPr>
      <w:bookmarkStart w:id="57" w:name="claim01a0f7c5ae467b84b68467a3f015eaf7"/>
      <w:r>
        <w:t xml:space="preserve">两方并非仅麻黄用量不同：大青龙汤由麻黄汤倍用麻黄、倍用甘草、减少杏仁用量，再加石膏、生姜、大枣而成；方中石膏与麻黄配伍，教材称“麻黄得石膏，辛温发表而无助热之弊”，且大青龙汤用法要求“取微似汗”“汗出多者，温粉扑之”“一服汗者，停后服”。因此，即使麻黄用量增加，其实际发汗表现也受石膏配伍与服法约束，不能仅凭麻黄用量倍数直接判定发汗强度倍数。</w:t>
      </w:r>
      <w:bookmarkEnd w:id="57"/>
    </w:p>
    <w:p>
      <w:pPr>
        <w:pStyle w:val="Normal"/>
      </w:pPr>
      <w:r>
        <w:t xml:space="preserve">断言 01a0f7c5-ae46-7b84-b684-67a3f015eaf7；角色 Theorist；审计 SUPPORTED；理由 01a0f7c6-11f7-7b45-bc0d-47373f91582a</w:t>
      </w:r>
    </w:p>
    <w:p>
      <w:pPr>
        <w:pStyle w:val="Normal"/>
      </w:pPr>
      <w:r>
        <w:t xml:space="preserve">审计说明：证据明确记载大青龙汤系由麻黄汤倍用麻黄、甘草，减少杏仁用量，再加石膏、生姜、大枣而成；并载有“麻黄得石膏，辛温发表而无助热之弊”及“取微似汗”“汗出多者，温粉扑之”“一服汗者，停后服”等用法要求，支持该断言。</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Heading1"/>
        <w:keepNext/>
      </w:pPr>
      <w:r>
        <w:t xml:space="preserve">条件性结论</w:t>
      </w:r>
    </w:p>
    <w:p>
      <w:pPr>
        <w:pStyle w:val="Normal"/>
      </w:pPr>
      <w:r>
        <w:t xml:space="preserve">本类无断言。</w:t>
      </w:r>
    </w:p>
    <w:p>
      <w:pPr>
        <w:pStyle w:val="Heading1"/>
        <w:keepNext/>
      </w:pPr>
      <w:r>
        <w:t xml:space="preserve">争议结论</w:t>
      </w:r>
    </w:p>
    <w:p>
      <w:pPr>
        <w:pStyle w:val="Normal"/>
      </w:pPr>
      <w:r>
        <w:t xml:space="preserve">本类无断言。</w:t>
      </w:r>
    </w:p>
    <w:p>
      <w:pPr>
        <w:pStyle w:val="Heading1"/>
        <w:keepNext/>
      </w:pPr>
      <w:r>
        <w:t xml:space="preserve">未支持结论</w:t>
      </w:r>
    </w:p>
    <w:p>
      <w:pPr>
        <w:pStyle w:val="Normal"/>
      </w:pPr>
      <w:r>
        <w:t xml:space="preserve">本类无断言。</w:t>
      </w:r>
    </w:p>
    <w:p>
      <w:pPr>
        <w:pStyle w:val="Heading1"/>
        <w:keepNext/>
      </w:pPr>
      <w:r>
        <w:t xml:space="preserve">未解决问题</w:t>
      </w:r>
    </w:p>
    <w:p>
      <w:pPr>
        <w:pStyle w:val="Heading2"/>
        <w:keepNext/>
      </w:pPr>
      <w:bookmarkStart w:id="69" w:name="claim01a0f7c5762d7b99971cf575739fc03a"/>
      <w:r>
        <w:t xml:space="preserve">从古制剂量看，大青龙汤麻黄六两确为麻黄汤麻黄三两的两倍；但教材括注克数分别为12g与9g，并非两倍，且教材明确说明括注克数不是古制剂量的绝对等值换算，因此不能以括注克数直接推算两方麻黄用量的倍数关系。</w:t>
      </w:r>
      <w:bookmarkEnd w:id="69"/>
    </w:p>
    <w:p>
      <w:pPr>
        <w:pStyle w:val="Normal"/>
      </w:pPr>
      <w:r>
        <w:t xml:space="preserve">断言 01a0f7c5-762d-7b99-971c-f575739fc03a；角色 Classicist；审计 SUPPORTED；理由 01a0f7c7-7076-7535-8f0f-a3c0a7d01a44</w:t>
      </w:r>
    </w:p>
    <w:p>
      <w:pPr>
        <w:pStyle w:val="Normal"/>
      </w:pPr>
      <w:r>
        <w:t xml:space="preserve">审计说明：证据显示大青龙汤麻黄六两(12g)、麻黄汤麻黄三两(9g)，古制六两确为三两两倍而括注12g与9g非两倍；且教材明确括注克数为现代参考剂量，并非古剂量的绝对等值换算，切忌以此推算换算标准，故不能以括注克数直接推算两方麻黄用量倍数关系。</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Link"/>
      </w:pPr>
      <w:hyperlink w:anchor="evidence01a0f75f142e7cc2863c85f018be3f3d">
        <w:r>
          <w:rPr>
            <w:color w:val="0563C1"/>
            <w:u w:val="single"/>
          </w:rPr>
          <w:t xml:space="preserve">引用证据：《方剂学（麻黄汤与大青龙汤研究）》，来源修订 2，定位 路径 paragraph:136、页 1、段 136 至 路径 paragraph:140、页 1、段 140，证据修订 01a0f75f-142e-7cc2-863c-85f018be3f3d</w:t>
        </w:r>
      </w:hyperlink>
    </w:p>
    <w:p>
      <w:pPr>
        <w:pStyle w:val="Normal"/>
      </w:pPr>
      <w:r>
        <w:t xml:space="preserve">证据缺口：01a0f7c7-7076-7535-8f0f-a3c0a7d01a44</w:t>
      </w:r>
    </w:p>
    <w:p>
      <w:pPr>
        <w:pStyle w:val="Heading2"/>
        <w:keepNext/>
      </w:pPr>
      <w:bookmarkStart w:id="76" w:name="claim01a0f7c5ae4679f091c286b3b2d494e0"/>
      <w:r>
        <w:t xml:space="preserve">推论：在可见证据范围内，“大青龙汤原方麻黄用量是麻黄汤的两倍，因此发汗强度也必然是两倍”这一推断不能成立。前提是：方剂功用由配伍关系与药力共同决定，且教材括注克数非古制绝对换算；边界是：证据仅支持两方在麻黄古制用量上存在两倍差异，并提示配伍、服法及“取微似汗”等要求会影响发汗表现，但未提供可直接量化发汗强度的数据，故不能把用量倍数等同于发汗强度倍数。</w:t>
      </w:r>
      <w:bookmarkEnd w:id="76"/>
    </w:p>
    <w:p>
      <w:pPr>
        <w:pStyle w:val="Normal"/>
      </w:pPr>
      <w:r>
        <w:t xml:space="preserve">断言 01a0f7c5-ae46-79f0-91c2-86b3b2d494e0；角色 Theorist；审计 SUPPORTED；理由 01a0f7c7-7080-7158-9457-1abb401ec982</w:t>
      </w:r>
    </w:p>
    <w:p>
      <w:pPr>
        <w:pStyle w:val="Normal"/>
      </w:pPr>
      <w:r>
        <w:t xml:space="preserve">审计说明：证据1明确大青龙汤麻黄“其量为麻黄汤之倍”，并载“取微似汗”“汗出多者，温粉扑之”等服法要求；证据2说明配伍关系是决定方剂功用的主要因素、药量变化会影响配伍与功用；证据3说明教材括注克数非古制绝对换算。三者共同支持：仅凭麻黄用量两倍不能推出“发汗强度必然两倍”，且未提供量化发汗强度数据。</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75f12ee7281a0436f5f462d13e7">
        <w:r>
          <w:rPr>
            <w:color w:val="0563C1"/>
            <w:u w:val="single"/>
          </w:rPr>
          <w:t xml:space="preserve">引用证据：《方剂学（麻黄汤与大青龙汤研究）》，来源修订 2，定位 路径 paragraph:116、页 1、段 116 至 路径 paragraph:120、页 1、段 120，证据修订 01a0f75f-12ee-7281-a043-6f5f462d13e7</w:t>
        </w:r>
      </w:hyperlink>
    </w:p>
    <w:p>
      <w:pPr>
        <w:pStyle w:val="Link"/>
      </w:pPr>
      <w:hyperlink w:anchor="evidence01a0f75f142e7cc2863c85f018be3f3d">
        <w:r>
          <w:rPr>
            <w:color w:val="0563C1"/>
            <w:u w:val="single"/>
          </w:rPr>
          <w:t xml:space="preserve">引用证据：《方剂学（麻黄汤与大青龙汤研究）》，来源修订 2，定位 路径 paragraph:136、页 1、段 136 至 路径 paragraph:140、页 1、段 140，证据修订 01a0f75f-142e-7cc2-863c-85f018be3f3d</w:t>
        </w:r>
      </w:hyperlink>
    </w:p>
    <w:p>
      <w:pPr>
        <w:pStyle w:val="Normal"/>
      </w:pPr>
      <w:r>
        <w:t xml:space="preserve">证据缺口：01a0f7c7-7080-7158-9457-1abb401ec982</w:t>
      </w:r>
    </w:p>
    <w:p>
      <w:pPr>
        <w:pStyle w:val="Heading1"/>
        <w:keepNext/>
      </w:pPr>
      <w:r>
        <w:t xml:space="preserve">争议与限制</w:t>
      </w:r>
    </w:p>
    <w:p>
      <w:pPr>
        <w:pStyle w:val="Normal"/>
      </w:pPr>
      <w:r>
        <w:t xml:space="preserve">缺口 01a0f7c7-7076-7535-8f0f-a3c0a7d01a44，断言 01a0f7c5-762d-7b99-971c-f575739fc03a：CRITIQUE_EVIDENCE_GAP，该 Claim 断言“不能以括注克数直接推算两方麻黄用量的倍数关系”，但所引证据仅说明括注克数非古制绝对等值换算、不可据以推算古今换算标准，并未直接讨论“两方麻黄用量倍数关系”能否由括注克数推算。教材原文的告诫针对的是古今度量衡折算，而非方间用量比较；将“不可推算古今换算标准”扩展为“不可推算两方用量倍数”属于对告诫适用范围的延伸，缺少直接文本依据。</w:t>
      </w:r>
    </w:p>
    <w:p>
      <w:pPr>
        <w:pStyle w:val="Normal"/>
      </w:pPr>
      <w:r>
        <w:t xml:space="preserve">缺口 01a0f7c7-7080-7158-9457-1abb401ec982，断言 01a0f7c5-ae46-79f0-91c2-86b3b2d494e0：CRITIQUE_EVIDENCE_GAP，该推论 Claim 的边界声明称“证据仅支持两方在麻黄古制用量上存在两倍差异”，但未处理煎服法差异对可比性的影响：麻黄汤“煮取二升半……温服八合”（约三服），大青龙汤“煮取三升……温服一升”（约三服），两方每次服用所摄取的麻黄量是否仍为两倍，取决于总煎出量与分服次数的对应关系。Claim 将“原方麻黄用量两倍”直接等同于“每次服用麻黄量两倍”，未说明这一口径问题，存在证据链缺口。</w:t>
      </w:r>
    </w:p>
    <w:p>
      <w:pPr>
        <w:pStyle w:val="Normal"/>
      </w:pPr>
      <w:r>
        <w:t xml:space="preserve">另有 0 条未审定断言未进入综合。</w:t>
      </w:r>
    </w:p>
    <w:p>
      <w:pPr>
        <w:pStyle w:val="Heading1"/>
        <w:keepNext/>
      </w:pPr>
      <w:r>
        <w:t xml:space="preserve">原文证据与定位</w:t>
      </w:r>
    </w:p>
    <w:p>
      <w:pPr>
        <w:pStyle w:val="Heading2"/>
        <w:keepNext/>
      </w:pPr>
      <w:bookmarkStart w:id="88" w:name="evidence01a0f68be48e7f22b77820ef1354026a"/>
      <w:r>
        <w:t xml:space="preserve">证据 1 《方剂学（麻黄汤与大青龙汤研究）》</w:t>
      </w:r>
      <w:bookmarkEnd w:id="88"/>
    </w:p>
    <w:p>
      <w:pPr>
        <w:pStyle w:val="Normal"/>
      </w:pPr>
      <w:r>
        <w:t xml:space="preserve">《方剂学（麻黄汤与大青龙汤研究）》，来源修订 2，定位 路径 paragraph:157、页 1、段 157 至 路径 paragraph:164、页 1、段 164，证据修订 01a0f68b-e48e-7f22-b778-20ef1354026a</w:t>
      </w:r>
    </w:p>
    <w:p>
      <w:pPr>
        <w:pStyle w:val="Quote"/>
      </w:pPr>
      <w:r>
        <w:t xml:space="preserve">【组成】麻黄去节，三两(9g)桂枝去皮，二两(6g)杏仁去皮尖，七十个(9g)甘草炙，一两(3g)</w:t>
      </w:r>
      <w:r>
        <w:br/>
        <w:t xml:space="preserve">【用法】上四味，以水九升，先煮麻黄，减二升，去上沫，内诸药，煮取二升半，去滓，温</w:t>
      </w:r>
      <w:r>
        <w:br/>
        <w:t xml:space="preserve">服八合。覆取微似汗，不须啜粥，余如桂枝法将息(现代用法：水煎服，温覆取微汗)。</w:t>
      </w:r>
      <w:r>
        <w:br/>
        <w:t xml:space="preserve">【功用】发汗解表，宣肺平喘。</w:t>
      </w:r>
      <w:r>
        <w:br/>
        <w:t xml:space="preserve">【主治】外感风寒表实证。恶寒发热，头身疼痛，无汗而喘，舌苔薄白，脉浮紧。</w:t>
      </w:r>
      <w:r>
        <w:br/>
        <w:t xml:space="preserve">【证治机理】本证系由风寒束表，肺气失宣所致。风寒之邪侵袭肌表，营卫首当其冲，寒性</w:t>
      </w:r>
      <w:r>
        <w:br/>
        <w:t xml:space="preserve">收引凝滞，致使卫阳被遏，营阴郁滞，即卫闭营郁。卫气抗邪，正邪相争，则恶寒、发热；营卫</w:t>
      </w:r>
      <w:r>
        <w:br/>
        <w:t xml:space="preserve">不畅，腠理闭塞，经脉不通，则无汗、头痛、身痛、骨节疼痛；皮毛内合于肺，寒邪束表，肺气</w:t>
      </w:r>
      <w:r>
        <w:br/>
        <w:t xml:space="preserve">不宣，则上逆为喘；舌苔薄白，脉浮紧，皆是风寒束表之象。法当发汗解表，宣肺平喘。</w:t>
      </w:r>
      <w:r>
        <w:br/>
        <w:t xml:space="preserve">【方解】方中麻黄辛温，《本草纲目》谓其“肺经之专药”,为发汗之峻剂，既开腠理、透毛</w:t>
      </w:r>
      <w:r>
        <w:br/>
        <w:t xml:space="preserve">窍，发汗以祛在表之风寒；又开宣肺气，宣散肺经风寒而平喘，为君药。风寒外束，卫闭营郁，</w:t>
      </w:r>
      <w:r>
        <w:br/>
        <w:t xml:space="preserve">仅以麻黄开表散寒，恐难解营郁之滞，遂臣以辛温而甘之桂枝解肌发表，通达营卫，既助麻黄发</w:t>
      </w:r>
      <w:r>
        <w:br/>
        <w:t xml:space="preserve">汗散寒之力，又可温通营卫之郁。麻黄、桂枝相须为用，发汗之力较强，可使风寒去而营卫和。</w:t>
      </w:r>
      <w:r>
        <w:br/>
        <w:t xml:space="preserve">肺主宣降，肺气郁闭，宣降失常，故又佐以杏仁利肺平喘，与麻黄相伍，一宣一降，以复肺气宣</w:t>
      </w:r>
      <w:r>
        <w:br/>
        <w:t xml:space="preserve">降之权而平喘，又使邪气去而肺气和。使以炙甘草，既调和药性，又缓麻、桂峻烈之性，使汗出</w:t>
      </w:r>
      <w:r>
        <w:br/>
        <w:t xml:space="preserve">而不致耗伤正气。四药相伍，麻桂相须，腠开营畅，麻杏相使，宣降得宜，使风寒得散，肺气得</w:t>
      </w:r>
      <w:r>
        <w:br/>
        <w:t xml:space="preserve">宣，诸症可愈。</w:t>
      </w:r>
      <w:r>
        <w:br/>
        <w:t xml:space="preserve">【运用】本方既为治疗外感风寒表实证之代表方，又为辛温发汗法之基础方。以恶寒发热，</w:t>
      </w:r>
      <w:r>
        <w:br/>
        <w:t xml:space="preserve">无汗而喘，脉浮紧为辨证要点。本方为辛温发汗之峻剂，当中病即止，不可过服。柯琴指出：</w:t>
      </w:r>
      <w:r>
        <w:br/>
        <w:t xml:space="preserve">“此乃纯阳之剂，过于发散，如单刀直入之将，投之恰当，一战成功，不当则不戢而招祸。故用</w:t>
      </w:r>
      <w:r>
        <w:br/>
        <w:t xml:space="preserve">之发表，可一而不可再。”(《伤寒来苏集》)对于“疮家”“淋家”“衄家”“亡血家”,以及外感表</w:t>
      </w:r>
      <w:r>
        <w:br/>
        <w:t xml:space="preserve">虚自汗、血虚而脉兼“尺中迟”、或误下而见“身重心悸”等，虽有表寒证，亦皆应禁用。</w:t>
      </w:r>
    </w:p>
    <w:p>
      <w:pPr>
        <w:pStyle w:val="Normal"/>
      </w:pPr>
      <w:r>
        <w:t xml:space="preserve">来源 ID 01a0f5ce-fd1e-7f42-85ed-020d3de18a1c；来源修订 ID 01a0f5f1-ea2e-773b-a8d2-4dcbd42c35cc；文本片段修订 ID 01a0f5f2-d2a3-70b4-ac0d-b899a76f5dd1, 01a0f5f2-d2a3-72ee-ab6a-991cfbedbb0c, 01a0f5f2-d2a3-71c5-811d-e371f6774fee, 01a0f5f2-d2a3-7fa7-bb7d-923ef50e80f7, 01a0f5f2-d2a3-7dc5-aff8-fe3ddf2421dd, 01a0f5f2-d2a3-7675-86f0-3d3550983396, 01a0f5f2-d2a4-7c63-8abd-754cf42e9da4, 01a0f5f2-d2a4-7563-9221-a6b5b0f36309</w:t>
      </w:r>
    </w:p>
    <w:p>
      <w:pPr>
        <w:pStyle w:val="Heading2"/>
        <w:keepNext/>
      </w:pPr>
      <w:bookmarkStart w:id="92" w:name="evidence01a0f68d64847e989118d6bc2bb2cfaa"/>
      <w:r>
        <w:t xml:space="preserve">证据 2 《方剂学（麻黄汤与大青龙汤研究）》</w:t>
      </w:r>
      <w:bookmarkEnd w:id="92"/>
    </w:p>
    <w:p>
      <w:pPr>
        <w:pStyle w:val="Normal"/>
      </w:pPr>
      <w:r>
        <w:t xml:space="preserve">《方剂学（麻黄汤与大青龙汤研究）》，来源修订 2，定位 路径 paragraph:180、页 1、段 180 至 路径 paragraph:194、页 1、段 194，证据修订 01a0f68d-6484-7e98-9118-d6bc2bb2cfaa</w:t>
      </w:r>
    </w:p>
    <w:p>
      <w:pPr>
        <w:pStyle w:val="Quote"/>
      </w:pPr>
      <w:r>
        <w:t xml:space="preserve">【组成】麻黄去节，六两(12g) 桂枝二两(6g)甘草炙，二两(6g)杏仁去皮尖，四十粒(6g)石</w:t>
      </w:r>
      <w:r>
        <w:br/>
        <w:t xml:space="preserve">膏如鸡子大，碎(18g)生姜三两(9g)大枣十二枚，擘(6g)</w:t>
      </w:r>
      <w:r>
        <w:br/>
        <w:t xml:space="preserve">【用法】上七味，以水九升，先煮麻黄，减二升，去上沫，内诸药，煮取三升，去滓，温服</w:t>
      </w:r>
      <w:r>
        <w:br/>
        <w:t xml:space="preserve">一升，取微似汗。汗出多者，温粉扑之。一服汗者，停后服。若复服，汗多亡阳，遂虚，恶风烦</w:t>
      </w:r>
      <w:r>
        <w:br/>
        <w:t xml:space="preserve">躁，不得眠也(现代用法：水煎温服，取微汗)。</w:t>
      </w:r>
      <w:r>
        <w:br/>
        <w:t xml:space="preserve">【功用】发汗解表，兼清里热。</w:t>
      </w:r>
      <w:r>
        <w:br/>
        <w:t xml:space="preserve">【主治】</w:t>
      </w:r>
      <w:r>
        <w:br/>
        <w:t xml:space="preserve">1.外感风寒，内有郁热证。恶寒发热，头身疼痛，不汗出而烦躁，脉浮紧。</w:t>
      </w:r>
      <w:r>
        <w:br/>
        <w:t xml:space="preserve">2.溢饮。身体疼重，或四肢浮肿，恶寒身热，无汗，烦躁，脉浮紧。</w:t>
      </w:r>
      <w:r>
        <w:br/>
        <w:t xml:space="preserve">【证治机理】风寒束表，卫阳被遏，营阴郁滞，毛窍闭塞，故见恶寒发热、头身疼痛、无</w:t>
      </w:r>
      <w:r>
        <w:br/>
        <w:t xml:space="preserve">汗、脉浮紧之风寒表实证。表寒证又与烦躁、口渴并见，当系阳盛之体，外受风寒，寒邪较甚，</w:t>
      </w:r>
      <w:r>
        <w:br/>
        <w:t xml:space="preserve">表气闭郁较重，致使阳气内郁而化热，热邪伤津则口渴；热无宣泄之径，扰于胸中则烦，烦甚</w:t>
      </w:r>
      <w:r>
        <w:br/>
        <w:t xml:space="preserve">则躁。正如张秉成所谓：“阳盛之人，外为风寒骤加，则阳气内郁而不伸，故见燥烦不宁之象。”</w:t>
      </w:r>
      <w:r>
        <w:br/>
        <w:t xml:space="preserve">(《成方便读》)此证为风寒束表，里有郁热。法当发汗解表为主，兼清郁热。</w:t>
      </w:r>
      <w:r>
        <w:br/>
        <w:t xml:space="preserve">《金匮要略》又以本方治疗外感风寒，水饮内郁化热之溢饮。溢饮乃“饮水流行，归于四</w:t>
      </w:r>
      <w:r>
        <w:br/>
        <w:t xml:space="preserve">肢，当汗出而不汗出，身体疼重”之病证。风寒外束，水饮溢于四肢，则身体疼痛或浮肿，饮邪</w:t>
      </w:r>
      <w:r>
        <w:br/>
        <w:t xml:space="preserve">郁而化热则烦躁。二者病症虽异，但同属风寒束表、里有郁热之证，故皆用本方以异病同治。</w:t>
      </w:r>
      <w:r>
        <w:br/>
        <w:t xml:space="preserve">【方解】方中麻黄为君，发汗解表、宣肺平喘、利水消肿，其量为麻黄汤之倍，则开泄腠</w:t>
      </w:r>
      <w:r>
        <w:br/>
        <w:t xml:space="preserve">理，发汗散寒之力尤峻。桂枝辛温，解肌发汗，助麻黄解表而和营卫；石膏辛甘而寒，清里热并</w:t>
      </w:r>
      <w:r>
        <w:br/>
        <w:t xml:space="preserve">透郁热，二者同为臣药。麻黄得石膏，辛温发表而无助热之弊；石膏得麻黄，大寒清热而无凉遏</w:t>
      </w:r>
      <w:r>
        <w:br/>
        <w:t xml:space="preserve">之虞。杏仁降利肺气，与麻黄相合，宣降肺气，以适肺性；生姜、大枣合用则和脾胃、调营卫，</w:t>
      </w:r>
      <w:r>
        <w:br/>
        <w:t xml:space="preserve">兼助解表、益汗源，共为佐药。甘草益气和中，既缓辛温峻散之力，又调和诸药，且防石膏寒凉</w:t>
      </w:r>
      <w:r>
        <w:br/>
        <w:t xml:space="preserve">伤中，为佐使药。诸药相伍，寒温并用，发汗散寒之中又兼清解里热之效。</w:t>
      </w:r>
      <w:r>
        <w:br/>
        <w:t xml:space="preserve">本方麻黄发汗解表，桂枝温阳化气，生姜温胃散水，皆助麻黄发汗行水。麻黄、杏仁宣降肺</w:t>
      </w:r>
      <w:r>
        <w:br/>
        <w:t xml:space="preserve">气以通调水道；石膏清泄溢饮郁热；姜、枣、草益气和中，和营卫，运化水湿。全方发汗解表，</w:t>
      </w:r>
      <w:r>
        <w:br/>
        <w:t xml:space="preserve">宣通腠理，开鬼门以发越水气；宣降肺气，通调水道以利湿化饮，故亦治溢饮有表证兼里热者。</w:t>
      </w:r>
      <w:r>
        <w:br/>
        <w:t xml:space="preserve">【运用】本方为治疗外感风寒，里兼郁热证之常用方。以恶寒发热，无汗，烦躁，脉浮紧为</w:t>
      </w:r>
      <w:r>
        <w:br/>
        <w:t xml:space="preserve">辨证要点。表虚者，不可用，故原书强调：“若脉微弱，汗出恶风者，不可服。”本方发汗之功居</w:t>
      </w:r>
      <w:r>
        <w:br/>
        <w:t xml:space="preserve">解表诸方之冠，故“一服得汗者，停后服”,以防过剂；原书要求“取微似汗”“汗出多者，温粉</w:t>
      </w:r>
      <w:r>
        <w:br/>
        <w:t xml:space="preserve">扑之”。</w:t>
      </w:r>
      <w:r>
        <w:br/>
        <w:t xml:space="preserve">【鉴别】大青龙汤与麻黄汤均可治疗外感风寒表实证，同用麻黄、桂枝辛温解表发汗。然大</w:t>
      </w:r>
      <w:r>
        <w:br/>
        <w:t xml:space="preserve">青龙汤系由麻黄汤倍用麻黄、甘草，减少杏仁用量，再加石膏、生姜、大枣而成。证属风寒重</w:t>
      </w:r>
      <w:r>
        <w:br/>
        <w:t xml:space="preserve">证，兼内有郁热，故方中配以辛甘大寒之石膏以清解内热；且倍用麻黄以确保其发汗之力；减杏</w:t>
      </w:r>
      <w:r>
        <w:br/>
        <w:t xml:space="preserve">仁用量，乃因无喘逆之症。</w:t>
      </w:r>
      <w:r>
        <w:br/>
        <w:t xml:space="preserve">【方论选录】此即加味麻黄汤也。诸症全是麻黄，而有喘与烦躁之不同。喘者是寒郁其气，</w:t>
      </w:r>
      <w:r>
        <w:br/>
        <w:t xml:space="preserve">升降不得自如，故多杏仁之苦以降气；烦躁是热伤其气，无津不能作汗，故特加石膏之甘以生</w:t>
      </w:r>
      <w:r>
        <w:br/>
        <w:t xml:space="preserve">津。然其质沉，其性寒，恐其内热顿除，而外之表邪不解，变为寒中而协热下利，是引贼破家</w:t>
      </w:r>
      <w:r>
        <w:br/>
        <w:t xml:space="preserve">矣。故必倍麻黄以发汗，又倍甘草以和中，更用姜、枣以调营卫，一汗而表里双解，风热两除。</w:t>
      </w:r>
      <w:r>
        <w:br/>
        <w:t xml:space="preserve">此大青龙清内攘外之功，所以佐麻、桂二方之不及也。(柯琴《伤寒来苏集·伤寒论注》卷二)</w:t>
      </w:r>
    </w:p>
    <w:p>
      <w:pPr>
        <w:pStyle w:val="Normal"/>
      </w:pPr>
      <w:r>
        <w:t xml:space="preserve">来源 ID 01a0f5ce-fd1e-7f42-85ed-020d3de18a1c；来源修订 ID 01a0f5f1-ea2e-773b-a8d2-4dcbd42c35cc；文本片段修订 ID 01a0f5f2-d2a8-7a59-b945-9dd2d048bd0c, 01a0f5f2-d2a8-73c4-ad86-b4acfc52ffc4, 01a0f5f2-d2a8-797b-b453-632327da091b, 01a0f5f2-d2a8-7b26-bf7d-d88b30174a19, 01a0f5f2-d2a8-7a18-a20f-ff86afbff825, 01a0f5f2-d2a8-72a1-9bf5-da7624b99db9, 01a0f5f2-d2a8-7c85-bc73-9e46272b8e9a, 01a0f5f2-d2a9-770e-92cf-1c4f7f941ac0, 01a0f5f2-d2a9-7910-bad6-88bfb9f7a6f1, 01a0f5f2-d2a9-74dd-bd42-917a5f8fa634, 01a0f5f2-d2a9-70e2-82a5-1e32ce8b6de1, 01a0f5f2-d2a9-772f-8853-bb0757fe59a1, 01a0f5f2-d2a9-7572-94a9-5879657ec562, 01a0f5f2-d2aa-7c38-97c5-9c4eb3b67e2b, 01a0f5f2-d2aa-74f3-aa5f-d83c02931f04</w:t>
      </w:r>
    </w:p>
    <w:p>
      <w:pPr>
        <w:pStyle w:val="Heading2"/>
        <w:keepNext/>
      </w:pPr>
      <w:bookmarkStart w:id="96" w:name="evidence01a0f75f12ee7281a0436f5f462d13e7"/>
      <w:r>
        <w:t xml:space="preserve">证据 3 《方剂学（麻黄汤与大青龙汤研究）》</w:t>
      </w:r>
      <w:bookmarkEnd w:id="96"/>
    </w:p>
    <w:p>
      <w:pPr>
        <w:pStyle w:val="Normal"/>
      </w:pPr>
      <w:r>
        <w:t xml:space="preserve">《方剂学（麻黄汤与大青龙汤研究）》，来源修订 2，定位 路径 paragraph:116、页 1、段 116 至 路径 paragraph:120、页 1、段 120，证据修订 01a0f75f-12ee-7281-a043-6f5f462d13e7</w:t>
      </w:r>
    </w:p>
    <w:p>
      <w:pPr>
        <w:pStyle w:val="Quote"/>
      </w:pPr>
      <w:r>
        <w:t xml:space="preserve">二、方剂的变化</w:t>
      </w:r>
      <w:r>
        <w:br/>
        <w:t xml:space="preserve">方剂的组成是根据病情的需要及患者体质、性别、年龄之不同，并参照季节与气候的变化、</w:t>
      </w:r>
      <w:r>
        <w:br/>
        <w:t xml:space="preserve">地域的差异等因素而确定的。因此，运用成方，或遣药组方时，必须因病、因人、因时、因地制</w:t>
      </w:r>
      <w:r>
        <w:br/>
        <w:t xml:space="preserve">宜，将原则性和灵活性相结合，使方药与病证丝丝入扣，做到师其法而不泥其方。徐大椿在《医</w:t>
      </w:r>
      <w:r>
        <w:br/>
        <w:t xml:space="preserve">学源流论》中亦云：“欲用古方，必先审病者所患之症，悉与古方前所陈列之症皆合，更检方中</w:t>
      </w:r>
      <w:r>
        <w:br/>
        <w:t xml:space="preserve">所用之药，无一不与所现之症相合，然后施用，否则必须加减，无可加减，则另择一方。”临证</w:t>
      </w:r>
      <w:r>
        <w:br/>
        <w:t xml:space="preserve">遣方，需根据病证的变化进行药物加减变化，以符合病证变化之需要，从而实现治疗的“个体</w:t>
      </w:r>
      <w:r>
        <w:br/>
        <w:t xml:space="preserve">化”主旨，即“方之用，变也”。方剂本身无优劣之分，只有疗效差异之别。正所谓“方无至方，</w:t>
      </w:r>
      <w:r>
        <w:br/>
        <w:t xml:space="preserve">方以效论”。</w:t>
      </w:r>
      <w:r>
        <w:br/>
        <w:t xml:space="preserve">1.药味加减 方剂是由药物组成的，药物是通过与方中其他药物的配伍关系而体现自身之药</w:t>
      </w:r>
      <w:r>
        <w:br/>
        <w:t xml:space="preserve">性的，其体现的程度，即为该药在方中之“药力”。而药物间的配伍关系是决定药物在方中药力</w:t>
      </w:r>
      <w:r>
        <w:br/>
        <w:t xml:space="preserve">大小及如何发挥作用的重要因素之一，是决定方剂功用的主要因素。因此，当增加或减少方剂中</w:t>
      </w:r>
      <w:r>
        <w:br/>
        <w:t xml:space="preserve">的药物时，必然使方中药物间的配伍关系发生变化，进而使方剂之功用发生相应改变。大凡运用</w:t>
      </w:r>
      <w:r>
        <w:br/>
        <w:t xml:space="preserve">君臣佐使原则而组成的方剂，针对某一具体成方之药味加减的变化，是指在君药不变的前提下，</w:t>
      </w:r>
      <w:r>
        <w:br/>
        <w:t xml:space="preserve">加减方中其他药物，以适应病情变化的需要。药味加减变化一般有两种情况：一是佐使药的加</w:t>
      </w:r>
      <w:r>
        <w:br/>
        <w:t xml:space="preserve">减，因为佐使药在方中的药力较小，不至于引起该方功用的根本改变，故这种加减是在主症不变</w:t>
      </w:r>
      <w:r>
        <w:br/>
        <w:t xml:space="preserve">的情况下，对某些药物进行加减，以适应一些次要兼症的需要。以桂枝汤(桂枝、芍药、生姜、</w:t>
      </w:r>
      <w:r>
        <w:br/>
        <w:t xml:space="preserve">大枣、甘草)为例，本方主治太阳中风表虚证，症见发热头痛、汗出恶风、鼻鸣干呕、苔薄白、</w:t>
      </w:r>
      <w:r>
        <w:br/>
        <w:t xml:space="preserve">脉浮缓。若兼见咳喘者，可加厚朴、杏仁下气平喘(桂枝加厚朴杏子汤)。二是臣药的加减，这</w:t>
      </w:r>
      <w:r>
        <w:br/>
        <w:t xml:space="preserve">种变化改变了方剂的主要配伍关系，使方剂的功用发生较大变化。例如麻黄汤，适用于外感风寒</w:t>
      </w:r>
      <w:r>
        <w:br/>
        <w:t xml:space="preserve">表实证，具有发汗解表、宣肺平喘之功。若去桂枝，只用麻黄、杏仁、甘草三味，名三拗汤，解</w:t>
      </w:r>
      <w:r>
        <w:br/>
        <w:t xml:space="preserve">表之力减弱，功专宣肺散寒、止咳平喘，为治风寒犯肺之鼻塞声重、语音不出、咳嗽胸闷之方。</w:t>
      </w:r>
      <w:r>
        <w:br/>
        <w:t xml:space="preserve">又如麻黄加术汤，即麻黄汤原方加白术，且白术用量为四两，则成发汗解表、散寒祛湿之剂，适</w:t>
      </w:r>
      <w:r>
        <w:br/>
        <w:t xml:space="preserve">用于风寒湿痹、身体烦痛、无汗等症。</w:t>
      </w:r>
      <w:r>
        <w:br/>
        <w:t xml:space="preserve">2.药量加减 药量是药物在方中药力大小的重要标识之一。如两首方剂的组成药物相同，但</w:t>
      </w:r>
      <w:r>
        <w:br/>
        <w:t xml:space="preserve">用量不相同时，随着方中药物药力的相应变化，必然导致配伍关系相应变化，遂使功用、主治各</w:t>
      </w:r>
      <w:r>
        <w:br/>
        <w:t xml:space="preserve">有所异。如小承气汤与厚朴三物汤虽均由大黄、厚朴、枳实三药组成，但小承气汤以大黄四两为</w:t>
      </w:r>
      <w:r>
        <w:br/>
        <w:t xml:space="preserve">君，枳实三枚为臣，厚朴二两为佐，其功用为攻下热结，主治阳明热结实证的潮热、谵语、大便</w:t>
      </w:r>
      <w:r>
        <w:br/>
        <w:t xml:space="preserve">秘结、胸腹痞满、舌苔老黄、脉沉数；而厚朴三物汤则以厚朴八两为君，枳实五枚为臣，大黄四</w:t>
      </w:r>
      <w:r>
        <w:br/>
        <w:t xml:space="preserve">两为佐使，其功用为行气消满，主治气滞腹满、大便不通。前者行气以助攻下，病机是因热结而</w:t>
      </w:r>
      <w:r>
        <w:br/>
        <w:t xml:space="preserve">浊气不行；后者泻下以助行气，病机是因气郁而大便不下(表1-1)。</w:t>
      </w:r>
    </w:p>
    <w:p>
      <w:pPr>
        <w:pStyle w:val="Normal"/>
      </w:pPr>
      <w:r>
        <w:t xml:space="preserve">来源 ID 01a0f5ce-fd1e-7f42-85ed-020d3de18a1c；来源修订 ID 01a0f5f1-ea2e-773b-a8d2-4dcbd42c35cc；文本片段修订 ID 01a0f5f2-d29c-7de1-97a2-56c43fdd5db2, 01a0f5f2-d29c-78ef-ba90-09fc9cc58276, 01a0f5f2-d29c-7645-b485-5ba6d3640a43, 01a0f5f2-d29d-7384-b8f5-db62628c169d, 01a0f5f2-d29d-7448-9b5c-f492febb8b3e</w:t>
      </w:r>
    </w:p>
    <w:p>
      <w:pPr>
        <w:pStyle w:val="Heading2"/>
        <w:keepNext/>
      </w:pPr>
      <w:bookmarkStart w:id="100" w:name="evidence01a0f75f142e7cc2863c85f018be3f3d"/>
      <w:r>
        <w:t xml:space="preserve">证据 4 《方剂学（麻黄汤与大青龙汤研究）》</w:t>
      </w:r>
      <w:bookmarkEnd w:id="100"/>
    </w:p>
    <w:p>
      <w:pPr>
        <w:pStyle w:val="Normal"/>
      </w:pPr>
      <w:r>
        <w:t xml:space="preserve">《方剂学（麻黄汤与大青龙汤研究）》，来源修订 2，定位 路径 paragraph:136、页 1、段 136 至 路径 paragraph:140、页 1、段 140，证据修订 01a0f75f-142e-7cc2-863c-85f018be3f3d</w:t>
      </w:r>
    </w:p>
    <w:p>
      <w:pPr>
        <w:pStyle w:val="Quote"/>
      </w:pPr>
      <w:r>
        <w:t xml:space="preserve">1市分=0.3125g</w:t>
      </w:r>
      <w:r>
        <w:br/>
        <w:t xml:space="preserve">1市厘=0.03125g</w:t>
      </w:r>
      <w:r>
        <w:br/>
        <w:t xml:space="preserve">(注：换算尾数可以舍去)</w:t>
      </w:r>
      <w:r>
        <w:br/>
        <w:t xml:space="preserve">方剂中药物的用量一般应以最新版《中华人民共和国药典》为指导，根据药物性质、剂型、</w:t>
      </w:r>
      <w:r>
        <w:br/>
        <w:t xml:space="preserve">配伍关系，患者的年龄、体质、病情，以及季节的变化而酌定。本教材每首方剂中药物标注的剂</w:t>
      </w:r>
      <w:r>
        <w:br/>
        <w:t xml:space="preserve">量多为两种：一是录其古方原著之用量，冀以领悟古方的配伍意义、组方特点，并作为今人临</w:t>
      </w:r>
      <w:r>
        <w:br/>
        <w:t xml:space="preserve">证用药配伍比例之参考；另一种则以“(×g)”标注，此为现代临床作为汤剂使用时的参考剂量</w:t>
      </w:r>
      <w:r>
        <w:br/>
        <w:t xml:space="preserve">[个别不宜作汤剂者，其组成药物下之“(×g)”剂量，为作丸、散等时的现代参考用量]。后者</w:t>
      </w:r>
      <w:r>
        <w:br/>
        <w:t xml:space="preserve">是依据古今度量衡、方剂用法之差异，并参考当代临床习用剂量而定，其与原方古代剂量并非是</w:t>
      </w:r>
      <w:r>
        <w:br/>
        <w:t xml:space="preserve">度量衡制上的绝对等值换算，切忌以此推算古今剂量之换算标准。而且，同一时代，甚至同一原</w:t>
      </w:r>
      <w:r>
        <w:br/>
        <w:t xml:space="preserve">著各方中同一药物之剂量相同，但教材中所提供之当今临证参考用量亦不尽一致。学者当以今人</w:t>
      </w:r>
      <w:r>
        <w:br/>
        <w:t xml:space="preserve">临床实际应用为准，不可过于刻求拘泥于古今度量衡折算之剂量。</w:t>
      </w:r>
      <w:r>
        <w:br/>
        <w:t xml:space="preserve">复习思考题</w:t>
      </w:r>
    </w:p>
    <w:p>
      <w:pPr>
        <w:pStyle w:val="Normal"/>
      </w:pPr>
      <w:r>
        <w:t xml:space="preserve">来源 ID 01a0f5ce-fd1e-7f42-85ed-020d3de18a1c；来源修订 ID 01a0f5f1-ea2e-773b-a8d2-4dcbd42c35cc；文本片段修订 ID 01a0f5f2-d2a0-7fb0-8ccd-18c864ef1e28, 01a0f5f2-d2a0-7d5f-b35c-70e97db6a45c, 01a0f5f2-d2a0-7cf3-ba7c-ed923b37ddfc, 01a0f5f2-d2a0-79d1-8627-1f9f08ff8bac, 01a0f5f2-d2a1-7a63-a763-614b69678c5a</w:t>
      </w:r>
    </w:p>
    <w:p>
      <w:pPr>
        <w:pStyle w:val="Heading1"/>
        <w:keepNext/>
      </w:pPr>
      <w:r>
        <w:t xml:space="preserve">研究过程</w:t>
      </w:r>
    </w:p>
    <w:p>
      <w:pPr>
        <w:pStyle w:val="Normal"/>
      </w:pPr>
      <w:r>
        <w:t xml:space="preserve">第 1 轮 Classicist：COMPLETED；模型 deepseek/deepseek-flash；运行 01a0f7c5-590b-791f-8870-205dca161121</w:t>
      </w:r>
    </w:p>
    <w:p>
      <w:pPr>
        <w:pStyle w:val="Normal"/>
      </w:pPr>
      <w:r>
        <w:t xml:space="preserve">第 1 轮 HistoricalScholar：COMPLETED；模型 deepseek/deepseek-flash；运行 01a0f7c5-590b-71d9-bcbd-da7fd6f470bf</w:t>
      </w:r>
    </w:p>
    <w:p>
      <w:pPr>
        <w:pStyle w:val="Normal"/>
      </w:pPr>
      <w:r>
        <w:t xml:space="preserve">第 1 轮 Theorist：COMPLETED；模型 deepseek/deepseek-flash；运行 01a0f7c5-590b-7481-83df-cadbaf4bddc3</w:t>
      </w:r>
    </w:p>
    <w:p>
      <w:pPr>
        <w:pStyle w:val="Normal"/>
      </w:pPr>
      <w:r>
        <w:t xml:space="preserve">第 2 轮 Critic：COMPLETED；模型 deepseek/deepseek-flash；运行 01a0f7c6-1e32-7729-b196-775712951822</w:t>
      </w:r>
    </w:p>
    <w:p>
      <w:pPr>
        <w:pStyle w:val="Normal"/>
      </w:pPr>
      <w:r>
        <w:t xml:space="preserve">第 2 轮 Rebuttal：COMPLETED；模型 deepseek/deepseek-flash；运行 01a0f7c7-4adb-71de-80f3-279d551a3ccb</w:t>
      </w:r>
    </w:p>
    <w:p>
      <w:pPr>
        <w:pStyle w:val="Normal"/>
      </w:pPr>
      <w:r>
        <w:t xml:space="preserve">第 0 轮 Judge：COMPLETED；模型 deepseek/deepseek-flash；运行 01a0f7c7-71c3-70b6-bcfd-2a8a6e26a61a</w:t>
      </w:r>
    </w:p>
    <w:p>
      <w:pPr>
        <w:pStyle w:val="Normal"/>
      </w:pPr>
      <w:r>
        <w:t xml:space="preserve">第 0 轮 ReportWriter：COMPLETED；模型 deepseek/deepseek-flash；运行 01a0f7c7-840d-7b42-9c9d-7b8223c0d59e</w:t>
      </w:r>
    </w:p>
    <w:p>
      <w:pPr>
        <w:pStyle w:val="Normal"/>
      </w:pPr>
      <w:r>
        <w:t xml:space="preserve">第 0 轮 ReportReviewer：COMPLETED；模型 deepseek/deepseek-flash；运行 01a0f7c7-a3e8-70c0-8318-bfd4ee90f635</w:t>
      </w:r>
    </w:p>
    <w:p>
      <w:pPr>
        <w:pStyle w:val="Normal"/>
      </w:pPr>
      <w:r>
        <w:t xml:space="preserve">第 1 轮 ReportWriter：COMPLETED；模型 deepseek/deepseek-flash；运行 01a0f7c7-baab-70ac-9c86-57ec9182707e</w:t>
      </w:r>
    </w:p>
    <w:p>
      <w:pPr>
        <w:pStyle w:val="Normal"/>
      </w:pPr>
      <w:r>
        <w:t xml:space="preserve">第 1 轮 ReportReviewer：COMPLETED；模型 deepseek/deepseek-flash；运行 01a0f7c7-d4df-7e26-8052-09ef87a8e5db</w:t>
      </w:r>
    </w:p>
    <w:p>
      <w:pPr>
        <w:pStyle w:val="Normal"/>
      </w:pPr>
      <w:r>
        <w:t xml:space="preserve">第 2 轮 ReportWriter：COMPLETED；模型 deepseek/deepseek-flash；运行 01a0f7c7-eeed-7055-9c52-b6d7183ca47f</w:t>
      </w:r>
    </w:p>
    <w:p>
      <w:pPr>
        <w:pStyle w:val="Normal"/>
      </w:pPr>
      <w:r>
        <w:t xml:space="preserve">第 2 轮 ReportReviewer：COMPLETED；模型 deepseek/deepseek-flash；运行 01a0f7c8-08c1-715a-94ed-70b24ef9ec35</w:t>
      </w:r>
    </w:p>
    <w:p>
      <w:pPr>
        <w:pStyle w:val="Normal"/>
      </w:pPr>
      <w:r>
        <w:t xml:space="preserve">第 3 轮 ReportWriter：COMPLETED；模型 deepseek/deepseek-flash；运行 01a0f7f4-f768-713a-99a1-a7ad309b40ab</w:t>
      </w:r>
    </w:p>
    <w:p>
      <w:pPr>
        <w:pStyle w:val="Normal"/>
      </w:pPr>
      <w:r>
        <w:t xml:space="preserve">第 3 轮 ReportReviewer：COMPLETED；模型 deepseek/deepseek-flash；运行 01a0f7f5-0d04-7113-8235-77380dfc652f</w:t>
      </w:r>
    </w:p>
    <w:p>
      <w:pPr>
        <w:pStyle w:val="Normal"/>
      </w:pPr>
      <w:r>
        <w:t xml:space="preserve">审计 01a0f7c5-af01-793e-91d0-7225f4b194f7：断言 01a0f7c5-762d-7b99-971c-f575739fc03a；第 1 次，MECHANICAL / PASS；Citation chain verified</w:t>
      </w:r>
    </w:p>
    <w:p>
      <w:pPr>
        <w:pStyle w:val="Normal"/>
      </w:pPr>
      <w:r>
        <w:t xml:space="preserve">审计 01a0f7c5-b883-707f-b121-3fcecfdabae4：断言 01a0f7c5-762d-7b99-971c-f575739fc03a；第 2 次，SEMANTIC / SUPPORTED；证据显示大青龙汤麻黄六两(12g)、麻黄汤麻黄三两(9g)，古制六两确为三两两倍而括注12g与9g非两倍；且教材明确括注克数为现代参考剂量，并非古剂量的绝对等值换算，切忌以此推算换算标准，故不能以括注克数直接推算两方麻黄用量倍数关系。</w:t>
      </w:r>
    </w:p>
    <w:p>
      <w:pPr>
        <w:pStyle w:val="Normal"/>
      </w:pPr>
      <w:r>
        <w:t xml:space="preserve">审计 01a0f7c5-b8fb-75be-bc62-05670560a778：断言 01a0f7c5-762d-7433-9661-b347c6ffb8ff；第 1 次，MECHANICAL / PASS；Citation chain verified</w:t>
      </w:r>
    </w:p>
    <w:p>
      <w:pPr>
        <w:pStyle w:val="Normal"/>
      </w:pPr>
      <w:r>
        <w:t xml:space="preserve">审计 01a0f7c5-c436-77d8-8a27-5c25c70c52a2：断言 01a0f7c5-762d-7433-9661-b347c6ffb8ff；第 2 次，SEMANTIC / SUPPORTED；证据显示大青龙汤麻黄用量为麻黄汤之倍，但两方在桂枝、杏仁、甘草用量及石膏、生姜、大枣配伍上均有差异；方解明言“麻黄得石膏，辛温发表而无助热之弊”，且大青龙汤要求“取微似汗”“汗出多者，温粉扑之”，说明石膏参与制约发汗发表之性，发汗强度并非麻黄单味药量的简单比例。</w:t>
      </w:r>
    </w:p>
    <w:p>
      <w:pPr>
        <w:pStyle w:val="Normal"/>
      </w:pPr>
      <w:r>
        <w:t xml:space="preserve">审计 01a0f7c5-c4d2-7a3d-9f7f-d14b175ac386：断言 01a0f7c5-762d-752a-9516-3f4a38ecfde4；第 1 次，MECHANICAL / PASS；Citation chain verified</w:t>
      </w:r>
    </w:p>
    <w:p>
      <w:pPr>
        <w:pStyle w:val="Normal"/>
      </w:pPr>
      <w:r>
        <w:t xml:space="preserve">审计 01a0f7c5-ce15-7d8e-8826-741c7a3663b5：断言 01a0f7c5-762d-752a-9516-3f4a38ecfde4；第 2 次，SEMANTIC / SUPPORTED；证据中麻黄汤被称为辛温发汗之峻剂、辛温发汗法之基础方，大青龙汤被称为发汗之功居解表诸方之冠，并载取微似汗、汗出多者温粉扑之、一服汗者停后服，均为定性表述与服法控制，未将两方发汗作用表述为倍数比较。</w:t>
      </w:r>
    </w:p>
    <w:p>
      <w:pPr>
        <w:pStyle w:val="Normal"/>
      </w:pPr>
      <w:r>
        <w:t xml:space="preserve">审计 01a0f7c5-cebd-70d9-944f-e251fd5e38e8：断言 01a0f7c5-91bc-7f60-ae4b-5473b7ac20ad；第 1 次，MECHANICAL / PASS；Citation chain verified</w:t>
      </w:r>
    </w:p>
    <w:p>
      <w:pPr>
        <w:pStyle w:val="Normal"/>
      </w:pPr>
      <w:r>
        <w:t xml:space="preserve">审计 01a0f7c5-dc09-7d1f-9299-4e44f441be9e：断言 01a0f7c5-91bc-7f60-ae4b-5473b7ac20ad；第 2 次，SEMANTIC / SUPPORTED；证据1显示大青龙汤麻黄六两(12g)，证据2显示麻黄汤麻黄三两(9g)，古制六两确为三两两倍，而括注克数12g与9g非两倍；证据3明确说明括注克数“与原方古代剂量并非是度量衡制上的绝对等值换算，切忌以此推算古今剂量之换算标准”，支持不能以括注克数直接推算。</w:t>
      </w:r>
    </w:p>
    <w:p>
      <w:pPr>
        <w:pStyle w:val="Normal"/>
      </w:pPr>
      <w:r>
        <w:t xml:space="preserve">审计 01a0f7c5-dc70-7f0b-8fd4-6344e360a0fd：断言 01a0f7c5-91bc-7be7-a976-54c6809a6e5c；第 1 次，MECHANICAL / PASS；Citation chain verified</w:t>
      </w:r>
    </w:p>
    <w:p>
      <w:pPr>
        <w:pStyle w:val="Normal"/>
      </w:pPr>
      <w:r>
        <w:t xml:space="preserve">审计 01a0f7c5-e91f-7ab6-a0c9-5589b1d50d50：断言 01a0f7c5-91bc-7be7-a976-54c6809a6e5c；第 2 次，SEMANTIC / SUPPORTED；两段证据分别支持：麻黄汤被称为“辛温发汗之峻剂”，大青龙汤“发汗之功居解表诸方之冠”，并载有“一服得汗者，停后服”“取微似汗”“汗出多者，温粉扑之”等取汗要求；大青龙汤方解还说明麻黄“其量为麻黄汤之倍”但发汗力受石膏、配伍等制约，故不能仅凭麻黄用量倍数推出必然两倍。</w:t>
      </w:r>
    </w:p>
    <w:p>
      <w:pPr>
        <w:pStyle w:val="Normal"/>
      </w:pPr>
      <w:r>
        <w:t xml:space="preserve">审计 01a0f7c5-e96d-78e1-8341-4eaaac04d119：断言 01a0f7c5-91bc-7d6f-8001-757cb8e588c3；第 1 次，MECHANICAL / PASS；Citation chain verified</w:t>
      </w:r>
    </w:p>
    <w:p>
      <w:pPr>
        <w:pStyle w:val="Normal"/>
      </w:pPr>
      <w:r>
        <w:t xml:space="preserve">审计 01a0f7c5-f8c3-7315-bfa0-79ff4376460a：断言 01a0f7c5-91bc-7d6f-8001-757cb8e588c3；第 2 次，SEMANTIC / SUPPORTED；原文明确记载大青龙汤由麻黄汤倍用麻黄、甘草，减少杏仁用量，再加石膏、生姜、大枣而成；并载有“麻黄得石膏，辛温发表而无助热之弊；石膏得麻黄，大寒清热而无凉遏之虞”及“倍用麻黄以确保其发汗之力”等表述，支持石膏配伍制约使发汗强度不能简单按麻黄用量成比例推断。</w:t>
      </w:r>
    </w:p>
    <w:p>
      <w:pPr>
        <w:pStyle w:val="Normal"/>
      </w:pPr>
      <w:r>
        <w:t xml:space="preserve">审计 01a0f7c5-f976-7719-a15c-28f0db7b272e：断言 01a0f7c5-ae46-7997-b74d-8a077889591f；第 1 次，MECHANICAL / PASS；Citation chain verified</w:t>
      </w:r>
    </w:p>
    <w:p>
      <w:pPr>
        <w:pStyle w:val="Normal"/>
      </w:pPr>
      <w:r>
        <w:t xml:space="preserve">审计 01a0f7c6-0a19-7dcb-af81-fa94ca46d8b6：断言 01a0f7c5-ae46-7997-b74d-8a077889591f；第 2 次，SEMANTIC / SUPPORTED；证据1显示大青龙汤麻黄六两(12g)，证据2显示麻黄汤麻黄三两(9g)，古制六两确为三两两倍，但括注12g与9g非两倍；证据3明确括注克数参考当代临床习用剂量而定，并非古制绝对等值换算，切忌以此推算换算标准，支持不能以括注克数直接推算倍数关系。</w:t>
      </w:r>
    </w:p>
    <w:p>
      <w:pPr>
        <w:pStyle w:val="Normal"/>
      </w:pPr>
      <w:r>
        <w:t xml:space="preserve">审计 01a0f7c6-0a7f-76e2-bad2-4d334aebc60a：断言 01a0f7c5-ae46-7b84-b684-67a3f015eaf7；第 1 次，MECHANICAL / PASS；Citation chain verified</w:t>
      </w:r>
    </w:p>
    <w:p>
      <w:pPr>
        <w:pStyle w:val="Normal"/>
      </w:pPr>
      <w:r>
        <w:t xml:space="preserve">审计 01a0f7c6-11f7-7b45-bc0d-47373f91582a：断言 01a0f7c5-ae46-7b84-b684-67a3f015eaf7；第 2 次，SEMANTIC / SUPPORTED；证据明确记载大青龙汤系由麻黄汤倍用麻黄、甘草，减少杏仁用量，再加石膏、生姜、大枣而成；并载有“麻黄得石膏，辛温发表而无助热之弊”及“取微似汗”“汗出多者，温粉扑之”“一服汗者，停后服”等用法要求，支持该断言。</w:t>
      </w:r>
    </w:p>
    <w:p>
      <w:pPr>
        <w:pStyle w:val="Normal"/>
      </w:pPr>
      <w:r>
        <w:t xml:space="preserve">审计 01a0f7c6-1277-7e3d-b300-f4033ff3c90d：断言 01a0f7c5-ae46-79f0-91c2-86b3b2d494e0；第 1 次，MECHANICAL / PASS；Citation chain verified</w:t>
      </w:r>
    </w:p>
    <w:p>
      <w:pPr>
        <w:pStyle w:val="Normal"/>
      </w:pPr>
      <w:r>
        <w:t xml:space="preserve">审计 01a0f7c6-1d70-7508-8aa3-32e77c81d7c5：断言 01a0f7c5-ae46-79f0-91c2-86b3b2d494e0；第 2 次，SEMANTIC / SUPPORTED；证据1明确大青龙汤麻黄“其量为麻黄汤之倍”，并载“取微似汗”“汗出多者，温粉扑之”等服法要求；证据2说明配伍关系是决定方剂功用的主要因素、药量变化会影响配伍与功用；证据3说明教材括注克数非古制绝对换算。三者共同支持：仅凭麻黄用量两倍不能推出“发汗强度必然两倍”，且未提供量化发汗强度数据。</w:t>
      </w:r>
    </w:p>
    <w:p>
      <w:pPr>
        <w:pStyle w:val="Normal"/>
      </w:pPr>
      <w:r>
        <w:t xml:space="preserve">质疑 01a0f7c6-cc0f-7712-aab2-dc9183c16e86：断言 01a0f7c5-762d-7b99-971c-f575739fc03a；EVIDENCE_GAP；该 Claim 断言“不能以括注克数直接推算两方麻黄用量的倍数关系”，但所引证据仅说明括注克数非古制绝对等值换算、不可据以推算古今换算标准，并未直接讨论“两方麻黄用量倍数关系”能否由括注克数推算。教材原文的告诫针对的是古今度量衡折算，而非方间用量比较；将“不可推算古今换算标准”扩展为“不可推算两方用量倍数”属于对告诫适用范围的延伸，缺少直接文本依据。</w:t>
      </w:r>
    </w:p>
    <w:p>
      <w:pPr>
        <w:pStyle w:val="Normal"/>
      </w:pPr>
      <w:r>
        <w:t xml:space="preserve">质疑 01a0f7c6-cc0f-75e7-af64-1bd6cf77aeeb：断言 01a0f7c5-762d-7433-9661-b347c6ffb8ff；OVERCLAIM；该 Claim 由“麻黄得石膏，辛温发表而无助热之弊”推出“石膏参与制约发汗发表之性”，进而否定发汗强度与麻黄用量的比例关系。但原文“无助热之弊”是就石膏制约麻黄辛温助热而言，并未直接表述为制约“发汗发表之性”；且大青龙汤方解同时明言“倍用麻黄以确保其发汗之力”，教材本身将倍用麻黄与发汗力增强相联系。将“无助热”解读为“制约发汗”并据此否定比例推断，存在对原文语义的过度延伸。</w:t>
      </w:r>
    </w:p>
    <w:p>
      <w:pPr>
        <w:pStyle w:val="Normal"/>
      </w:pPr>
      <w:r>
        <w:t xml:space="preserve">质疑 01a0f7c6-cc0f-75b6-bda4-54f0a285c3ef：断言 01a0f7c5-91bc-7d6f-8001-757cb8e588c3；HISTORICAL_SCOPE；该 Claim 断言“即使麻黄用量加倍，石膏的配伍制约也使发汗强度不能简单按麻黄用量成比例推断”。但所引证据为教材方解与方论选录（如柯琴“必倍麻黄以发汗”），属于后世对经方的解释性论述，并非可直接量化发汗强度的临床或实验数据。以解释性方论支撑“石膏制约使发汗强度不成比例”的结论，跨越了文本所能支持的边界，未提供可检验的发汗强度证据。</w:t>
      </w:r>
    </w:p>
    <w:p>
      <w:pPr>
        <w:pStyle w:val="Normal"/>
      </w:pPr>
      <w:r>
        <w:t xml:space="preserve">质疑 01a0f7c6-cc0f-7c5a-9733-a804910eacd6：断言 01a0f7c5-762d-752a-9516-3f4a38ecfde4；TEXTUAL_MISREAD；该 Claim 称教材对两方发汗作用的表述“是定性比较而非倍数比较”，但所引“发汗之功居解表诸方之冠”本身即是一种比较性表述（居诸方之冠），并非纯粹定性描述；且“峻剂”“居冠”等语在教材语境中用于标示发汗力强弱层级。将其概括为“定性而非倍数”虽可支持“非严格倍数”，但“定性比较”的措辞与原文的比较性用语存在张力，可能弱化原文对发汗力强弱的层级判断。</w:t>
      </w:r>
    </w:p>
    <w:p>
      <w:pPr>
        <w:pStyle w:val="Normal"/>
      </w:pPr>
      <w:r>
        <w:t xml:space="preserve">质疑 01a0f7c6-cc0f-7f95-8561-9b8e2fdc8841：断言 01a0f7c5-ae46-79f0-91c2-86b3b2d494e0；EVIDENCE_GAP；该推论 Claim 的边界声明称“证据仅支持两方在麻黄古制用量上存在两倍差异”，但未处理煎服法差异对可比性的影响：麻黄汤“煮取二升半……温服八合”（约三服），大青龙汤“煮取三升……温服一升”（约三服），两方每次服用所摄取的麻黄量是否仍为两倍，取决于总煎出量与分服次数的对应关系。Claim 将“原方麻黄用量两倍”直接等同于“每次服用麻黄量两倍”，未说明这一口径问题，存在证据链缺口。</w:t>
      </w:r>
    </w:p>
    <w:p>
      <w:pPr>
        <w:pStyle w:val="Normal"/>
      </w:pPr>
      <w:r>
        <w:t xml:space="preserve">反驳 01a0f7c7-6fe7-7537-916f-b6fb7e4616af：质疑 01a0f7c6-cc0f-7712-aab2-dc9183c16e86；第 2 轮 PARTIAL_ACCEPT；接受质疑中关于教材告诫仅针对古今度量衡折算、未直接讨论方间用量倍数比较的限定；但保留原Claim中“不能以括注克数直接推算两方麻黄用量倍数关系”的核心结论，因其仍可由括注克数非绝对等值换算及两方括注克数非两倍关系共同支持。</w:t>
      </w:r>
    </w:p>
    <w:p>
      <w:pPr>
        <w:pStyle w:val="Normal"/>
      </w:pPr>
      <w:r>
        <w:t xml:space="preserve">反驳 01a0f7c7-6fe7-77fc-8489-d8773c8f1536：质疑 01a0f7c6-cc0f-75e7-af64-1bd6cf77aeeb；第 2 轮 PARTIAL_ACCEPT；接受质疑中“无助热之弊”原文语义主要针对制约辛温助热、未直接表述为制约发汗发表之性的限定；但保留原Claim中“发汗强度不是麻黄单味药量的简单比例”的核心结论，因两方在桂枝、杏仁、甘草用量及石膏、生姜、大枣配伍上均有差异，且教材明言“倍用麻黄以确保其发汗之力”与“取微似汗”“汗出多者，温粉扑之”等服法控制，均支持发汗强度不能仅由麻黄用量倍数决定。</w:t>
      </w:r>
    </w:p>
    <w:p>
      <w:pPr>
        <w:pStyle w:val="Normal"/>
      </w:pPr>
      <w:r>
        <w:t xml:space="preserve">反驳 01a0f7c7-6fe7-74a6-b580-dab16b85eeed：质疑 01a0f7c6-cc0f-75b6-bda4-54f0a285c3ef；第 2 轮 PARTIAL_ACCEPT；接受质疑中关于所引证据为教材方解与方论选录、属解释性论述而非可直接量化发汗强度的临床或实验数据的限定；但保留原Claim中“即使麻黄用量加倍，石膏的配伍制约也使发汗强度不能简单按麻黄用量成比例推断”的核心结论，因教材方解明言“麻黄得石膏，辛温发表而无助热之弊；石膏得麻黄，大寒清热而无凉遏之虞”，且方论选录载“必倍麻黄以发汗”，均支持配伍制约影响发汗表现。</w:t>
      </w:r>
    </w:p>
    <w:p>
      <w:pPr>
        <w:pStyle w:val="Normal"/>
      </w:pPr>
      <w:r>
        <w:t xml:space="preserve">反驳 01a0f7c7-6fe7-79db-a9ee-078923723c12：质疑 01a0f7c6-cc0f-7c5a-9733-a804910eacd6；第 2 轮 PARTIAL_ACCEPT；接受质疑中“发汗之功居解表诸方之冠”本身即比较性表述、并非纯粹定性描述的限定；但保留原Claim中“不能由麻黄用量直接换算为两倍”的核心结论，因教材对两方发汗作用的表述为“峻剂”“居冠”等强弱层级描述，并强调“取微似汗”“汗出多者，温粉扑之”“一服汗者，停后服”，均未给出与麻黄用量成比例的倍数结论。</w:t>
      </w:r>
    </w:p>
    <w:p>
      <w:pPr>
        <w:pStyle w:val="Normal"/>
      </w:pPr>
      <w:r>
        <w:t xml:space="preserve">反驳 01a0f7c7-6fe7-7bcd-80eb-28592afdd3a0：质疑 01a0f7c6-cc0f-7f95-8561-9b8e2fdc8841；第 2 轮 PARTIAL_ACCEPT；接受质疑中关于煎服法差异影响可比性的限定；但保留原推论Claim中“不能把用量倍数等同于发汗强度倍数”的核心结论，因证据仅支持两方在麻黄古制用量上存在两倍差异，并提示配伍、服法及“取微似汗”等要求会影响发汗表现，未提供可直接量化发汗强度的数据。</w:t>
      </w:r>
    </w:p>
    <w:p>
      <w:pPr>
        <w:pStyle w:val="Normal"/>
      </w:pPr>
      <w:r>
        <w:t xml:space="preserve">停止判断 01a0f7c7-709f-7170-bfda-f5a2d87b6fbf：第 2 轮，STOP；ROUND_LIMIT；输入哈希 39396491421d3df5374753ab9cad8fe9bd1870fc99a57f4a7d4c2f0f3778bbeb</w:t>
      </w:r>
    </w:p>
    <w:p>
      <w:pPr>
        <w:pStyle w:val="Heading1"/>
        <w:keepNext/>
      </w:pPr>
      <w:r>
        <w:t xml:space="preserve">报告版本</w:t>
      </w:r>
    </w:p>
    <w:p>
      <w:pPr>
        <w:pStyle w:val="Normal"/>
      </w:pPr>
      <w:r>
        <w:t xml:space="preserve">报告编号：08cfa753-9eb2-5c3e-b4bc-f079b9182e24；知识版本：01a0f766-f9ce-768e-b7ce-ca16c5e07a78；索引：01a0f76a-5f40-7363-bc31-a61b7a22bb8c</w:t>
      </w:r>
    </w:p>
    <w:p>
      <w:pPr>
        <w:pStyle w:val="Normal"/>
      </w:pPr>
      <w:r>
        <w:t xml:space="preserve">回答复核：逐段复核：第1段依据所引claim（古制六两/三两、括注12g/9g、教材告诫）区分古制与括注克数，并明确不对“能否据以比较两方用量倍数”作断言，未越界。第2段依据所引claim说明两方配伍差异及石膏制约，未引入新事实或因果，结论限于“不是简单比例”。第3段依据所引claim将教材表述定性为定性而非定量，并指出受配伍与取汗要求制约，未作定量推断。第4段依据所引claim明确边界：仅确认原方麻黄总用量两倍，未涉及每次服用量可比性，且指出教材无定量比较，故“必然两倍”缺乏文本依据；对煎服法差异仅作条件性说明，未断言具体倍数。全文直接回答question，未仅复制材料，未混淆古制与现代剂量，未捏造争议，保留合理局限，故accepted为true。</w:t>
      </w:r>
    </w:p>
    <w:p>
      <w:pPr>
        <w:pStyle w:val="Normal"/>
      </w:pPr>
      <w:r>
        <w:t xml:space="preserve">报告结构 research-report/v3；停止判断 01a0f7c7-709f-7170-bfda-f5a2d87b6fbf；运行指纹 ad3f3b0aa460d8384f73ade6ca32d1e7bdc3df703ec6602ef2001c8047366015</w:t>
      </w:r>
    </w:p>
    <w:sectPr>
      <w:pgSz w:w="12240" w:h="15840"/>
      <w:pgMar w:top="1260" w:right="1260" w:bottom="1260" w:left="1260" w:header="720" w:footer="720" w:gutter="0"/>
    </w:sectPr>
  </w:body>
</w:document>
</file>

<file path=word/styles.xml><?xml version="1.0" encoding="utf-8"?>
<w:styles xmlns:w="http://schemas.openxmlformats.org/wordprocessingml/2006/main">
  <w:style w:type="paragraph" w:styleId="Normal">
    <w:name w:val="Normal"/>
    <w:pPr>
      <w:spacing w:before="0" w:after="120" w:line="320" w:lineRule="auto"/>
      <w:widowControl/>
    </w:pPr>
    <w:rPr>
      <w:rFonts w:ascii="Arial" w:hAnsi="Arial" w:eastAsia="Microsoft YaHei"/>
      <w:sz w:val="22"/>
      <w:color w:val="000000"/>
    </w:rPr>
  </w:style>
  <w:style w:type="paragraph" w:styleId="Title">
    <w:name w:val="Title"/>
    <w:pPr>
      <w:spacing w:before="0" w:after="300" w:line="320" w:lineRule="auto"/>
      <w:widowControl/>
    </w:pPr>
    <w:rPr>
      <w:rFonts w:ascii="Arial" w:hAnsi="Arial" w:eastAsia="Microsoft YaHei"/>
      <w:sz w:val="32"/>
      <w:color w:val="000000"/>
      <w:b/>
    </w:rPr>
  </w:style>
  <w:style w:type="paragraph" w:styleId="Heading1">
    <w:name w:val="Heading1"/>
    <w:pPr>
      <w:spacing w:before="300" w:after="140" w:line="320" w:lineRule="auto"/>
      <w:widowControl/>
      <w:outlineLvl w:val="0"/>
    </w:pPr>
    <w:rPr>
      <w:rFonts w:ascii="Arial" w:hAnsi="Arial" w:eastAsia="Microsoft YaHei"/>
      <w:sz w:val="27"/>
      <w:color w:val="000000"/>
      <w:b/>
    </w:rPr>
  </w:style>
  <w:style w:type="paragraph" w:styleId="Heading2">
    <w:name w:val="Heading2"/>
    <w:pPr>
      <w:spacing w:before="220" w:after="100" w:line="320" w:lineRule="auto"/>
      <w:widowControl/>
      <w:outlineLvl w:val="1"/>
    </w:pPr>
    <w:rPr>
      <w:rFonts w:ascii="Arial" w:hAnsi="Arial" w:eastAsia="Microsoft YaHei"/>
      <w:sz w:val="23"/>
      <w:color w:val="000000"/>
      <w:b/>
    </w:rPr>
  </w:style>
  <w:style w:type="paragraph" w:styleId="Quote">
    <w:name w:val="Quote"/>
    <w:pPr>
      <w:spacing w:before="40" w:after="140" w:line="320" w:lineRule="auto"/>
      <w:widowControl/>
      <w:ind w:left="420" w:right="260"/>
    </w:pPr>
    <w:rPr>
      <w:rFonts w:ascii="Arial" w:hAnsi="Arial" w:eastAsia="Microsoft YaHei"/>
      <w:sz w:val="21"/>
      <w:color w:val="000000"/>
    </w:rPr>
  </w:style>
  <w:style w:type="paragraph" w:styleId="Link">
    <w:name w:val="Link"/>
    <w:pPr>
      <w:spacing w:before="0" w:after="100" w:line="320" w:lineRule="auto"/>
      <w:widowControl/>
    </w:pPr>
    <w:rPr>
      <w:rFonts w:ascii="Arial" w:hAnsi="Arial" w:eastAsia="Microsoft YaHei"/>
      <w:sz w:val="21"/>
      <w:color w:val="000000"/>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