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宋体" w:hAnsi="宋体" w:eastAsia="宋体"/>
          <w:b/>
          <w:sz w:val="48"/>
        </w:rPr>
        <w:t>AI标书写作平台</w:t>
      </w:r>
    </w:p>
    <w:p>
      <w:pPr>
        <w:spacing w:after="160" w:before="0"/>
        <w:jc w:val="center"/>
      </w:pPr>
      <w:r>
        <w:rPr>
          <w:rFonts w:ascii="宋体" w:hAnsi="宋体" w:eastAsia="宋体"/>
          <w:b/>
          <w:sz w:val="40"/>
        </w:rPr>
        <w:t>完整功能清单与技术方案</w:t>
      </w:r>
    </w:p>
    <w:p>
      <w:pPr>
        <w:spacing w:after="320" w:before="0"/>
        <w:jc w:val="center"/>
      </w:pPr>
      <w:r>
        <w:rPr>
          <w:rFonts w:ascii="宋体" w:hAnsi="宋体" w:eastAsia="宋体"/>
          <w:b w:val="0"/>
          <w:color w:val="808080"/>
          <w:sz w:val="24"/>
        </w:rPr>
        <w:t>徐州迅力云网络科技有限公司</w:t>
      </w:r>
    </w:p>
    <w:p>
      <w:pPr>
        <w:spacing w:after="80" w:before="0"/>
      </w:pPr>
      <w:r>
        <w:rPr>
          <w:rFonts w:ascii="宋体" w:hAnsi="宋体" w:eastAsia="宋体"/>
          <w:b w:val="0"/>
          <w:sz w:val="28"/>
        </w:rPr>
      </w:r>
    </w:p>
    <w:p>
      <w:pPr>
        <w:spacing w:after="200" w:before="320"/>
      </w:pPr>
      <w:r>
        <w:rPr>
          <w:rFonts w:ascii="宋体" w:hAnsi="宋体" w:eastAsia="宋体"/>
          <w:b/>
          <w:sz w:val="32"/>
        </w:rPr>
        <w:t>第一部分：项目概述</w:t>
      </w:r>
    </w:p>
    <w:p>
      <w:pPr>
        <w:spacing w:after="160" w:before="240"/>
      </w:pPr>
      <w:r>
        <w:rPr>
          <w:rFonts w:ascii="宋体" w:hAnsi="宋体" w:eastAsia="宋体"/>
          <w:b/>
          <w:sz w:val="28"/>
        </w:rPr>
        <w:t>1.1 产品定位</w:t>
      </w:r>
    </w:p>
    <w:p>
      <w:pPr>
        <w:spacing w:after="120" w:before="0"/>
      </w:pPr>
      <w:r>
        <w:rPr>
          <w:rFonts w:ascii="宋体" w:hAnsi="宋体" w:eastAsia="宋体"/>
          <w:b w:val="0"/>
          <w:sz w:val="28"/>
        </w:rPr>
        <w:t>面向招投标场景的AI辅助标书写作SaaS平台。用户通过网页端上传招标文件，AI自动解析、生成标书，最终导出专业排版的Word文档。平台聚焦纯标书写作能力，不做标讯商机搜索。</w:t>
      </w:r>
    </w:p>
    <w:p>
      <w:pPr>
        <w:spacing w:after="160" w:before="240"/>
      </w:pPr>
      <w:r>
        <w:rPr>
          <w:rFonts w:ascii="宋体" w:hAnsi="宋体" w:eastAsia="宋体"/>
          <w:b/>
          <w:sz w:val="28"/>
        </w:rPr>
        <w:t>1.2 核心商业模式</w:t>
      </w:r>
    </w:p>
    <w:p>
      <w:pPr>
        <w:spacing w:after="120" w:before="0"/>
      </w:pPr>
      <w:r>
        <w:rPr>
          <w:rFonts w:ascii="宋体" w:hAnsi="宋体" w:eastAsia="宋体"/>
          <w:b w:val="0"/>
          <w:sz w:val="28"/>
        </w:rPr>
        <w:t>两段收费模式：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收费项目</w:t>
            </w:r>
          </w:p>
        </w:tc>
        <w:tc>
          <w:tcPr>
            <w:tcW w:type="dxa" w:w="1417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收费方式</w:t>
            </w:r>
          </w:p>
        </w:tc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定价权</w:t>
            </w:r>
          </w:p>
        </w:tc>
        <w:tc>
          <w:tcPr>
            <w:tcW w:type="dxa" w:w="3969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会员费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包月 / 包年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平台自定义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用户购买会员后才能使用平台的标书写作功能，按周期付费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Token消耗费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按实际用量计费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平台自定义单价（元/千Token）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用户生成标书时调用大语言模型产生的Token费用，强制走平台自有的ipsunion API中转，用户自己的API Key无效</w:t>
            </w:r>
          </w:p>
        </w:tc>
      </w:tr>
    </w:tbl>
    <w:p/>
    <w:p>
      <w:pPr>
        <w:spacing w:after="160" w:before="240"/>
      </w:pPr>
      <w:r>
        <w:rPr>
          <w:rFonts w:ascii="宋体" w:hAnsi="宋体" w:eastAsia="宋体"/>
          <w:b/>
          <w:sz w:val="28"/>
        </w:rPr>
        <w:t>1.3 关键技术约束</w:t>
      </w:r>
    </w:p>
    <w:p>
      <w:pPr>
        <w:spacing w:after="120" w:before="0"/>
      </w:pPr>
      <w:r>
        <w:rPr>
          <w:rFonts w:ascii="宋体" w:hAnsi="宋体" w:eastAsia="宋体"/>
          <w:b w:val="0"/>
          <w:sz w:val="28"/>
        </w:rPr>
        <w:t>Token强制走自有中转：系统底层调用大语言模型时，API Key必须且只能使用平台预设的ipsunion中转站Key。用户无法在平台内配置或使用自己的第三方API Key（如OpenAI官方Key、DeepSeek官方Key等）。系统在服务端硬编码API Key，前端不暴露任何API配置入口。</w:t>
      </w:r>
    </w:p>
    <w:p>
      <w:pPr>
        <w:spacing w:after="200" w:before="320"/>
      </w:pPr>
      <w:r>
        <w:rPr>
          <w:rFonts w:ascii="宋体" w:hAnsi="宋体" w:eastAsia="宋体"/>
          <w:b/>
          <w:sz w:val="32"/>
        </w:rPr>
        <w:t>第二部分：用户端架构（网站）</w:t>
      </w:r>
    </w:p>
    <w:p>
      <w:pPr>
        <w:spacing w:after="160" w:before="240"/>
      </w:pPr>
      <w:r>
        <w:rPr>
          <w:rFonts w:ascii="宋体" w:hAnsi="宋体" w:eastAsia="宋体"/>
          <w:b/>
          <w:sz w:val="28"/>
        </w:rPr>
        <w:t>2.1 整体形态</w:t>
      </w:r>
    </w:p>
    <w:p>
      <w:pPr>
        <w:spacing w:after="120" w:before="0"/>
      </w:pPr>
      <w:r>
        <w:rPr>
          <w:rFonts w:ascii="宋体" w:hAnsi="宋体" w:eastAsia="宋体"/>
          <w:b w:val="0"/>
          <w:sz w:val="28"/>
        </w:rPr>
        <w:t>产品形态为Web网站，用户通过浏览器访问。界面风格参照链企AI标书写作平台，包含顶部导航栏、左侧功能菜单、右侧工作区。支持PC端浏览器（Chrome / Edge / Firefox），移动端自适应。</w:t>
      </w:r>
    </w:p>
    <w:p>
      <w:pPr>
        <w:spacing w:after="160" w:before="240"/>
      </w:pPr>
      <w:r>
        <w:rPr>
          <w:rFonts w:ascii="宋体" w:hAnsi="宋体" w:eastAsia="宋体"/>
          <w:b/>
          <w:sz w:val="28"/>
        </w:rPr>
        <w:t>2.2 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层级</w:t>
            </w:r>
          </w:p>
        </w:tc>
        <w:tc>
          <w:tcPr>
            <w:tcW w:type="dxa" w:w="255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技术选型</w:t>
            </w:r>
          </w:p>
        </w:tc>
        <w:tc>
          <w:tcPr>
            <w:tcW w:type="dxa" w:w="4535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前端框架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Vue 3 / React（推荐Vue 3）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单页应用，组件化开发，响应式布局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UI组件库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Element Plus / Ant Design Vue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现成的表格、表单、弹窗、导航组件，开发效率高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后端框架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 FastAPI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高性能异步框架，与AI API交互天然适配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数据库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PostgreSQL（主库）+ Redis（缓存/会话）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PostgreSQL存储用户、项目、模板数据；Redis缓存热点数据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文件存储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本地磁盘 + 对象存储（可选）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用户上传的PDF、图片、生成的Word文件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AI引擎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ipsunion API中转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后端统一调用，前端不可见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PDF解析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PyMuPDF + PaddleOCR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文字型PDF用PyMuPDF，扫描件用PaddleOCR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Word生成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python-docx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占位符替换 + 格式控制 + 导出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PPT生成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python-pptx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占位符替换 + 导出PPT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图表生成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Matplotlib + Mermaid + Graphviz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甘特图、流程图、组织架构图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AI生图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多模态API（通过ipsunion中转）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按需生成标书配图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部署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Docker + Nginx + 云服务器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容器化部署，方便扩展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域名与SSL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独立域名 + HTTPS证书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生产环境必备</w:t>
            </w:r>
          </w:p>
        </w:tc>
      </w:tr>
    </w:tbl>
    <w:p/>
    <w:p>
      <w:pPr>
        <w:spacing w:after="160" w:before="240"/>
      </w:pPr>
      <w:r>
        <w:rPr>
          <w:rFonts w:ascii="宋体" w:hAnsi="宋体" w:eastAsia="宋体"/>
          <w:b/>
          <w:sz w:val="28"/>
        </w:rPr>
        <w:t>2.3 需要准备的事项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67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序号</w:t>
            </w:r>
          </w:p>
        </w:tc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准备事项</w:t>
            </w:r>
          </w:p>
        </w:tc>
        <w:tc>
          <w:tcPr>
            <w:tcW w:type="dxa" w:w="5102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说明</w:t>
            </w:r>
          </w:p>
        </w:tc>
        <w:tc>
          <w:tcPr>
            <w:tcW w:type="dxa" w:w="1134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紧迫程度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云服务器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最低配置：4核8G内存，100G SSD硬盘，带宽5Mbps。推荐阿里云/腾讯云，初期一台即可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必须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独立域名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如 biaoshu.xunliyun.cn，需备案（国内服务器必须）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必须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SSL证书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免费Let's Encrypt或云服务商免费证书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必须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ipsunion API Key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确保API Key可用，确认并发限制和单次最大Token数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必须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数据库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PostgreSQL安装配置，或使用云数据库（阿里云RDS等）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必须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前端开发环境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Node.js + Vue CLI/Vite，代码编辑器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必须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7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Python环境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 3.11+，FastAPI + 依赖包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必须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微信支付/支付宝商户号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用于会员费收款和Token充值收款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上线前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9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ICP备案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国内服务器必须完成ICP备案，否则无法上线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上线前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企业资质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营业执照、法人信息等（备案和支付接入需要）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上线前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CDN加速（可选）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静态资源加速，提升访问速度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后期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监控告警（可选）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服务器监控、API调用监控、费用告警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后期</w:t>
            </w:r>
          </w:p>
        </w:tc>
      </w:tr>
    </w:tbl>
    <w:p/>
    <w:p>
      <w:pPr>
        <w:spacing w:after="200" w:before="320"/>
      </w:pPr>
      <w:r>
        <w:rPr>
          <w:rFonts w:ascii="宋体" w:hAnsi="宋体" w:eastAsia="宋体"/>
          <w:b/>
          <w:sz w:val="32"/>
        </w:rPr>
        <w:t>第三部分：完整功能清单（按开发顺序排列）</w:t>
      </w:r>
    </w:p>
    <w:p>
      <w:pPr>
        <w:spacing w:after="120" w:before="0"/>
        <w:ind w:left="567"/>
      </w:pPr>
      <w:r>
        <w:rPr>
          <w:rFonts w:ascii="宋体" w:hAnsi="宋体" w:eastAsia="宋体"/>
          <w:b w:val="0"/>
          <w:color w:val="646464"/>
          <w:sz w:val="24"/>
        </w:rPr>
        <w:t>说明：以下功能按开发优先级从高到低排列。优先级P0为MVP必须，P1为二期核心，P2为三期体验优化。</w:t>
      </w:r>
    </w:p>
    <w:p>
      <w:pPr>
        <w:spacing w:after="160" w:before="240"/>
      </w:pPr>
      <w:r>
        <w:rPr>
          <w:rFonts w:ascii="宋体" w:hAnsi="宋体" w:eastAsia="宋体"/>
          <w:b/>
          <w:sz w:val="28"/>
        </w:rPr>
        <w:t>阶段一：基础架构 + 核心闭环（第1-2周）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567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序号</w:t>
            </w:r>
          </w:p>
        </w:tc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功能模块</w:t>
            </w:r>
          </w:p>
        </w:tc>
        <w:tc>
          <w:tcPr>
            <w:tcW w:type="dxa" w:w="4252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功能详细说明</w:t>
            </w:r>
          </w:p>
        </w:tc>
        <w:tc>
          <w:tcPr>
            <w:tcW w:type="dxa" w:w="680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优先级</w:t>
            </w:r>
          </w:p>
        </w:tc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技术依赖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用户注册与登录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邮箱/手机号注册，账号密码登录。密码加密存储（bcrypt）。支持记住登录状态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 + JWT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会员体系（基础）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会员类型：免费试用（限次数）、月度会员、年度会员。会员状态校验，过期自动降级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Token计费系统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所有AI调用记录Token消耗量，按用户维度累计。Token单价后台可配置。用户可查看Token余额和消耗明细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 + Redis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Token强制走自有中转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服务端硬编码ipsunion API Key，所有LLM请求统一走后端代理。前端无API配置入口，用户无法使用第三方Key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FastAPI代理层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PDF上传与解析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支持上传PDF招标文件，自动提取文本。支持文字型PDF（PyMuPDF）和扫描件OCR（PaddleOCR）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PyMuPDF + PaddleOCR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招标文件AI解读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上传后AI自动分析，提取：评分标准、资质要求、废标条款、技术参数、商务条款、投标截止日期等。结构化展示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ipsunion API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7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智能目录生成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根据评分体系自动生成标书目录大纲，提供2-3种方案供用户选择。用户可手动调整目录结构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ipsunion API + 模板规则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分章节标书写作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按目录逐章生成标书正文。支持：全部生成、单章生成、单章重写、手动编辑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ipsunion API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9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在线编辑器（基础）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富文本编辑器，支持：文本编辑、标题层级、加粗/斜体、表格插入、图片插入。基于Quill/TinyMCE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前端富文本组件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Word导出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标书内容导出为标准Word文档。格式：宋体四号正文、标题加粗、自动页码、标准页边距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python-docx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项目管理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用户可创建多个项目（一个项目=一份标书），项目列表展示，支持删除、重命名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</w:t>
            </w:r>
          </w:p>
        </w:tc>
      </w:tr>
    </w:tbl>
    <w:p/>
    <w:p>
      <w:pPr>
        <w:spacing w:after="160" w:before="240"/>
      </w:pPr>
      <w:r>
        <w:rPr>
          <w:rFonts w:ascii="宋体" w:hAnsi="宋体" w:eastAsia="宋体"/>
          <w:b/>
          <w:sz w:val="28"/>
        </w:rPr>
        <w:t>阶段二：模板系统 + 素材库（第3-4周）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567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序号</w:t>
            </w:r>
          </w:p>
        </w:tc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功能模块</w:t>
            </w:r>
          </w:p>
        </w:tc>
        <w:tc>
          <w:tcPr>
            <w:tcW w:type="dxa" w:w="4252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功能详细说明</w:t>
            </w:r>
          </w:p>
        </w:tc>
        <w:tc>
          <w:tcPr>
            <w:tcW w:type="dxa" w:w="680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优先级</w:t>
            </w:r>
          </w:p>
        </w:tc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技术依赖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标书模板库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预制行业标书模板，用户选择模板后系统自动填充内容。模板含完整章节结构和标准措辞。行业分类：建筑工程、IT信息化、政府采购、医疗设备、教育培训、物业管理、环卫保洁、电力能源等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python-docx模板 + 前端预览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模板占位符替换引擎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模板中使用{{变量名}}占位符。系统自动扫描模板中所有占位符，生成填写表单。用户填写后自动替换生成成品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python-docx占位符解析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模板预览与管理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后台可上传/管理模板。每个模板生成缩略图预览。支持模板分类、搜索、启用/停用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文件存储 + 数据库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封面模板库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独立于正文的封面模板。支持多种风格：简约商务、政府公文、科技蓝、工程绿等。用户可选封面+正文模板组合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python-docx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16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标书元素库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可复用的标书组件片段：公司介绍模板、技术方案通用段落、项目团队介绍模板、售后服务承诺模板、培训方案模板等。用户可收藏、插入到任意位置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数据库 + 前端拖拽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17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PPT模板库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标书配套PPT模板（述标用）。预制多种风格，支持占位符替换。用户填写信息后一键生成PPT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python-pptx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18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图片素材库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按行业分类的通用配图：建筑施工图、IT机房图、办公环境图、设备图、安全生产标识等。用户可在写作时搜索插入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文件存储 + 前端图库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19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用户自定义素材上传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用户可上传自有素材：公司Logo、资质证书扫描件、项目现场照片、设备图片等。上传后存入个人素材库，写作时可调用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文件存储</w:t>
            </w:r>
          </w:p>
        </w:tc>
      </w:tr>
    </w:tbl>
    <w:p/>
    <w:p>
      <w:pPr>
        <w:spacing w:after="160" w:before="240"/>
      </w:pPr>
      <w:r>
        <w:rPr>
          <w:rFonts w:ascii="宋体" w:hAnsi="宋体" w:eastAsia="宋体"/>
          <w:b/>
          <w:sz w:val="28"/>
        </w:rPr>
        <w:t>阶段三：智能图表 + 质量保障（第5-6周）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567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序号</w:t>
            </w:r>
          </w:p>
        </w:tc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功能模块</w:t>
            </w:r>
          </w:p>
        </w:tc>
        <w:tc>
          <w:tcPr>
            <w:tcW w:type="dxa" w:w="4252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功能详细说明</w:t>
            </w:r>
          </w:p>
        </w:tc>
        <w:tc>
          <w:tcPr>
            <w:tcW w:type="dxa" w:w="680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优先级</w:t>
            </w:r>
          </w:p>
        </w:tc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技术依赖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20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组织架构图生成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用户输入项目团队人员信息（姓名、职位、职责），自动生成专业组织架构图，可插入标书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Graphviz / Mermaid渲染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21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甘特图/时间轴生成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用户输入任务名称、起止日期、里程碑节点，自动生成项目进度甘特图。支持导出为图片插入标书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Matplotlib / Plotly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22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流程图生成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支持生成：项目实施流程图、工艺流程流程图、审批流程图、售后服务流程图。提供多种流程图模板，用户可修改节点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Mermaid / Draw.io渲染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23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数据图表生成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用户输入业绩数据（表格形式），自动生成柱状图、折线图、饼图等数据可视化图表，用于展示公司业绩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Matplotlib / ECharts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24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AI生图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根据文字描述自动生成标书配图：系统架构图、场景示意图、概念图等。通过ipsunion中转调用多模态API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多模态API（ipsunion中转）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25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批量配图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系统根据标书章节内容关键词，自动从素材库匹配相关图片，批量插入到对应位置。支持预览后确认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关键词匹配 + 素材库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26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查重检测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检测标书内容与用户历史标书的重复率，标注疑似重复段落。避免同一公司多次投标内容雷同被废标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difflib + TF-IDF余弦相似度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27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废标检查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逐条核对招标文件的硬性要求（资质、盖章要求、签字要求、密封要求、保证金要求等）是否已在标书中响应。输出检查报告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ipsunion API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28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评分自检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根据招标文件评分标准，AI模拟评委打分，标注各评分项的预估得分、弱项和优化建议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ipsunion API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29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一键排版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统一全文档式：宋体四号正文、标题自动编号加粗、行距1.5倍、页边距标准、自动生成目录页码、页眉页脚统一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python-docx</w:t>
            </w:r>
          </w:p>
        </w:tc>
      </w:tr>
    </w:tbl>
    <w:p/>
    <w:p>
      <w:pPr>
        <w:spacing w:after="160" w:before="240"/>
      </w:pPr>
      <w:r>
        <w:rPr>
          <w:rFonts w:ascii="宋体" w:hAnsi="宋体" w:eastAsia="宋体"/>
          <w:b/>
          <w:sz w:val="28"/>
        </w:rPr>
        <w:t>阶段四：知识库 + 团队协作（第7-8周）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567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序号</w:t>
            </w:r>
          </w:p>
        </w:tc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功能模块</w:t>
            </w:r>
          </w:p>
        </w:tc>
        <w:tc>
          <w:tcPr>
            <w:tcW w:type="dxa" w:w="4252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功能详细说明</w:t>
            </w:r>
          </w:p>
        </w:tc>
        <w:tc>
          <w:tcPr>
            <w:tcW w:type="dxa" w:w="680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优先级</w:t>
            </w:r>
          </w:p>
        </w:tc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技术依赖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30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企业知识库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用户上传企业资质文件（营业执照、ISO证书、专利证书、获奖证书等），系统自动分类存储。AI写作时根据招标要求自动匹配并引用相关资质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向量数据库 + 全文检索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31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历史标书库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用户完成的标书自动存入历史库，支持按项目名称、行业、日期检索。新标书写作时可引用历史标书的章节内容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 + 文件存储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32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知识库智能匹配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AI解读招标文件后，自动从知识库中检索匹配的企业资质、类似案例、技术方案，推荐插入到对应章节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向量检索 + ipsunion API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33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多版本管理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同一项目的每次修改自动保存版本。支持版本列表查看、任意版本回退、两个版本差异对比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 + 文件存储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34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多人协作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团队账号体系：管理员创建团队，邀请成员加入。不同成员分工撰写不同章节，主账号审核汇总。支持评论和批注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 + WebSocket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35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权限管理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团队内角色：管理员（全部权限）、编辑者（可写）、查看者（只读）。细粒度到项目级别的权限控制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</w:t>
            </w:r>
          </w:p>
        </w:tc>
      </w:tr>
    </w:tbl>
    <w:p/>
    <w:p>
      <w:pPr>
        <w:spacing w:after="160" w:before="240"/>
      </w:pPr>
      <w:r>
        <w:rPr>
          <w:rFonts w:ascii="宋体" w:hAnsi="宋体" w:eastAsia="宋体"/>
          <w:b/>
          <w:sz w:val="28"/>
        </w:rPr>
        <w:t>阶段五：体验优化 + 运营后台（第9-10周）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567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序号</w:t>
            </w:r>
          </w:p>
        </w:tc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功能模块</w:t>
            </w:r>
          </w:p>
        </w:tc>
        <w:tc>
          <w:tcPr>
            <w:tcW w:type="dxa" w:w="4252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功能详细说明</w:t>
            </w:r>
          </w:p>
        </w:tc>
        <w:tc>
          <w:tcPr>
            <w:tcW w:type="dxa" w:w="680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优先级</w:t>
            </w:r>
          </w:p>
        </w:tc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技术依赖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36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AI辅助润色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选中标书任意段落，AI改写/扩写/缩写/优化措辞/调整语气。保持招投标专业风格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ipsunion API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37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标书对比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两份标书并排对比，标注内容差异。适用场景：修改前后对比、与竞品标书对比分析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difflib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38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PDF导出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除Word外，支持直接导出PDF格式，含电子签章位置预留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python-docx + pdf转换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39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格式模板自定义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用户可自定义标书格式：正文字体字号、标题样式、页边距、封面样式、页眉页脚。保存为个人格式模板，一键应用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python-docx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40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快捷短语/常用语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用户可保存常用表述为快捷短语，写作时通过关键词快速插入。例如输入"/gsjj"自动插入公司简介标准段落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数据库 + 前端快捷输入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41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管理后台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后台管理系统：用户管理、会员管理、Token用量统计、模板管理、素材库管理、收入统计、操作日志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Vue + FastAPI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42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Token定价配置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后台可自定义Token单价（元/千Token），支持不同模型不同定价。用户充值Token包，按实际消耗扣费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 + 计费引擎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43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会员定价配置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后台可设置会员套餐：月度价格、年度价格、试用次数限制。支持优惠码/折扣活动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44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操作日志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记录所有关键操作：登录、AI调用、导出、删除等。用于审计和问题排查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</w:t>
            </w:r>
          </w:p>
        </w:tc>
      </w:tr>
    </w:tbl>
    <w:p/>
    <w:p>
      <w:pPr>
        <w:spacing w:after="200" w:before="320"/>
      </w:pPr>
      <w:r>
        <w:rPr>
          <w:rFonts w:ascii="宋体" w:hAnsi="宋体" w:eastAsia="宋体"/>
          <w:b/>
          <w:sz w:val="32"/>
        </w:rPr>
        <w:t>第四部分：收费体系详细设计</w:t>
      </w:r>
    </w:p>
    <w:p>
      <w:pPr>
        <w:spacing w:after="160" w:before="240"/>
      </w:pPr>
      <w:r>
        <w:rPr>
          <w:rFonts w:ascii="宋体" w:hAnsi="宋体" w:eastAsia="宋体"/>
          <w:b/>
          <w:sz w:val="28"/>
        </w:rPr>
        <w:t>4.1 会员费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套餐类型</w:t>
            </w:r>
          </w:p>
        </w:tc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价格（参考）</w:t>
            </w:r>
          </w:p>
        </w:tc>
        <w:tc>
          <w:tcPr>
            <w:tcW w:type="dxa" w:w="2835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包含内容</w:t>
            </w:r>
          </w:p>
        </w:tc>
        <w:tc>
          <w:tcPr>
            <w:tcW w:type="dxa" w:w="2835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限制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免费试用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0元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体验全部功能，赠送一定Token额度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限制生成标书份数（如3份）或限制Token额度（如10万Token）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月度会员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待定（如99元/月）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不限标书生成次数，赠送基础Token额度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超出赠送Token部分按量计费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年度会员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待定（如799元/年）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不限标书生成次数，赠送更多Token额度，专属模板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超出赠送Token部分按量计费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企业版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待定（按团队人数）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多人协作、团队知识库、专属客服、API接口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按团队规模定价</w:t>
            </w:r>
          </w:p>
        </w:tc>
      </w:tr>
    </w:tbl>
    <w:p/>
    <w:p>
      <w:pPr>
        <w:spacing w:after="160" w:before="240"/>
      </w:pPr>
      <w:r>
        <w:rPr>
          <w:rFonts w:ascii="宋体" w:hAnsi="宋体" w:eastAsia="宋体"/>
          <w:b/>
          <w:sz w:val="28"/>
        </w:rPr>
        <w:t>4.2 Token消耗费</w:t>
      </w:r>
    </w:p>
    <w:p>
      <w:pPr>
        <w:spacing w:after="120" w:before="0"/>
      </w:pPr>
      <w:r>
        <w:rPr>
          <w:rFonts w:ascii="宋体" w:hAnsi="宋体" w:eastAsia="宋体"/>
          <w:b w:val="0"/>
          <w:sz w:val="28"/>
        </w:rPr>
        <w:t>定价原则：平台自定义Token单价，所有模型统一走ipsunion中转，系统实时扣费。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计费项目</w:t>
            </w:r>
          </w:p>
        </w:tc>
        <w:tc>
          <w:tcPr>
            <w:tcW w:type="dxa" w:w="6803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计费单位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按实际消耗Token数量计费，单位为"元/千Token"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定价方式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后台可自定义单价。不同模型可设置不同价格（如DeepSeek便宜、Claude贵）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计费时机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每次AI调用完成后实时扣减用户Token余额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余额不足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Token余额不足时暂停AI调用，提示用户充值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充值方式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用户购买Token包（如10元/100万Token、50元/500万Token等），后台可配置套餐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消耗明细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用户可查看每次AI调用的Token消耗明细（时间、功能、模型、消耗量、费用）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成本控制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用户可设置单次最大Token消耗上限，超出自动截断，防止异常消耗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API限制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所有AI请求必须走ipsunion中转。系统不提供自定义API Key入口。前端不可见API配置</w:t>
            </w:r>
          </w:p>
        </w:tc>
      </w:tr>
    </w:tbl>
    <w:p/>
    <w:p>
      <w:pPr>
        <w:spacing w:after="160" w:before="240"/>
      </w:pPr>
      <w:r>
        <w:rPr>
          <w:rFonts w:ascii="宋体" w:hAnsi="宋体" w:eastAsia="宋体"/>
          <w:b/>
          <w:sz w:val="28"/>
        </w:rPr>
        <w:t>4.3 支付接入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支付方式</w:t>
            </w:r>
          </w:p>
        </w:tc>
        <w:tc>
          <w:tcPr>
            <w:tcW w:type="dxa" w:w="1984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适用场景</w:t>
            </w:r>
          </w:p>
        </w:tc>
        <w:tc>
          <w:tcPr>
            <w:tcW w:type="dxa" w:w="4252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微信支付（JSAPI/H5）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会员费 + Token充值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必须开通微信商户号，用户在网页端直接支付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支付宝（电脑网站支付）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会员费 + Token充值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必须开通支付宝商户号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对公转账（可选）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企业版大额充值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线下转账，后台手动充值</w:t>
            </w:r>
          </w:p>
        </w:tc>
      </w:tr>
    </w:tbl>
    <w:p/>
    <w:p>
      <w:pPr>
        <w:spacing w:after="200" w:before="320"/>
      </w:pPr>
      <w:r>
        <w:rPr>
          <w:rFonts w:ascii="宋体" w:hAnsi="宋体" w:eastAsia="宋体"/>
          <w:b/>
          <w:sz w:val="32"/>
        </w:rPr>
        <w:t>第五部分：功能总数汇总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阶段</w:t>
            </w:r>
          </w:p>
        </w:tc>
        <w:tc>
          <w:tcPr>
            <w:tcW w:type="dxa" w:w="1417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时间</w:t>
            </w:r>
          </w:p>
        </w:tc>
        <w:tc>
          <w:tcPr>
            <w:tcW w:type="dxa" w:w="1134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功能数</w:t>
            </w:r>
          </w:p>
        </w:tc>
        <w:tc>
          <w:tcPr>
            <w:tcW w:type="dxa" w:w="3969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核心交付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阶段一：基础架构 + 核心闭环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第1-2周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11个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用户注册、会员体系、Token计费、PDF解析、AI解读、目录生成、标书写作、在线编辑、Word导出、项目管理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阶段二：模板系统 + 素材库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第3-4周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8个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标书模板库、占位符替换、封面模板、标书元素、PPT模板、图片素材库、用户素材上传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阶段三：智能图表 + 质量保障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第5-6周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10个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组织架构图、甘特图、流程图、数据图表、AI生图、批量配图、查重、废标检查、评分自检、一键排版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阶段四：知识库 + 团队协作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第7-8周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6个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企业知识库、历史标书库、智能匹配、多版本管理、多人协作、权限管理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阶段五：体验优化 + 运营后台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第9-10周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9个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AI润色、标书对比、PDF导出、格式自定义、快捷短语、管理后台、Token定价、会员定价、操作日志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合计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10周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44个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完整AI标书写作SaaS平台</w:t>
            </w:r>
          </w:p>
        </w:tc>
      </w:tr>
    </w:tbl>
    <w:p/>
    <w:p>
      <w:pPr>
        <w:spacing w:after="200" w:before="320"/>
      </w:pPr>
      <w:r>
        <w:rPr>
          <w:rFonts w:ascii="宋体" w:hAnsi="宋体" w:eastAsia="宋体"/>
          <w:b/>
          <w:sz w:val="32"/>
        </w:rPr>
        <w:t>第六部分：明确不做的功能（与链企AI差异化）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功能</w:t>
            </w:r>
          </w:p>
        </w:tc>
        <w:tc>
          <w:tcPr>
            <w:tcW w:type="dxa" w:w="6236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原因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标讯搜索/商机推送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依赖3亿+标讯数据库，爬虫集群和维护成本巨大，不在此项目范围内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行业趋势分析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同上，依赖海量标讯数据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竞对动态监控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同上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自研大模型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基于ipsunion API即可，不重复造轮子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招标信息订阅推送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依赖标讯数据库实时更新</w:t>
            </w:r>
          </w:p>
        </w:tc>
      </w:tr>
    </w:tbl>
    <w:p/>
    <w:p>
      <w:pPr>
        <w:spacing w:after="200" w:before="320"/>
      </w:pPr>
      <w:r>
        <w:rPr>
          <w:rFonts w:ascii="宋体" w:hAnsi="宋体" w:eastAsia="宋体"/>
          <w:b/>
          <w:sz w:val="32"/>
        </w:rPr>
        <w:t>第七部分：技术栈总览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层级</w:t>
            </w:r>
          </w:p>
        </w:tc>
        <w:tc>
          <w:tcPr>
            <w:tcW w:type="dxa" w:w="255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技术选型</w:t>
            </w:r>
          </w:p>
        </w:tc>
        <w:tc>
          <w:tcPr>
            <w:tcW w:type="dxa" w:w="4252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前端框架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Vue 3 + Vite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现代化前端框架，组件化开发，响应式布局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UI组件库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Element Plus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成熟的企业级UI组件，表格/表单/弹窗/导航开箱即用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富文本编辑器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TinyMCE / Quill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在线标书编辑，支持表格、图片、格式控制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图表渲染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ECharts + Mermaid + Graphviz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数据图表、流程图、组织架构图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后端框架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 FastAPI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异步高性能，原生支持API文档自动生成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ORM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SQLAlchemy + Alembic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数据库操作与迁移管理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认证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JWT + bcrypt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用户认证与密码加密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AI引擎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ipsunion API中转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DeepSeek、Qwen等模型，后端代理调用，前端不可见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PDF解析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PyMuPDF + PaddleOCR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文字提取与扫描件OCR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文档生成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python-docx + python-pptx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Word和PPT模板填充与导出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数据库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PostgreSQL + Redis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主存储 + 缓存/会话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文件存储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MinIO / 阿里云OSS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用户上传文件和生成文件存储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反向代理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Nginx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静态资源 + API代理 + HTTPS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容器化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Docker + Docker Compose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一键部署，环境隔离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CI/CD（可选）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GitHub Actions / 手动部署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自动化构建与部署</w:t>
            </w:r>
          </w:p>
        </w:tc>
      </w:tr>
    </w:tbl>
    <w:p/>
    <w:p>
      <w:pPr>
        <w:spacing w:after="200" w:before="320"/>
      </w:pPr>
      <w:r>
        <w:rPr>
          <w:rFonts w:ascii="宋体" w:hAnsi="宋体" w:eastAsia="宋体"/>
          <w:b/>
          <w:sz w:val="32"/>
        </w:rPr>
        <w:t>第八部分：Token强制走自有中转——技术实现方案</w:t>
      </w:r>
    </w:p>
    <w:p>
      <w:pPr>
        <w:spacing w:after="160" w:before="240"/>
      </w:pPr>
      <w:r>
        <w:rPr>
          <w:rFonts w:ascii="宋体" w:hAnsi="宋体" w:eastAsia="宋体"/>
          <w:b/>
          <w:sz w:val="28"/>
        </w:rPr>
        <w:t>8.1 架构设计</w:t>
      </w:r>
    </w:p>
    <w:p>
      <w:pPr>
        <w:spacing w:after="120" w:before="0"/>
      </w:pPr>
      <w:r>
        <w:rPr>
          <w:rFonts w:ascii="宋体" w:hAnsi="宋体" w:eastAsia="宋体"/>
          <w:b w:val="0"/>
          <w:sz w:val="28"/>
        </w:rPr>
        <w:t>核心原则：前端零感知，后端全代理。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组件</w:t>
            </w:r>
          </w:p>
        </w:tc>
        <w:tc>
          <w:tcPr>
            <w:tcW w:type="dxa" w:w="6803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前端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不提供任何API Key配置入口。用户发起AI操作（写作、解读、润色等）时，前端只发送业务参数（如章节内容、提示词类型），不发送API Key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API网关层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FastAPI后端接收前端请求，验证用户身份和Token余额，拼装完整的AI请求（含ipsunion API Key），转发到ipsunion中转站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API Key存储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ipsunion API Key存储在服务器环境变量或配置文件中，不写入代码仓库。部署时通过Docker环境变量注入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计费拦截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在API网关层拦截所有AI请求，记录Token消耗量，实时扣减用户余额。余额不足时直接拒绝请求，不转发到ipsunion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日志记录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每次AI调用记录：用户ID、请求时间、模型名称、输入Token数、输出Token数、费用、请求内容摘要</w:t>
            </w:r>
          </w:p>
        </w:tc>
      </w:tr>
    </w:tbl>
    <w:p/>
    <w:p>
      <w:pPr>
        <w:spacing w:after="160" w:before="240"/>
      </w:pPr>
      <w:r>
        <w:rPr>
          <w:rFonts w:ascii="宋体" w:hAnsi="宋体" w:eastAsia="宋体"/>
          <w:b/>
          <w:sz w:val="28"/>
        </w:rPr>
        <w:t>8.2 请求流程</w:t>
      </w:r>
    </w:p>
    <w:p>
      <w:pPr>
        <w:spacing w:after="120" w:before="0"/>
        <w:ind w:left="425"/>
      </w:pPr>
      <w:r>
        <w:rPr>
          <w:rFonts w:ascii="宋体" w:hAnsi="宋体" w:eastAsia="宋体"/>
          <w:b w:val="0"/>
          <w:sz w:val="28"/>
        </w:rPr>
        <w:t>用户点击"生成标书"</w:t>
      </w:r>
    </w:p>
    <w:p>
      <w:pPr>
        <w:spacing w:after="120" w:before="0"/>
        <w:ind w:left="425"/>
      </w:pPr>
      <w:r>
        <w:rPr>
          <w:rFonts w:ascii="宋体" w:hAnsi="宋体" w:eastAsia="宋体"/>
          <w:b w:val="0"/>
          <w:sz w:val="28"/>
        </w:rPr>
        <w:t>前端发送请求（含章节信息，不含API Key）</w:t>
      </w:r>
    </w:p>
    <w:p>
      <w:pPr>
        <w:spacing w:after="120" w:before="0"/>
        <w:ind w:left="425"/>
      </w:pPr>
      <w:r>
        <w:rPr>
          <w:rFonts w:ascii="宋体" w:hAnsi="宋体" w:eastAsia="宋体"/>
          <w:b w:val="0"/>
          <w:sz w:val="28"/>
        </w:rPr>
        <w:t>后端验证用户身份和会员状态</w:t>
      </w:r>
    </w:p>
    <w:p>
      <w:pPr>
        <w:spacing w:after="120" w:before="0"/>
        <w:ind w:left="425"/>
      </w:pPr>
      <w:r>
        <w:rPr>
          <w:rFonts w:ascii="宋体" w:hAnsi="宋体" w:eastAsia="宋体"/>
          <w:b w:val="0"/>
          <w:sz w:val="28"/>
        </w:rPr>
        <w:t>后端检查Token余额是否充足</w:t>
      </w:r>
    </w:p>
    <w:p>
      <w:pPr>
        <w:spacing w:after="120" w:before="0"/>
        <w:ind w:left="425"/>
      </w:pPr>
      <w:r>
        <w:rPr>
          <w:rFonts w:ascii="宋体" w:hAnsi="宋体" w:eastAsia="宋体"/>
          <w:b w:val="0"/>
          <w:sz w:val="28"/>
        </w:rPr>
        <w:t>后端拼装完整AI请求，附加ipsunion API Key</w:t>
      </w:r>
    </w:p>
    <w:p>
      <w:pPr>
        <w:spacing w:after="120" w:before="0"/>
        <w:ind w:left="425"/>
      </w:pPr>
      <w:r>
        <w:rPr>
          <w:rFonts w:ascii="宋体" w:hAnsi="宋体" w:eastAsia="宋体"/>
          <w:b w:val="0"/>
          <w:sz w:val="28"/>
        </w:rPr>
        <w:t>转发到ipsunion中转站</w:t>
      </w:r>
    </w:p>
    <w:p>
      <w:pPr>
        <w:spacing w:after="120" w:before="0"/>
        <w:ind w:left="425"/>
      </w:pPr>
      <w:r>
        <w:rPr>
          <w:rFonts w:ascii="宋体" w:hAnsi="宋体" w:eastAsia="宋体"/>
          <w:b w:val="0"/>
          <w:sz w:val="28"/>
        </w:rPr>
        <w:t>接收AI返回结果</w:t>
      </w:r>
    </w:p>
    <w:p>
      <w:pPr>
        <w:spacing w:after="120" w:before="0"/>
        <w:ind w:left="425"/>
      </w:pPr>
      <w:r>
        <w:rPr>
          <w:rFonts w:ascii="宋体" w:hAnsi="宋体" w:eastAsia="宋体"/>
          <w:b w:val="0"/>
          <w:sz w:val="28"/>
        </w:rPr>
        <w:t>记录Token消耗，扣减用户余额</w:t>
      </w:r>
    </w:p>
    <w:p>
      <w:pPr>
        <w:spacing w:after="120" w:before="0"/>
        <w:ind w:left="425"/>
      </w:pPr>
      <w:r>
        <w:rPr>
          <w:rFonts w:ascii="宋体" w:hAnsi="宋体" w:eastAsia="宋体"/>
          <w:b w:val="0"/>
          <w:sz w:val="28"/>
        </w:rPr>
        <w:t>返回结果给前端展示</w:t>
      </w:r>
    </w:p>
    <w:p>
      <w:pPr>
        <w:spacing w:after="160" w:before="240"/>
      </w:pPr>
      <w:r>
        <w:rPr>
          <w:rFonts w:ascii="宋体" w:hAnsi="宋体" w:eastAsia="宋体"/>
          <w:b/>
          <w:sz w:val="28"/>
        </w:rPr>
        <w:t>8.3 安全措施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措施</w:t>
            </w:r>
          </w:p>
        </w:tc>
        <w:tc>
          <w:tcPr>
            <w:tcW w:type="dxa" w:w="6520"/>
            <w:shd w:fill="2B579A" w:val="clear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4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API Key不落前端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API Key仅存在于服务器端，前端代码和网络请求中不包含API Key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请求频率限制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按用户维度限制AI请求频率，防止恶意刷量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单次Token上限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每次AI请求设置最大Token消耗上限，防止异常超量消耗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异常告警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4"/>
              </w:rPr>
              <w:t>Token消耗异常（如短时间内大量消耗）自动告警通知管理员</w:t>
            </w:r>
          </w:p>
        </w:tc>
      </w:tr>
    </w:tbl>
    <w:p/>
    <w:p>
      <w:pPr>
        <w:spacing w:after="160" w:before="0"/>
      </w:pPr>
      <w:r>
        <w:rPr>
          <w:rFonts w:ascii="宋体" w:hAnsi="宋体" w:eastAsia="宋体"/>
          <w:b w:val="0"/>
          <w:sz w:val="28"/>
        </w:rPr>
      </w:r>
    </w:p>
    <w:p>
      <w:pPr>
        <w:spacing w:after="160" w:before="0"/>
      </w:pPr>
      <w:r>
        <w:rPr>
          <w:rFonts w:ascii="宋体" w:hAnsi="宋体" w:eastAsia="宋体"/>
          <w:b w:val="0"/>
          <w:sz w:val="28"/>
        </w:rPr>
      </w:r>
    </w:p>
    <w:p>
      <w:pPr>
        <w:spacing w:after="40" w:before="0"/>
      </w:pPr>
      <w:r>
        <w:rPr>
          <w:rFonts w:ascii="宋体" w:hAnsi="宋体" w:eastAsia="宋体"/>
          <w:b w:val="0"/>
          <w:sz w:val="24"/>
        </w:rPr>
        <w:t>文档版本：V2.0</w:t>
      </w:r>
    </w:p>
    <w:p>
      <w:pPr>
        <w:spacing w:after="40" w:before="0"/>
      </w:pPr>
      <w:r>
        <w:rPr>
          <w:rFonts w:ascii="宋体" w:hAnsi="宋体" w:eastAsia="宋体"/>
          <w:b w:val="0"/>
          <w:sz w:val="24"/>
        </w:rPr>
        <w:t>编制日期：2026年6月15日</w:t>
      </w:r>
    </w:p>
    <w:p>
      <w:pPr>
        <w:spacing w:after="40" w:before="0"/>
      </w:pPr>
      <w:r>
        <w:rPr>
          <w:rFonts w:ascii="宋体" w:hAnsi="宋体" w:eastAsia="宋体"/>
          <w:b w:val="0"/>
          <w:sz w:val="24"/>
        </w:rPr>
        <w:t>编制单位：徐州迅力云网络科技有限公司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