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FFC" w:rsidRDefault="00A70FF5">
      <w:pPr>
        <w:pStyle w:val="Title"/>
      </w:pPr>
      <w:r>
        <w:t>The Origins of Religious Disbelief: A Dual Inheritance Approach</w:t>
      </w:r>
    </w:p>
    <w:p w:rsidR="00432FFC" w:rsidRDefault="00A70FF5" w:rsidP="008F0B30">
      <w:pPr>
        <w:pStyle w:val="Author"/>
      </w:pPr>
      <w:r>
        <w:t>Dub L. Blinded, Esq.</w:t>
      </w:r>
    </w:p>
    <w:sdt>
      <w:sdtPr>
        <w:rPr>
          <w:rFonts w:asciiTheme="minorHAnsi" w:eastAsiaTheme="minorHAnsi" w:hAnsiTheme="minorHAnsi" w:cstheme="minorBidi"/>
          <w:color w:val="auto"/>
          <w:sz w:val="24"/>
          <w:szCs w:val="24"/>
        </w:rPr>
        <w:id w:val="740064652"/>
        <w:docPartObj>
          <w:docPartGallery w:val="Table of Contents"/>
          <w:docPartUnique/>
        </w:docPartObj>
      </w:sdtPr>
      <w:sdtEndPr/>
      <w:sdtContent>
        <w:p w:rsidR="00432FFC" w:rsidRDefault="00A70FF5">
          <w:pPr>
            <w:pStyle w:val="TOCHeading"/>
          </w:pPr>
          <w:r>
            <w:t>Table of Contents</w:t>
          </w:r>
        </w:p>
        <w:p w:rsidR="008F0B30" w:rsidRDefault="00A70FF5">
          <w:pPr>
            <w:pStyle w:val="TOC1"/>
            <w:tabs>
              <w:tab w:val="right" w:leader="dot" w:pos="9350"/>
            </w:tabs>
            <w:rPr>
              <w:noProof/>
            </w:rPr>
          </w:pPr>
          <w:r>
            <w:fldChar w:fldCharType="begin"/>
          </w:r>
          <w:r>
            <w:instrText>TOC \o "1-3" \h \z \u</w:instrText>
          </w:r>
          <w:r w:rsidR="008F0B30">
            <w:fldChar w:fldCharType="separate"/>
          </w:r>
          <w:hyperlink w:anchor="_Toc36630871" w:history="1">
            <w:r w:rsidR="008F0B30" w:rsidRPr="00D36170">
              <w:rPr>
                <w:rStyle w:val="Hyperlink"/>
                <w:noProof/>
              </w:rPr>
              <w:t>Abstract</w:t>
            </w:r>
            <w:r w:rsidR="008F0B30">
              <w:rPr>
                <w:noProof/>
                <w:webHidden/>
              </w:rPr>
              <w:tab/>
            </w:r>
            <w:r w:rsidR="008F0B30">
              <w:rPr>
                <w:noProof/>
                <w:webHidden/>
              </w:rPr>
              <w:fldChar w:fldCharType="begin"/>
            </w:r>
            <w:r w:rsidR="008F0B30">
              <w:rPr>
                <w:noProof/>
                <w:webHidden/>
              </w:rPr>
              <w:instrText xml:space="preserve"> PAGEREF _Toc36630871 \h </w:instrText>
            </w:r>
            <w:r w:rsidR="008F0B30">
              <w:rPr>
                <w:noProof/>
                <w:webHidden/>
              </w:rPr>
            </w:r>
            <w:r w:rsidR="008F0B30">
              <w:rPr>
                <w:noProof/>
                <w:webHidden/>
              </w:rPr>
              <w:fldChar w:fldCharType="separate"/>
            </w:r>
            <w:r w:rsidR="008F0B30">
              <w:rPr>
                <w:noProof/>
                <w:webHidden/>
              </w:rPr>
              <w:t>2</w:t>
            </w:r>
            <w:r w:rsidR="008F0B30">
              <w:rPr>
                <w:noProof/>
                <w:webHidden/>
              </w:rPr>
              <w:fldChar w:fldCharType="end"/>
            </w:r>
          </w:hyperlink>
        </w:p>
        <w:p w:rsidR="008F0B30" w:rsidRDefault="008F0B30">
          <w:pPr>
            <w:pStyle w:val="TOC1"/>
            <w:tabs>
              <w:tab w:val="right" w:leader="dot" w:pos="9350"/>
            </w:tabs>
            <w:rPr>
              <w:noProof/>
            </w:rPr>
          </w:pPr>
          <w:hyperlink w:anchor="_Toc36630872" w:history="1">
            <w:r w:rsidRPr="00D36170">
              <w:rPr>
                <w:rStyle w:val="Hyperlink"/>
                <w:noProof/>
              </w:rPr>
              <w:t>Background</w:t>
            </w:r>
            <w:r>
              <w:rPr>
                <w:noProof/>
                <w:webHidden/>
              </w:rPr>
              <w:tab/>
            </w:r>
            <w:r>
              <w:rPr>
                <w:noProof/>
                <w:webHidden/>
              </w:rPr>
              <w:fldChar w:fldCharType="begin"/>
            </w:r>
            <w:r>
              <w:rPr>
                <w:noProof/>
                <w:webHidden/>
              </w:rPr>
              <w:instrText xml:space="preserve"> PAGEREF _Toc36630872 \h </w:instrText>
            </w:r>
            <w:r>
              <w:rPr>
                <w:noProof/>
                <w:webHidden/>
              </w:rPr>
            </w:r>
            <w:r>
              <w:rPr>
                <w:noProof/>
                <w:webHidden/>
              </w:rPr>
              <w:fldChar w:fldCharType="separate"/>
            </w:r>
            <w:r>
              <w:rPr>
                <w:noProof/>
                <w:webHidden/>
              </w:rPr>
              <w:t>3</w:t>
            </w:r>
            <w:r>
              <w:rPr>
                <w:noProof/>
                <w:webHidden/>
              </w:rPr>
              <w:fldChar w:fldCharType="end"/>
            </w:r>
          </w:hyperlink>
        </w:p>
        <w:p w:rsidR="008F0B30" w:rsidRDefault="008F0B30">
          <w:pPr>
            <w:pStyle w:val="TOC2"/>
            <w:tabs>
              <w:tab w:val="right" w:leader="dot" w:pos="9350"/>
            </w:tabs>
            <w:rPr>
              <w:noProof/>
            </w:rPr>
          </w:pPr>
          <w:hyperlink w:anchor="_Toc36630873" w:history="1">
            <w:r w:rsidRPr="00D36170">
              <w:rPr>
                <w:rStyle w:val="Hyperlink"/>
                <w:noProof/>
              </w:rPr>
              <w:t>Four Pathways to Atheism</w:t>
            </w:r>
            <w:r>
              <w:rPr>
                <w:noProof/>
                <w:webHidden/>
              </w:rPr>
              <w:tab/>
            </w:r>
            <w:r>
              <w:rPr>
                <w:noProof/>
                <w:webHidden/>
              </w:rPr>
              <w:fldChar w:fldCharType="begin"/>
            </w:r>
            <w:r>
              <w:rPr>
                <w:noProof/>
                <w:webHidden/>
              </w:rPr>
              <w:instrText xml:space="preserve"> PAGEREF _Toc36630873 \h </w:instrText>
            </w:r>
            <w:r>
              <w:rPr>
                <w:noProof/>
                <w:webHidden/>
              </w:rPr>
            </w:r>
            <w:r>
              <w:rPr>
                <w:noProof/>
                <w:webHidden/>
              </w:rPr>
              <w:fldChar w:fldCharType="separate"/>
            </w:r>
            <w:r>
              <w:rPr>
                <w:noProof/>
                <w:webHidden/>
              </w:rPr>
              <w:t>4</w:t>
            </w:r>
            <w:r>
              <w:rPr>
                <w:noProof/>
                <w:webHidden/>
              </w:rPr>
              <w:fldChar w:fldCharType="end"/>
            </w:r>
          </w:hyperlink>
        </w:p>
        <w:p w:rsidR="008F0B30" w:rsidRDefault="008F0B30">
          <w:pPr>
            <w:pStyle w:val="TOC2"/>
            <w:tabs>
              <w:tab w:val="right" w:leader="dot" w:pos="9350"/>
            </w:tabs>
            <w:rPr>
              <w:noProof/>
            </w:rPr>
          </w:pPr>
          <w:hyperlink w:anchor="_Toc36630874" w:history="1">
            <w:r w:rsidRPr="00D36170">
              <w:rPr>
                <w:rStyle w:val="Hyperlink"/>
                <w:noProof/>
              </w:rPr>
              <w:t>Prominent Theoretical Approaches</w:t>
            </w:r>
            <w:r>
              <w:rPr>
                <w:noProof/>
                <w:webHidden/>
              </w:rPr>
              <w:tab/>
            </w:r>
            <w:r>
              <w:rPr>
                <w:noProof/>
                <w:webHidden/>
              </w:rPr>
              <w:fldChar w:fldCharType="begin"/>
            </w:r>
            <w:r>
              <w:rPr>
                <w:noProof/>
                <w:webHidden/>
              </w:rPr>
              <w:instrText xml:space="preserve"> PAGEREF _Toc36630874 \h </w:instrText>
            </w:r>
            <w:r>
              <w:rPr>
                <w:noProof/>
                <w:webHidden/>
              </w:rPr>
            </w:r>
            <w:r>
              <w:rPr>
                <w:noProof/>
                <w:webHidden/>
              </w:rPr>
              <w:fldChar w:fldCharType="separate"/>
            </w:r>
            <w:r>
              <w:rPr>
                <w:noProof/>
                <w:webHidden/>
              </w:rPr>
              <w:t>4</w:t>
            </w:r>
            <w:r>
              <w:rPr>
                <w:noProof/>
                <w:webHidden/>
              </w:rPr>
              <w:fldChar w:fldCharType="end"/>
            </w:r>
          </w:hyperlink>
        </w:p>
        <w:p w:rsidR="008F0B30" w:rsidRDefault="008F0B30">
          <w:pPr>
            <w:pStyle w:val="TOC1"/>
            <w:tabs>
              <w:tab w:val="right" w:leader="dot" w:pos="9350"/>
            </w:tabs>
            <w:rPr>
              <w:noProof/>
            </w:rPr>
          </w:pPr>
          <w:hyperlink w:anchor="_Toc36630875" w:history="1">
            <w:r w:rsidRPr="00D36170">
              <w:rPr>
                <w:rStyle w:val="Hyperlink"/>
                <w:noProof/>
              </w:rPr>
              <w:t>Methods</w:t>
            </w:r>
            <w:r>
              <w:rPr>
                <w:noProof/>
                <w:webHidden/>
              </w:rPr>
              <w:tab/>
            </w:r>
            <w:r>
              <w:rPr>
                <w:noProof/>
                <w:webHidden/>
              </w:rPr>
              <w:fldChar w:fldCharType="begin"/>
            </w:r>
            <w:r>
              <w:rPr>
                <w:noProof/>
                <w:webHidden/>
              </w:rPr>
              <w:instrText xml:space="preserve"> PAGEREF _Toc36630875 \h </w:instrText>
            </w:r>
            <w:r>
              <w:rPr>
                <w:noProof/>
                <w:webHidden/>
              </w:rPr>
            </w:r>
            <w:r>
              <w:rPr>
                <w:noProof/>
                <w:webHidden/>
              </w:rPr>
              <w:fldChar w:fldCharType="separate"/>
            </w:r>
            <w:r>
              <w:rPr>
                <w:noProof/>
                <w:webHidden/>
              </w:rPr>
              <w:t>6</w:t>
            </w:r>
            <w:r>
              <w:rPr>
                <w:noProof/>
                <w:webHidden/>
              </w:rPr>
              <w:fldChar w:fldCharType="end"/>
            </w:r>
          </w:hyperlink>
        </w:p>
        <w:p w:rsidR="008F0B30" w:rsidRDefault="008F0B30">
          <w:pPr>
            <w:pStyle w:val="TOC2"/>
            <w:tabs>
              <w:tab w:val="right" w:leader="dot" w:pos="9350"/>
            </w:tabs>
            <w:rPr>
              <w:noProof/>
            </w:rPr>
          </w:pPr>
          <w:hyperlink w:anchor="_Toc36630876" w:history="1">
            <w:r w:rsidRPr="00D36170">
              <w:rPr>
                <w:rStyle w:val="Hyperlink"/>
                <w:noProof/>
              </w:rPr>
              <w:t>Sample</w:t>
            </w:r>
            <w:r>
              <w:rPr>
                <w:noProof/>
                <w:webHidden/>
              </w:rPr>
              <w:tab/>
            </w:r>
            <w:r>
              <w:rPr>
                <w:noProof/>
                <w:webHidden/>
              </w:rPr>
              <w:fldChar w:fldCharType="begin"/>
            </w:r>
            <w:r>
              <w:rPr>
                <w:noProof/>
                <w:webHidden/>
              </w:rPr>
              <w:instrText xml:space="preserve"> PAGEREF _Toc36630876 \h </w:instrText>
            </w:r>
            <w:r>
              <w:rPr>
                <w:noProof/>
                <w:webHidden/>
              </w:rPr>
            </w:r>
            <w:r>
              <w:rPr>
                <w:noProof/>
                <w:webHidden/>
              </w:rPr>
              <w:fldChar w:fldCharType="separate"/>
            </w:r>
            <w:r>
              <w:rPr>
                <w:noProof/>
                <w:webHidden/>
              </w:rPr>
              <w:t>6</w:t>
            </w:r>
            <w:r>
              <w:rPr>
                <w:noProof/>
                <w:webHidden/>
              </w:rPr>
              <w:fldChar w:fldCharType="end"/>
            </w:r>
          </w:hyperlink>
        </w:p>
        <w:p w:rsidR="008F0B30" w:rsidRDefault="008F0B30">
          <w:pPr>
            <w:pStyle w:val="TOC2"/>
            <w:tabs>
              <w:tab w:val="right" w:leader="dot" w:pos="9350"/>
            </w:tabs>
            <w:rPr>
              <w:noProof/>
            </w:rPr>
          </w:pPr>
          <w:hyperlink w:anchor="_Toc36630877" w:history="1">
            <w:r w:rsidRPr="00D36170">
              <w:rPr>
                <w:rStyle w:val="Hyperlink"/>
                <w:noProof/>
              </w:rPr>
              <w:t>Measures</w:t>
            </w:r>
            <w:r>
              <w:rPr>
                <w:noProof/>
                <w:webHidden/>
              </w:rPr>
              <w:tab/>
            </w:r>
            <w:r>
              <w:rPr>
                <w:noProof/>
                <w:webHidden/>
              </w:rPr>
              <w:fldChar w:fldCharType="begin"/>
            </w:r>
            <w:r>
              <w:rPr>
                <w:noProof/>
                <w:webHidden/>
              </w:rPr>
              <w:instrText xml:space="preserve"> PAGEREF _Toc36630877 \h </w:instrText>
            </w:r>
            <w:r>
              <w:rPr>
                <w:noProof/>
                <w:webHidden/>
              </w:rPr>
            </w:r>
            <w:r>
              <w:rPr>
                <w:noProof/>
                <w:webHidden/>
              </w:rPr>
              <w:fldChar w:fldCharType="separate"/>
            </w:r>
            <w:r>
              <w:rPr>
                <w:noProof/>
                <w:webHidden/>
              </w:rPr>
              <w:t>8</w:t>
            </w:r>
            <w:r>
              <w:rPr>
                <w:noProof/>
                <w:webHidden/>
              </w:rPr>
              <w:fldChar w:fldCharType="end"/>
            </w:r>
          </w:hyperlink>
        </w:p>
        <w:p w:rsidR="008F0B30" w:rsidRDefault="008F0B30">
          <w:pPr>
            <w:pStyle w:val="TOC3"/>
            <w:tabs>
              <w:tab w:val="right" w:leader="dot" w:pos="9350"/>
            </w:tabs>
            <w:rPr>
              <w:noProof/>
            </w:rPr>
          </w:pPr>
          <w:hyperlink w:anchor="_Toc36630878" w:history="1">
            <w:r w:rsidRPr="00D36170">
              <w:rPr>
                <w:rStyle w:val="Hyperlink"/>
                <w:noProof/>
              </w:rPr>
              <w:t>Religious Belief</w:t>
            </w:r>
            <w:r>
              <w:rPr>
                <w:noProof/>
                <w:webHidden/>
              </w:rPr>
              <w:tab/>
            </w:r>
            <w:r>
              <w:rPr>
                <w:noProof/>
                <w:webHidden/>
              </w:rPr>
              <w:fldChar w:fldCharType="begin"/>
            </w:r>
            <w:r>
              <w:rPr>
                <w:noProof/>
                <w:webHidden/>
              </w:rPr>
              <w:instrText xml:space="preserve"> PAGEREF _Toc36630878 \h </w:instrText>
            </w:r>
            <w:r>
              <w:rPr>
                <w:noProof/>
                <w:webHidden/>
              </w:rPr>
            </w:r>
            <w:r>
              <w:rPr>
                <w:noProof/>
                <w:webHidden/>
              </w:rPr>
              <w:fldChar w:fldCharType="separate"/>
            </w:r>
            <w:r>
              <w:rPr>
                <w:noProof/>
                <w:webHidden/>
              </w:rPr>
              <w:t>8</w:t>
            </w:r>
            <w:r>
              <w:rPr>
                <w:noProof/>
                <w:webHidden/>
              </w:rPr>
              <w:fldChar w:fldCharType="end"/>
            </w:r>
          </w:hyperlink>
        </w:p>
        <w:p w:rsidR="008F0B30" w:rsidRDefault="008F0B30">
          <w:pPr>
            <w:pStyle w:val="TOC3"/>
            <w:tabs>
              <w:tab w:val="right" w:leader="dot" w:pos="9350"/>
            </w:tabs>
            <w:rPr>
              <w:noProof/>
            </w:rPr>
          </w:pPr>
          <w:hyperlink w:anchor="_Toc36630879" w:history="1">
            <w:r w:rsidRPr="00D36170">
              <w:rPr>
                <w:rStyle w:val="Hyperlink"/>
                <w:noProof/>
              </w:rPr>
              <w:t>Pathways to Religious Disbelief</w:t>
            </w:r>
            <w:r>
              <w:rPr>
                <w:noProof/>
                <w:webHidden/>
              </w:rPr>
              <w:tab/>
            </w:r>
            <w:r>
              <w:rPr>
                <w:noProof/>
                <w:webHidden/>
              </w:rPr>
              <w:fldChar w:fldCharType="begin"/>
            </w:r>
            <w:r>
              <w:rPr>
                <w:noProof/>
                <w:webHidden/>
              </w:rPr>
              <w:instrText xml:space="preserve"> PAGEREF _Toc36630879 \h </w:instrText>
            </w:r>
            <w:r>
              <w:rPr>
                <w:noProof/>
                <w:webHidden/>
              </w:rPr>
            </w:r>
            <w:r>
              <w:rPr>
                <w:noProof/>
                <w:webHidden/>
              </w:rPr>
              <w:fldChar w:fldCharType="separate"/>
            </w:r>
            <w:r>
              <w:rPr>
                <w:noProof/>
                <w:webHidden/>
              </w:rPr>
              <w:t>8</w:t>
            </w:r>
            <w:r>
              <w:rPr>
                <w:noProof/>
                <w:webHidden/>
              </w:rPr>
              <w:fldChar w:fldCharType="end"/>
            </w:r>
          </w:hyperlink>
        </w:p>
        <w:p w:rsidR="008F0B30" w:rsidRDefault="008F0B30">
          <w:pPr>
            <w:pStyle w:val="TOC3"/>
            <w:tabs>
              <w:tab w:val="right" w:leader="dot" w:pos="9350"/>
            </w:tabs>
            <w:rPr>
              <w:noProof/>
            </w:rPr>
          </w:pPr>
          <w:hyperlink w:anchor="_Toc36630880" w:history="1">
            <w:r w:rsidRPr="00D36170">
              <w:rPr>
                <w:rStyle w:val="Hyperlink"/>
                <w:noProof/>
              </w:rPr>
              <w:t>Personality Measures</w:t>
            </w:r>
            <w:r>
              <w:rPr>
                <w:noProof/>
                <w:webHidden/>
              </w:rPr>
              <w:tab/>
            </w:r>
            <w:r>
              <w:rPr>
                <w:noProof/>
                <w:webHidden/>
              </w:rPr>
              <w:fldChar w:fldCharType="begin"/>
            </w:r>
            <w:r>
              <w:rPr>
                <w:noProof/>
                <w:webHidden/>
              </w:rPr>
              <w:instrText xml:space="preserve"> PAGEREF _Toc36630880 \h </w:instrText>
            </w:r>
            <w:r>
              <w:rPr>
                <w:noProof/>
                <w:webHidden/>
              </w:rPr>
            </w:r>
            <w:r>
              <w:rPr>
                <w:noProof/>
                <w:webHidden/>
              </w:rPr>
              <w:fldChar w:fldCharType="separate"/>
            </w:r>
            <w:r>
              <w:rPr>
                <w:noProof/>
                <w:webHidden/>
              </w:rPr>
              <w:t>9</w:t>
            </w:r>
            <w:r>
              <w:rPr>
                <w:noProof/>
                <w:webHidden/>
              </w:rPr>
              <w:fldChar w:fldCharType="end"/>
            </w:r>
          </w:hyperlink>
        </w:p>
        <w:p w:rsidR="008F0B30" w:rsidRDefault="008F0B30">
          <w:pPr>
            <w:pStyle w:val="TOC3"/>
            <w:tabs>
              <w:tab w:val="right" w:leader="dot" w:pos="9350"/>
            </w:tabs>
            <w:rPr>
              <w:noProof/>
            </w:rPr>
          </w:pPr>
          <w:hyperlink w:anchor="_Toc36630881" w:history="1">
            <w:r w:rsidRPr="00D36170">
              <w:rPr>
                <w:rStyle w:val="Hyperlink"/>
                <w:noProof/>
              </w:rPr>
              <w:t>General Demographics</w:t>
            </w:r>
            <w:r>
              <w:rPr>
                <w:noProof/>
                <w:webHidden/>
              </w:rPr>
              <w:tab/>
            </w:r>
            <w:r>
              <w:rPr>
                <w:noProof/>
                <w:webHidden/>
              </w:rPr>
              <w:fldChar w:fldCharType="begin"/>
            </w:r>
            <w:r>
              <w:rPr>
                <w:noProof/>
                <w:webHidden/>
              </w:rPr>
              <w:instrText xml:space="preserve"> PAGEREF _Toc36630881 \h </w:instrText>
            </w:r>
            <w:r>
              <w:rPr>
                <w:noProof/>
                <w:webHidden/>
              </w:rPr>
            </w:r>
            <w:r>
              <w:rPr>
                <w:noProof/>
                <w:webHidden/>
              </w:rPr>
              <w:fldChar w:fldCharType="separate"/>
            </w:r>
            <w:r>
              <w:rPr>
                <w:noProof/>
                <w:webHidden/>
              </w:rPr>
              <w:t>9</w:t>
            </w:r>
            <w:r>
              <w:rPr>
                <w:noProof/>
                <w:webHidden/>
              </w:rPr>
              <w:fldChar w:fldCharType="end"/>
            </w:r>
          </w:hyperlink>
        </w:p>
        <w:p w:rsidR="008F0B30" w:rsidRDefault="008F0B30">
          <w:pPr>
            <w:pStyle w:val="TOC1"/>
            <w:tabs>
              <w:tab w:val="right" w:leader="dot" w:pos="9350"/>
            </w:tabs>
            <w:rPr>
              <w:noProof/>
            </w:rPr>
          </w:pPr>
          <w:hyperlink w:anchor="_Toc36630882" w:history="1">
            <w:r w:rsidRPr="00D36170">
              <w:rPr>
                <w:rStyle w:val="Hyperlink"/>
                <w:noProof/>
              </w:rPr>
              <w:t>Results</w:t>
            </w:r>
            <w:r>
              <w:rPr>
                <w:noProof/>
                <w:webHidden/>
              </w:rPr>
              <w:tab/>
            </w:r>
            <w:r>
              <w:rPr>
                <w:noProof/>
                <w:webHidden/>
              </w:rPr>
              <w:fldChar w:fldCharType="begin"/>
            </w:r>
            <w:r>
              <w:rPr>
                <w:noProof/>
                <w:webHidden/>
              </w:rPr>
              <w:instrText xml:space="preserve"> PAGEREF _Toc36630882 \h </w:instrText>
            </w:r>
            <w:r>
              <w:rPr>
                <w:noProof/>
                <w:webHidden/>
              </w:rPr>
            </w:r>
            <w:r>
              <w:rPr>
                <w:noProof/>
                <w:webHidden/>
              </w:rPr>
              <w:fldChar w:fldCharType="separate"/>
            </w:r>
            <w:r>
              <w:rPr>
                <w:noProof/>
                <w:webHidden/>
              </w:rPr>
              <w:t>9</w:t>
            </w:r>
            <w:r>
              <w:rPr>
                <w:noProof/>
                <w:webHidden/>
              </w:rPr>
              <w:fldChar w:fldCharType="end"/>
            </w:r>
          </w:hyperlink>
        </w:p>
        <w:p w:rsidR="008F0B30" w:rsidRDefault="008F0B30">
          <w:pPr>
            <w:pStyle w:val="TOC2"/>
            <w:tabs>
              <w:tab w:val="right" w:leader="dot" w:pos="9350"/>
            </w:tabs>
            <w:rPr>
              <w:noProof/>
            </w:rPr>
          </w:pPr>
          <w:hyperlink w:anchor="_Toc36630883" w:history="1">
            <w:r w:rsidRPr="00D36170">
              <w:rPr>
                <w:rStyle w:val="Hyperlink"/>
                <w:noProof/>
              </w:rPr>
              <w:t>Analytic Strategy</w:t>
            </w:r>
            <w:r>
              <w:rPr>
                <w:noProof/>
                <w:webHidden/>
              </w:rPr>
              <w:tab/>
            </w:r>
            <w:r>
              <w:rPr>
                <w:noProof/>
                <w:webHidden/>
              </w:rPr>
              <w:fldChar w:fldCharType="begin"/>
            </w:r>
            <w:r>
              <w:rPr>
                <w:noProof/>
                <w:webHidden/>
              </w:rPr>
              <w:instrText xml:space="preserve"> PAGEREF _Toc36630883 \h </w:instrText>
            </w:r>
            <w:r>
              <w:rPr>
                <w:noProof/>
                <w:webHidden/>
              </w:rPr>
            </w:r>
            <w:r>
              <w:rPr>
                <w:noProof/>
                <w:webHidden/>
              </w:rPr>
              <w:fldChar w:fldCharType="separate"/>
            </w:r>
            <w:r>
              <w:rPr>
                <w:noProof/>
                <w:webHidden/>
              </w:rPr>
              <w:t>9</w:t>
            </w:r>
            <w:r>
              <w:rPr>
                <w:noProof/>
                <w:webHidden/>
              </w:rPr>
              <w:fldChar w:fldCharType="end"/>
            </w:r>
          </w:hyperlink>
        </w:p>
        <w:p w:rsidR="008F0B30" w:rsidRDefault="008F0B30">
          <w:pPr>
            <w:pStyle w:val="TOC2"/>
            <w:tabs>
              <w:tab w:val="right" w:leader="dot" w:pos="9350"/>
            </w:tabs>
            <w:rPr>
              <w:noProof/>
            </w:rPr>
          </w:pPr>
          <w:hyperlink w:anchor="_Toc36630884" w:history="1">
            <w:r w:rsidRPr="00D36170">
              <w:rPr>
                <w:rStyle w:val="Hyperlink"/>
                <w:noProof/>
              </w:rPr>
              <w:t>I. Relative Contributions</w:t>
            </w:r>
            <w:r>
              <w:rPr>
                <w:noProof/>
                <w:webHidden/>
              </w:rPr>
              <w:tab/>
            </w:r>
            <w:r>
              <w:rPr>
                <w:noProof/>
                <w:webHidden/>
              </w:rPr>
              <w:fldChar w:fldCharType="begin"/>
            </w:r>
            <w:r>
              <w:rPr>
                <w:noProof/>
                <w:webHidden/>
              </w:rPr>
              <w:instrText xml:space="preserve"> PAGEREF _Toc36630884 \h </w:instrText>
            </w:r>
            <w:r>
              <w:rPr>
                <w:noProof/>
                <w:webHidden/>
              </w:rPr>
            </w:r>
            <w:r>
              <w:rPr>
                <w:noProof/>
                <w:webHidden/>
              </w:rPr>
              <w:fldChar w:fldCharType="separate"/>
            </w:r>
            <w:r>
              <w:rPr>
                <w:noProof/>
                <w:webHidden/>
              </w:rPr>
              <w:t>10</w:t>
            </w:r>
            <w:r>
              <w:rPr>
                <w:noProof/>
                <w:webHidden/>
              </w:rPr>
              <w:fldChar w:fldCharType="end"/>
            </w:r>
          </w:hyperlink>
        </w:p>
        <w:p w:rsidR="008F0B30" w:rsidRDefault="008F0B30">
          <w:pPr>
            <w:pStyle w:val="TOC3"/>
            <w:tabs>
              <w:tab w:val="right" w:leader="dot" w:pos="9350"/>
            </w:tabs>
            <w:rPr>
              <w:noProof/>
            </w:rPr>
          </w:pPr>
          <w:hyperlink w:anchor="_Toc36630885" w:history="1">
            <w:r w:rsidRPr="00D36170">
              <w:rPr>
                <w:rStyle w:val="Hyperlink"/>
                <w:noProof/>
              </w:rPr>
              <w:t>Atheism: Binary Measure</w:t>
            </w:r>
            <w:r>
              <w:rPr>
                <w:noProof/>
                <w:webHidden/>
              </w:rPr>
              <w:tab/>
            </w:r>
            <w:r>
              <w:rPr>
                <w:noProof/>
                <w:webHidden/>
              </w:rPr>
              <w:fldChar w:fldCharType="begin"/>
            </w:r>
            <w:r>
              <w:rPr>
                <w:noProof/>
                <w:webHidden/>
              </w:rPr>
              <w:instrText xml:space="preserve"> PAGEREF _Toc36630885 \h </w:instrText>
            </w:r>
            <w:r>
              <w:rPr>
                <w:noProof/>
                <w:webHidden/>
              </w:rPr>
            </w:r>
            <w:r>
              <w:rPr>
                <w:noProof/>
                <w:webHidden/>
              </w:rPr>
              <w:fldChar w:fldCharType="separate"/>
            </w:r>
            <w:r>
              <w:rPr>
                <w:noProof/>
                <w:webHidden/>
              </w:rPr>
              <w:t>13</w:t>
            </w:r>
            <w:r>
              <w:rPr>
                <w:noProof/>
                <w:webHidden/>
              </w:rPr>
              <w:fldChar w:fldCharType="end"/>
            </w:r>
          </w:hyperlink>
        </w:p>
        <w:p w:rsidR="008F0B30" w:rsidRDefault="008F0B30">
          <w:pPr>
            <w:pStyle w:val="TOC2"/>
            <w:tabs>
              <w:tab w:val="right" w:leader="dot" w:pos="9350"/>
            </w:tabs>
            <w:rPr>
              <w:noProof/>
            </w:rPr>
          </w:pPr>
          <w:hyperlink w:anchor="_Toc36630886" w:history="1">
            <w:r w:rsidRPr="00D36170">
              <w:rPr>
                <w:rStyle w:val="Hyperlink"/>
                <w:noProof/>
              </w:rPr>
              <w:t>II. Hypothesized Interactions</w:t>
            </w:r>
            <w:r>
              <w:rPr>
                <w:noProof/>
                <w:webHidden/>
              </w:rPr>
              <w:tab/>
            </w:r>
            <w:r>
              <w:rPr>
                <w:noProof/>
                <w:webHidden/>
              </w:rPr>
              <w:fldChar w:fldCharType="begin"/>
            </w:r>
            <w:r>
              <w:rPr>
                <w:noProof/>
                <w:webHidden/>
              </w:rPr>
              <w:instrText xml:space="preserve"> PAGEREF _Toc36630886 \h </w:instrText>
            </w:r>
            <w:r>
              <w:rPr>
                <w:noProof/>
                <w:webHidden/>
              </w:rPr>
            </w:r>
            <w:r>
              <w:rPr>
                <w:noProof/>
                <w:webHidden/>
              </w:rPr>
              <w:fldChar w:fldCharType="separate"/>
            </w:r>
            <w:r>
              <w:rPr>
                <w:noProof/>
                <w:webHidden/>
              </w:rPr>
              <w:t>13</w:t>
            </w:r>
            <w:r>
              <w:rPr>
                <w:noProof/>
                <w:webHidden/>
              </w:rPr>
              <w:fldChar w:fldCharType="end"/>
            </w:r>
          </w:hyperlink>
        </w:p>
        <w:p w:rsidR="008F0B30" w:rsidRDefault="008F0B30">
          <w:pPr>
            <w:pStyle w:val="TOC2"/>
            <w:tabs>
              <w:tab w:val="right" w:leader="dot" w:pos="9350"/>
            </w:tabs>
            <w:rPr>
              <w:noProof/>
            </w:rPr>
          </w:pPr>
          <w:hyperlink w:anchor="_Toc36630887" w:history="1">
            <w:r w:rsidRPr="00D36170">
              <w:rPr>
                <w:rStyle w:val="Hyperlink"/>
                <w:noProof/>
              </w:rPr>
              <w:t>III. Individual Replications</w:t>
            </w:r>
            <w:r>
              <w:rPr>
                <w:noProof/>
                <w:webHidden/>
              </w:rPr>
              <w:tab/>
            </w:r>
            <w:r>
              <w:rPr>
                <w:noProof/>
                <w:webHidden/>
              </w:rPr>
              <w:fldChar w:fldCharType="begin"/>
            </w:r>
            <w:r>
              <w:rPr>
                <w:noProof/>
                <w:webHidden/>
              </w:rPr>
              <w:instrText xml:space="preserve"> PAGEREF _Toc36630887 \h </w:instrText>
            </w:r>
            <w:r>
              <w:rPr>
                <w:noProof/>
                <w:webHidden/>
              </w:rPr>
            </w:r>
            <w:r>
              <w:rPr>
                <w:noProof/>
                <w:webHidden/>
              </w:rPr>
              <w:fldChar w:fldCharType="separate"/>
            </w:r>
            <w:r>
              <w:rPr>
                <w:noProof/>
                <w:webHidden/>
              </w:rPr>
              <w:t>14</w:t>
            </w:r>
            <w:r>
              <w:rPr>
                <w:noProof/>
                <w:webHidden/>
              </w:rPr>
              <w:fldChar w:fldCharType="end"/>
            </w:r>
          </w:hyperlink>
        </w:p>
        <w:p w:rsidR="008F0B30" w:rsidRDefault="008F0B30">
          <w:pPr>
            <w:pStyle w:val="TOC1"/>
            <w:tabs>
              <w:tab w:val="right" w:leader="dot" w:pos="9350"/>
            </w:tabs>
            <w:rPr>
              <w:noProof/>
            </w:rPr>
          </w:pPr>
          <w:hyperlink w:anchor="_Toc36630888" w:history="1">
            <w:r w:rsidRPr="00D36170">
              <w:rPr>
                <w:rStyle w:val="Hyperlink"/>
                <w:noProof/>
              </w:rPr>
              <w:t>Discussion</w:t>
            </w:r>
            <w:r>
              <w:rPr>
                <w:noProof/>
                <w:webHidden/>
              </w:rPr>
              <w:tab/>
            </w:r>
            <w:r>
              <w:rPr>
                <w:noProof/>
                <w:webHidden/>
              </w:rPr>
              <w:fldChar w:fldCharType="begin"/>
            </w:r>
            <w:r>
              <w:rPr>
                <w:noProof/>
                <w:webHidden/>
              </w:rPr>
              <w:instrText xml:space="preserve"> PAGEREF _Toc36630888 \h </w:instrText>
            </w:r>
            <w:r>
              <w:rPr>
                <w:noProof/>
                <w:webHidden/>
              </w:rPr>
            </w:r>
            <w:r>
              <w:rPr>
                <w:noProof/>
                <w:webHidden/>
              </w:rPr>
              <w:fldChar w:fldCharType="separate"/>
            </w:r>
            <w:r>
              <w:rPr>
                <w:noProof/>
                <w:webHidden/>
              </w:rPr>
              <w:t>15</w:t>
            </w:r>
            <w:r>
              <w:rPr>
                <w:noProof/>
                <w:webHidden/>
              </w:rPr>
              <w:fldChar w:fldCharType="end"/>
            </w:r>
          </w:hyperlink>
        </w:p>
        <w:p w:rsidR="008F0B30" w:rsidRDefault="008F0B30">
          <w:pPr>
            <w:pStyle w:val="TOC2"/>
            <w:tabs>
              <w:tab w:val="right" w:leader="dot" w:pos="9350"/>
            </w:tabs>
            <w:rPr>
              <w:noProof/>
            </w:rPr>
          </w:pPr>
          <w:hyperlink w:anchor="_Toc36630889" w:history="1">
            <w:r w:rsidRPr="00D36170">
              <w:rPr>
                <w:rStyle w:val="Hyperlink"/>
                <w:noProof/>
              </w:rPr>
              <w:t>Summary</w:t>
            </w:r>
            <w:r>
              <w:rPr>
                <w:noProof/>
                <w:webHidden/>
              </w:rPr>
              <w:tab/>
            </w:r>
            <w:r>
              <w:rPr>
                <w:noProof/>
                <w:webHidden/>
              </w:rPr>
              <w:fldChar w:fldCharType="begin"/>
            </w:r>
            <w:r>
              <w:rPr>
                <w:noProof/>
                <w:webHidden/>
              </w:rPr>
              <w:instrText xml:space="preserve"> PAGEREF _Toc36630889 \h </w:instrText>
            </w:r>
            <w:r>
              <w:rPr>
                <w:noProof/>
                <w:webHidden/>
              </w:rPr>
            </w:r>
            <w:r>
              <w:rPr>
                <w:noProof/>
                <w:webHidden/>
              </w:rPr>
              <w:fldChar w:fldCharType="separate"/>
            </w:r>
            <w:r>
              <w:rPr>
                <w:noProof/>
                <w:webHidden/>
              </w:rPr>
              <w:t>15</w:t>
            </w:r>
            <w:r>
              <w:rPr>
                <w:noProof/>
                <w:webHidden/>
              </w:rPr>
              <w:fldChar w:fldCharType="end"/>
            </w:r>
          </w:hyperlink>
        </w:p>
        <w:p w:rsidR="008F0B30" w:rsidRDefault="008F0B30">
          <w:pPr>
            <w:pStyle w:val="TOC2"/>
            <w:tabs>
              <w:tab w:val="right" w:leader="dot" w:pos="9350"/>
            </w:tabs>
            <w:rPr>
              <w:noProof/>
            </w:rPr>
          </w:pPr>
          <w:hyperlink w:anchor="_Toc36630890" w:history="1">
            <w:r w:rsidRPr="00D36170">
              <w:rPr>
                <w:rStyle w:val="Hyperlink"/>
                <w:noProof/>
              </w:rPr>
              <w:t>Theoretical Implications</w:t>
            </w:r>
            <w:r>
              <w:rPr>
                <w:noProof/>
                <w:webHidden/>
              </w:rPr>
              <w:tab/>
            </w:r>
            <w:r>
              <w:rPr>
                <w:noProof/>
                <w:webHidden/>
              </w:rPr>
              <w:fldChar w:fldCharType="begin"/>
            </w:r>
            <w:r>
              <w:rPr>
                <w:noProof/>
                <w:webHidden/>
              </w:rPr>
              <w:instrText xml:space="preserve"> PAGEREF _Toc36630890 \h </w:instrText>
            </w:r>
            <w:r>
              <w:rPr>
                <w:noProof/>
                <w:webHidden/>
              </w:rPr>
            </w:r>
            <w:r>
              <w:rPr>
                <w:noProof/>
                <w:webHidden/>
              </w:rPr>
              <w:fldChar w:fldCharType="separate"/>
            </w:r>
            <w:r>
              <w:rPr>
                <w:noProof/>
                <w:webHidden/>
              </w:rPr>
              <w:t>16</w:t>
            </w:r>
            <w:r>
              <w:rPr>
                <w:noProof/>
                <w:webHidden/>
              </w:rPr>
              <w:fldChar w:fldCharType="end"/>
            </w:r>
          </w:hyperlink>
        </w:p>
        <w:p w:rsidR="008F0B30" w:rsidRDefault="008F0B30">
          <w:pPr>
            <w:pStyle w:val="TOC2"/>
            <w:tabs>
              <w:tab w:val="right" w:leader="dot" w:pos="9350"/>
            </w:tabs>
            <w:rPr>
              <w:noProof/>
            </w:rPr>
          </w:pPr>
          <w:hyperlink w:anchor="_Toc36630891" w:history="1">
            <w:r w:rsidRPr="00D36170">
              <w:rPr>
                <w:rStyle w:val="Hyperlink"/>
                <w:noProof/>
              </w:rPr>
              <w:t>Metascientific Implications</w:t>
            </w:r>
            <w:r>
              <w:rPr>
                <w:noProof/>
                <w:webHidden/>
              </w:rPr>
              <w:tab/>
            </w:r>
            <w:r>
              <w:rPr>
                <w:noProof/>
                <w:webHidden/>
              </w:rPr>
              <w:fldChar w:fldCharType="begin"/>
            </w:r>
            <w:r>
              <w:rPr>
                <w:noProof/>
                <w:webHidden/>
              </w:rPr>
              <w:instrText xml:space="preserve"> PAGEREF _Toc36630891 \h </w:instrText>
            </w:r>
            <w:r>
              <w:rPr>
                <w:noProof/>
                <w:webHidden/>
              </w:rPr>
            </w:r>
            <w:r>
              <w:rPr>
                <w:noProof/>
                <w:webHidden/>
              </w:rPr>
              <w:fldChar w:fldCharType="separate"/>
            </w:r>
            <w:r>
              <w:rPr>
                <w:noProof/>
                <w:webHidden/>
              </w:rPr>
              <w:t>17</w:t>
            </w:r>
            <w:r>
              <w:rPr>
                <w:noProof/>
                <w:webHidden/>
              </w:rPr>
              <w:fldChar w:fldCharType="end"/>
            </w:r>
          </w:hyperlink>
        </w:p>
        <w:p w:rsidR="008F0B30" w:rsidRDefault="008F0B30">
          <w:pPr>
            <w:pStyle w:val="TOC2"/>
            <w:tabs>
              <w:tab w:val="right" w:leader="dot" w:pos="9350"/>
            </w:tabs>
            <w:rPr>
              <w:noProof/>
            </w:rPr>
          </w:pPr>
          <w:hyperlink w:anchor="_Toc36630892" w:history="1">
            <w:r w:rsidRPr="00D36170">
              <w:rPr>
                <w:rStyle w:val="Hyperlink"/>
                <w:noProof/>
              </w:rPr>
              <w:t>Coda</w:t>
            </w:r>
            <w:r>
              <w:rPr>
                <w:noProof/>
                <w:webHidden/>
              </w:rPr>
              <w:tab/>
            </w:r>
            <w:r>
              <w:rPr>
                <w:noProof/>
                <w:webHidden/>
              </w:rPr>
              <w:fldChar w:fldCharType="begin"/>
            </w:r>
            <w:r>
              <w:rPr>
                <w:noProof/>
                <w:webHidden/>
              </w:rPr>
              <w:instrText xml:space="preserve"> PAGEREF _Toc36630892 \h </w:instrText>
            </w:r>
            <w:r>
              <w:rPr>
                <w:noProof/>
                <w:webHidden/>
              </w:rPr>
            </w:r>
            <w:r>
              <w:rPr>
                <w:noProof/>
                <w:webHidden/>
              </w:rPr>
              <w:fldChar w:fldCharType="separate"/>
            </w:r>
            <w:r>
              <w:rPr>
                <w:noProof/>
                <w:webHidden/>
              </w:rPr>
              <w:t>18</w:t>
            </w:r>
            <w:r>
              <w:rPr>
                <w:noProof/>
                <w:webHidden/>
              </w:rPr>
              <w:fldChar w:fldCharType="end"/>
            </w:r>
          </w:hyperlink>
        </w:p>
        <w:p w:rsidR="008F0B30" w:rsidRDefault="008F0B30">
          <w:pPr>
            <w:pStyle w:val="TOC1"/>
            <w:tabs>
              <w:tab w:val="right" w:leader="dot" w:pos="9350"/>
            </w:tabs>
            <w:rPr>
              <w:noProof/>
            </w:rPr>
          </w:pPr>
          <w:hyperlink w:anchor="_Toc36630893" w:history="1">
            <w:r w:rsidRPr="00D36170">
              <w:rPr>
                <w:rStyle w:val="Hyperlink"/>
                <w:noProof/>
              </w:rPr>
              <w:t>Acknowledgements</w:t>
            </w:r>
            <w:r>
              <w:rPr>
                <w:noProof/>
                <w:webHidden/>
              </w:rPr>
              <w:tab/>
            </w:r>
            <w:r>
              <w:rPr>
                <w:noProof/>
                <w:webHidden/>
              </w:rPr>
              <w:fldChar w:fldCharType="begin"/>
            </w:r>
            <w:r>
              <w:rPr>
                <w:noProof/>
                <w:webHidden/>
              </w:rPr>
              <w:instrText xml:space="preserve"> PAGEREF _Toc36630893 \h </w:instrText>
            </w:r>
            <w:r>
              <w:rPr>
                <w:noProof/>
                <w:webHidden/>
              </w:rPr>
            </w:r>
            <w:r>
              <w:rPr>
                <w:noProof/>
                <w:webHidden/>
              </w:rPr>
              <w:fldChar w:fldCharType="separate"/>
            </w:r>
            <w:r>
              <w:rPr>
                <w:noProof/>
                <w:webHidden/>
              </w:rPr>
              <w:t>19</w:t>
            </w:r>
            <w:r>
              <w:rPr>
                <w:noProof/>
                <w:webHidden/>
              </w:rPr>
              <w:fldChar w:fldCharType="end"/>
            </w:r>
          </w:hyperlink>
        </w:p>
        <w:p w:rsidR="008F0B30" w:rsidRDefault="008F0B30">
          <w:pPr>
            <w:pStyle w:val="TOC1"/>
            <w:tabs>
              <w:tab w:val="right" w:leader="dot" w:pos="9350"/>
            </w:tabs>
            <w:rPr>
              <w:noProof/>
            </w:rPr>
          </w:pPr>
          <w:hyperlink w:anchor="_Toc36630894" w:history="1">
            <w:r w:rsidRPr="00D36170">
              <w:rPr>
                <w:rStyle w:val="Hyperlink"/>
                <w:noProof/>
              </w:rPr>
              <w:t>Author Contributions</w:t>
            </w:r>
            <w:r>
              <w:rPr>
                <w:noProof/>
                <w:webHidden/>
              </w:rPr>
              <w:tab/>
            </w:r>
            <w:r>
              <w:rPr>
                <w:noProof/>
                <w:webHidden/>
              </w:rPr>
              <w:fldChar w:fldCharType="begin"/>
            </w:r>
            <w:r>
              <w:rPr>
                <w:noProof/>
                <w:webHidden/>
              </w:rPr>
              <w:instrText xml:space="preserve"> PAGEREF _Toc36630894 \h </w:instrText>
            </w:r>
            <w:r>
              <w:rPr>
                <w:noProof/>
                <w:webHidden/>
              </w:rPr>
            </w:r>
            <w:r>
              <w:rPr>
                <w:noProof/>
                <w:webHidden/>
              </w:rPr>
              <w:fldChar w:fldCharType="separate"/>
            </w:r>
            <w:r>
              <w:rPr>
                <w:noProof/>
                <w:webHidden/>
              </w:rPr>
              <w:t>19</w:t>
            </w:r>
            <w:r>
              <w:rPr>
                <w:noProof/>
                <w:webHidden/>
              </w:rPr>
              <w:fldChar w:fldCharType="end"/>
            </w:r>
          </w:hyperlink>
        </w:p>
        <w:p w:rsidR="008F0B30" w:rsidRDefault="008F0B30">
          <w:pPr>
            <w:pStyle w:val="TOC1"/>
            <w:tabs>
              <w:tab w:val="right" w:leader="dot" w:pos="9350"/>
            </w:tabs>
            <w:rPr>
              <w:noProof/>
            </w:rPr>
          </w:pPr>
          <w:hyperlink w:anchor="_Toc36630895" w:history="1">
            <w:r w:rsidRPr="00D36170">
              <w:rPr>
                <w:rStyle w:val="Hyperlink"/>
                <w:noProof/>
              </w:rPr>
              <w:t>Ethics</w:t>
            </w:r>
            <w:r>
              <w:rPr>
                <w:noProof/>
                <w:webHidden/>
              </w:rPr>
              <w:tab/>
            </w:r>
            <w:r>
              <w:rPr>
                <w:noProof/>
                <w:webHidden/>
              </w:rPr>
              <w:fldChar w:fldCharType="begin"/>
            </w:r>
            <w:r>
              <w:rPr>
                <w:noProof/>
                <w:webHidden/>
              </w:rPr>
              <w:instrText xml:space="preserve"> PAGEREF _Toc36630895 \h </w:instrText>
            </w:r>
            <w:r>
              <w:rPr>
                <w:noProof/>
                <w:webHidden/>
              </w:rPr>
            </w:r>
            <w:r>
              <w:rPr>
                <w:noProof/>
                <w:webHidden/>
              </w:rPr>
              <w:fldChar w:fldCharType="separate"/>
            </w:r>
            <w:r>
              <w:rPr>
                <w:noProof/>
                <w:webHidden/>
              </w:rPr>
              <w:t>19</w:t>
            </w:r>
            <w:r>
              <w:rPr>
                <w:noProof/>
                <w:webHidden/>
              </w:rPr>
              <w:fldChar w:fldCharType="end"/>
            </w:r>
          </w:hyperlink>
        </w:p>
        <w:p w:rsidR="008F0B30" w:rsidRDefault="008F0B30">
          <w:pPr>
            <w:pStyle w:val="TOC1"/>
            <w:tabs>
              <w:tab w:val="right" w:leader="dot" w:pos="9350"/>
            </w:tabs>
            <w:rPr>
              <w:noProof/>
            </w:rPr>
          </w:pPr>
          <w:hyperlink w:anchor="_Toc36630896" w:history="1">
            <w:r w:rsidRPr="00D36170">
              <w:rPr>
                <w:rStyle w:val="Hyperlink"/>
                <w:noProof/>
              </w:rPr>
              <w:t>Data, code and materials</w:t>
            </w:r>
            <w:r>
              <w:rPr>
                <w:noProof/>
                <w:webHidden/>
              </w:rPr>
              <w:tab/>
            </w:r>
            <w:r>
              <w:rPr>
                <w:noProof/>
                <w:webHidden/>
              </w:rPr>
              <w:fldChar w:fldCharType="begin"/>
            </w:r>
            <w:r>
              <w:rPr>
                <w:noProof/>
                <w:webHidden/>
              </w:rPr>
              <w:instrText xml:space="preserve"> PAGEREF _Toc36630896 \h </w:instrText>
            </w:r>
            <w:r>
              <w:rPr>
                <w:noProof/>
                <w:webHidden/>
              </w:rPr>
            </w:r>
            <w:r>
              <w:rPr>
                <w:noProof/>
                <w:webHidden/>
              </w:rPr>
              <w:fldChar w:fldCharType="separate"/>
            </w:r>
            <w:r>
              <w:rPr>
                <w:noProof/>
                <w:webHidden/>
              </w:rPr>
              <w:t>19</w:t>
            </w:r>
            <w:r>
              <w:rPr>
                <w:noProof/>
                <w:webHidden/>
              </w:rPr>
              <w:fldChar w:fldCharType="end"/>
            </w:r>
          </w:hyperlink>
        </w:p>
        <w:p w:rsidR="008F0B30" w:rsidRDefault="008F0B30">
          <w:pPr>
            <w:pStyle w:val="TOC1"/>
            <w:tabs>
              <w:tab w:val="right" w:leader="dot" w:pos="9350"/>
            </w:tabs>
            <w:rPr>
              <w:noProof/>
            </w:rPr>
          </w:pPr>
          <w:hyperlink w:anchor="_Toc36630897" w:history="1">
            <w:r w:rsidRPr="00D36170">
              <w:rPr>
                <w:rStyle w:val="Hyperlink"/>
                <w:noProof/>
              </w:rPr>
              <w:t>References</w:t>
            </w:r>
            <w:r>
              <w:rPr>
                <w:noProof/>
                <w:webHidden/>
              </w:rPr>
              <w:tab/>
            </w:r>
            <w:r>
              <w:rPr>
                <w:noProof/>
                <w:webHidden/>
              </w:rPr>
              <w:fldChar w:fldCharType="begin"/>
            </w:r>
            <w:r>
              <w:rPr>
                <w:noProof/>
                <w:webHidden/>
              </w:rPr>
              <w:instrText xml:space="preserve"> PAGEREF _Toc36630897 \h </w:instrText>
            </w:r>
            <w:r>
              <w:rPr>
                <w:noProof/>
                <w:webHidden/>
              </w:rPr>
            </w:r>
            <w:r>
              <w:rPr>
                <w:noProof/>
                <w:webHidden/>
              </w:rPr>
              <w:fldChar w:fldCharType="separate"/>
            </w:r>
            <w:r>
              <w:rPr>
                <w:noProof/>
                <w:webHidden/>
              </w:rPr>
              <w:t>20</w:t>
            </w:r>
            <w:r>
              <w:rPr>
                <w:noProof/>
                <w:webHidden/>
              </w:rPr>
              <w:fldChar w:fldCharType="end"/>
            </w:r>
          </w:hyperlink>
        </w:p>
        <w:p w:rsidR="00432FFC" w:rsidRDefault="00A70FF5">
          <w:r>
            <w:lastRenderedPageBreak/>
            <w:fldChar w:fldCharType="end"/>
          </w:r>
        </w:p>
      </w:sdtContent>
    </w:sdt>
    <w:p w:rsidR="00432FFC" w:rsidRDefault="00A70FF5">
      <w:pPr>
        <w:pStyle w:val="Heading1"/>
      </w:pPr>
      <w:bookmarkStart w:id="0" w:name="abstract"/>
      <w:bookmarkStart w:id="1" w:name="_Toc36630871"/>
      <w:r>
        <w:t>Abstract</w:t>
      </w:r>
      <w:bookmarkEnd w:id="0"/>
      <w:bookmarkEnd w:id="1"/>
    </w:p>
    <w:p w:rsidR="00432FFC" w:rsidRDefault="00A70FF5">
      <w:pPr>
        <w:pStyle w:val="FirstParagraph"/>
      </w:pPr>
      <w:r>
        <w:rPr>
          <w:b/>
        </w:rPr>
        <w:t xml:space="preserve">Widespread religious disbelief represents a key testing ground for theories of religion. We evaluated the predictions of three prominent theoretical approaches in a nationally representative (USA, </w:t>
      </w:r>
      <w:r>
        <w:rPr>
          <w:b/>
          <w:i/>
        </w:rPr>
        <w:t>N</w:t>
      </w:r>
      <w:r>
        <w:rPr>
          <w:b/>
        </w:rPr>
        <w:t xml:space="preserve"> = 1417) dataset with preregistered analyses, and found co</w:t>
      </w:r>
      <w:r>
        <w:rPr>
          <w:b/>
        </w:rPr>
        <w:t xml:space="preserve">nsiderable support for a dual inheritance (gene-culture coevolution) perspective. We found that witnessing fewer credible cultural cues of religious commitment is the most potent predictor of religious disbelief, </w:t>
      </w:r>
      <m:oMath>
        <m:r>
          <w:rPr>
            <w:rFonts w:ascii="Cambria Math" w:hAnsi="Cambria Math"/>
          </w:rPr>
          <m:t>β</m:t>
        </m:r>
      </m:oMath>
      <w:r>
        <w:rPr>
          <w:b/>
        </w:rPr>
        <w:t xml:space="preserve"> = 0.28, followed distantly by reflective</w:t>
      </w:r>
      <w:r>
        <w:rPr>
          <w:b/>
        </w:rPr>
        <w:t xml:space="preserve"> cognitive style, </w:t>
      </w:r>
      <m:oMath>
        <m:r>
          <w:rPr>
            <w:rFonts w:ascii="Cambria Math" w:hAnsi="Cambria Math"/>
          </w:rPr>
          <m:t>β</m:t>
        </m:r>
      </m:oMath>
      <w:r>
        <w:rPr>
          <w:b/>
        </w:rPr>
        <w:t xml:space="preserve"> = 0.13, and less advanced mentalizing, </w:t>
      </w:r>
      <m:oMath>
        <m:r>
          <w:rPr>
            <w:rFonts w:ascii="Cambria Math" w:hAnsi="Cambria Math"/>
          </w:rPr>
          <m:t>β</m:t>
        </m:r>
      </m:oMath>
      <w:r>
        <w:rPr>
          <w:b/>
        </w:rPr>
        <w:t xml:space="preserve"> = 0.05. Low cultural exposure predicted about 90% higher odds of atheism than did peak cognitive reflection, and cognitive reflection only predicted disbelief among those relatively lower in cu</w:t>
      </w:r>
      <w:r>
        <w:rPr>
          <w:b/>
        </w:rPr>
        <w:t>ltural exposure. This highlights the utility of considering both evolved intuitions and transmitted culture, and emphasizes the dual roles of content- and context-biased social learning in the transmission of disbelief.</w:t>
      </w:r>
    </w:p>
    <w:p w:rsidR="00432FFC" w:rsidRDefault="00A70FF5">
      <w:pPr>
        <w:pStyle w:val="BodyText"/>
      </w:pPr>
      <w:r>
        <w:rPr>
          <w:b/>
        </w:rPr>
        <w:t>Keywords:</w:t>
      </w:r>
      <w:r>
        <w:t xml:space="preserve"> atheism; religion; culture</w:t>
      </w:r>
      <w:r>
        <w:t>; evolution; dual inheritance theory</w:t>
      </w:r>
    </w:p>
    <w:p w:rsidR="00432FFC" w:rsidRDefault="00A70FF5">
      <w:pPr>
        <w:pStyle w:val="BodyText"/>
      </w:pPr>
      <w:r>
        <w:t>4856 words</w:t>
      </w:r>
    </w:p>
    <w:p w:rsidR="00432FFC" w:rsidRDefault="00A70FF5">
      <w:r>
        <w:br w:type="page"/>
      </w:r>
    </w:p>
    <w:p w:rsidR="00432FFC" w:rsidRDefault="00A70FF5">
      <w:pPr>
        <w:pStyle w:val="Heading1"/>
      </w:pPr>
      <w:bookmarkStart w:id="2" w:name="background"/>
      <w:bookmarkStart w:id="3" w:name="_Toc36630872"/>
      <w:r>
        <w:lastRenderedPageBreak/>
        <w:t>Background</w:t>
      </w:r>
      <w:bookmarkEnd w:id="2"/>
      <w:bookmarkEnd w:id="3"/>
    </w:p>
    <w:p w:rsidR="00432FFC" w:rsidRDefault="00A70FF5">
      <w:pPr>
        <w:pStyle w:val="FirstParagraph"/>
      </w:pPr>
      <w:r>
        <w:t>Religion is a bit of an evolutionary puzzle. Organisms like ants and aardvarks tend not to engage in painful and costly collective rituals to prove their faith in unseen ant and aardvark pantheon</w:t>
      </w:r>
      <w:r>
        <w:t xml:space="preserve">s, respectively. It is intriguing, then, that these behaviors are cross-culturally ubiquitous in humans. Evolutionary approaches to religion have proliferated in recent years (Atkinson &amp; Bourrat, 2011; Atran &amp; Ginges, 2012; Baumard &amp; Boyer, 2013; Purzycki </w:t>
      </w:r>
      <w:r>
        <w:t>et al., 2016; Watts et al., 2015), and different theories make starkly different predictions about the existence, nature, and origins of religious disbelief. Thus, the origins of disbelief are a crucial testing ground for different theories of religion. He</w:t>
      </w:r>
      <w:r>
        <w:t>re we test predictions from three prominent theoretical frameworks (outlined in Table 1): secularization, cognitive byproduct, and an emerging dual inheritance (gene-culture coevolutionary) model of religion (Norenzayan &amp; Gervais, 2013) that views both cog</w:t>
      </w:r>
      <w:r>
        <w:t>nitive adaptations and specific cultural learning mechanisms (Henrich, 2009) as key to the transmission of either faith or atheism (Geertz &amp; Markússon, 2010; Gervais, Willard, et al., 2011; Harris &amp; Koenig, 2006; Lanman, 2012). This project situates the st</w:t>
      </w:r>
      <w:r>
        <w:t>udy of religious disbelief firmly within established theoretical frameworks for studying the evolution of human behavior and contributes to broader discussions of the role of transmitted versus evoked culture in core aspects of human nature (Laland &amp; Brown</w:t>
      </w:r>
      <w:r>
        <w:t>, 2011).</w:t>
      </w:r>
    </w:p>
    <w:p w:rsidR="00432FFC" w:rsidRDefault="00A70FF5">
      <w:pPr>
        <w:pStyle w:val="BodyText"/>
      </w:pPr>
      <w:r>
        <w:t xml:space="preserve">Religion simultaneously unites and divides like few other aspects of social life. The sectarian conflicts between groups of religious believers may obscure a more fundamental schism: that between believers and atheists. Atheists—merely people who </w:t>
      </w:r>
      <w:r>
        <w:t>do not believe in the existence of a God or gods—constitute a large and perhaps growing proportion of earth’s human population. A prominent estimate from about a decade ago (Zuckerman, 2007) posits the existence of 500-700 million atheists globally. This e</w:t>
      </w:r>
      <w:r>
        <w:t>stimate is in all likelihood a drastic underestimate (Gervais &amp; Najle, 2018). Atheism prevalence estimates rely on census and polling data that infer individual beliefs from their self-reports. However, there is potent anti-atheist stigma that transcends n</w:t>
      </w:r>
      <w:r>
        <w:t>ational and religious boundaries (Edgell et al., 2006; Evans, 2013; Gervais, Shariff, et al., 2011; Gervais, 2014; Hall et al., 2015): even atheists harbor some intuitive moral distrust of atheists worldwide (Gervais et al., 2017). Thus, while it is safe t</w:t>
      </w:r>
      <w:r>
        <w:t>o assume that self-reported atheists do not believe in God, it is probably also safe to assume that a great many people privately disbelieve without openly admitting their atheism. Consistent with this, people routinely overreport their religious practices</w:t>
      </w:r>
      <w:r>
        <w:t xml:space="preserve"> (Hadaway et al., 1993), and indirect measurement of atheism in the USA reveals a potentially large gulf between some indirect (~26%) and direct (~3%) estimates of atheist prevalence (Gervais &amp; Najle, 2018). Combining direct estimates and inferences drawn </w:t>
      </w:r>
      <w:r>
        <w:t>from the few available indirect estimates, we predict that upwards of 2 billion people on earth may in fact be atheists. Many evolutionary theories of religion posit a universal or near-universal implicit theism (Barrett, 2004, 2010; Bering, 2010; Boyer, 2</w:t>
      </w:r>
      <w:r>
        <w:t>008), and may thus be fundamentally incompatible with global atheism that is simultaneously prevalent and deliberately concealed. Therefore, sustained research into the psychological origins of disbelief is necessary to test key assumptions of various evol</w:t>
      </w:r>
      <w:r>
        <w:t>utionary and cultural theories of religion.</w:t>
      </w:r>
    </w:p>
    <w:p w:rsidR="00432FFC" w:rsidRDefault="00A70FF5">
      <w:pPr>
        <w:pStyle w:val="Heading2"/>
      </w:pPr>
      <w:bookmarkStart w:id="4" w:name="four-pathways-to-atheism"/>
      <w:bookmarkStart w:id="5" w:name="_Toc36630873"/>
      <w:r>
        <w:lastRenderedPageBreak/>
        <w:t>Four Pathways to Atheism</w:t>
      </w:r>
      <w:bookmarkEnd w:id="4"/>
      <w:bookmarkEnd w:id="5"/>
    </w:p>
    <w:p w:rsidR="00432FFC" w:rsidRDefault="00A70FF5">
      <w:pPr>
        <w:pStyle w:val="FirstParagraph"/>
      </w:pPr>
      <w:r>
        <w:t>While it is clear that a large and perhaps unrecognized proportion of the global population does not believe in gods, what cognitive, motivational, and cultural factors yield religious di</w:t>
      </w:r>
      <w:r>
        <w:t>sbelief? Distinct research trajectories have considered the preconditions for sustained belief in any given god. To currently believe in a god, one 1) must be able to mentally represent gods (Gervais, 2013; Norenzayan et al., 2012; Purzycki &amp; McNamara, 201</w:t>
      </w:r>
      <w:r>
        <w:t>6; Willard &amp; Norenzayan, 2013), 2) must be dispositionally or situationally motivated to believe in some gods (Gray &amp; Wegner, 2010; Kay et al., 2008), 3) must receive credible cultural cues that some gods are real (Gervais &amp; Henrich, 2010; Gervais &amp; Najle,</w:t>
      </w:r>
      <w:r>
        <w:t xml:space="preserve"> 2015; Lanman, 2012; Lanman &amp; Buhrmester, 2017), and 4) must maintain this intuitive (Bloom, 2007; Boyer, 2008; Kelemen, 2004) belief over time. Tweaks to any of these four components may instead yield disbelief in gods. Separate lines of research partiall</w:t>
      </w:r>
      <w:r>
        <w:t xml:space="preserve">y support this supposition. First, it takes fairly advanced mentalizing abilities—the core cognitive faculty that enables us to mentally represent other minds and their contents—to conceptualize gods, and </w:t>
      </w:r>
      <w:r>
        <w:rPr>
          <w:i/>
        </w:rPr>
        <w:t>mindblind atheism</w:t>
      </w:r>
      <w:r>
        <w:t xml:space="preserve"> describes the pattern whereby ind</w:t>
      </w:r>
      <w:r>
        <w:t xml:space="preserve">ividual differences in advanced mentalizing abilities predict religious disbelief (Norenzayan et al., 2012; Willard &amp; Norenzayan, 2013) in at least some samples (Maij et al., 2017). Second, </w:t>
      </w:r>
      <w:r>
        <w:rPr>
          <w:i/>
        </w:rPr>
        <w:t>apatheism</w:t>
      </w:r>
      <w:r>
        <w:t xml:space="preserve"> describes the pattern whereby, although people are highl</w:t>
      </w:r>
      <w:r>
        <w:t xml:space="preserve">y religiously motivated when life is insecure, unstable, and unpredictable, existential security instead predicts reduced religiosity (Inglehart &amp; Norris, 2004; Kay et al., 2008). Third, </w:t>
      </w:r>
      <w:r>
        <w:rPr>
          <w:i/>
        </w:rPr>
        <w:t>inCREDulous atheism</w:t>
      </w:r>
      <w:r>
        <w:t xml:space="preserve"> describes the pattern whereby a lack of credibili</w:t>
      </w:r>
      <w:r>
        <w:t xml:space="preserve">ty enhancing displays (CREDs) (Henrich, 2009) that one ought to believe in any gods is a good global predictor of atheism (Banerjee &amp; Bloom, 2013; Gervais &amp; Najle, 2015; Lanman, 2012). Finally, </w:t>
      </w:r>
      <w:r>
        <w:rPr>
          <w:i/>
        </w:rPr>
        <w:t>analytic atheism</w:t>
      </w:r>
      <w:r>
        <w:t xml:space="preserve"> describes the pattern whereby people who refl</w:t>
      </w:r>
      <w:r>
        <w:t>ectively override their intuitions tend to be less religious than those who ‘go with their guts’ (Pennycook et al., 2012, 2016; Shenhav et al., 2012), although the magnitude and consistency of this relation is debatable (Gervais, van Elk, et al., 2018). Al</w:t>
      </w:r>
      <w:r>
        <w:t>though these four potential pathways to atheism relate to religious disbelief in isolation, little work considers their operation in conjunction (Willard &amp; Cingl, 2017). Prominent theoretical perspectives place different emphasis on the role of mindblind a</w:t>
      </w:r>
      <w:r>
        <w:t>theism, apatheism, inCREDulous atheism, and analytic atheism, thus the relative predictive strength of each pathway can help adjudicate between the respective theories.</w:t>
      </w:r>
    </w:p>
    <w:p w:rsidR="00432FFC" w:rsidRDefault="00A70FF5">
      <w:pPr>
        <w:pStyle w:val="Heading2"/>
      </w:pPr>
      <w:bookmarkStart w:id="6" w:name="prominent-theoretical-approaches"/>
      <w:bookmarkStart w:id="7" w:name="_Toc36630874"/>
      <w:r>
        <w:t>Prominent Theoretical Approaches</w:t>
      </w:r>
      <w:bookmarkEnd w:id="6"/>
      <w:bookmarkEnd w:id="7"/>
    </w:p>
    <w:p w:rsidR="00432FFC" w:rsidRDefault="00A70FF5">
      <w:pPr>
        <w:pStyle w:val="FirstParagraph"/>
      </w:pPr>
      <w:r>
        <w:t>Prominent theoretical approaches make rather divergent</w:t>
      </w:r>
      <w:r>
        <w:t xml:space="preserve"> predictions about which pathways to atheism (mindblind, apatheism, inCREDulous, or analytic) are most important. First, secularization models (Inglehart &amp; Norris, 2004; Kay et al., 2008; Vail et al., 2012) posit that increases in existential security (wea</w:t>
      </w:r>
      <w:r>
        <w:t>lth, health, education, etc.) reduce religious motivation; this approach is common in sociology of religion (Inglehart &amp; Norris, 2004) and in social psychology under the banner of compensatory control (Kay et al., 2008; Laurin et al., 2008). Second, cognit</w:t>
      </w:r>
      <w:r>
        <w:t xml:space="preserve">ive science of religion and evolutionary psychology often view religion as a cognitive byproduct of other mental adaptations (Barrett, 2004; Boyer, 2008; </w:t>
      </w:r>
      <w:r>
        <w:lastRenderedPageBreak/>
        <w:t>Kirkpatrick, 1999), such as mind perception (Gervais, 2013) or predator detection.</w:t>
      </w:r>
      <w:r>
        <w:rPr>
          <w:rStyle w:val="FootnoteReference"/>
        </w:rPr>
        <w:footnoteReference w:id="1"/>
      </w:r>
      <w:r>
        <w:t xml:space="preserve"> In this view, cha</w:t>
      </w:r>
      <w:r>
        <w:t>llenges in the core cognitive faculties underlying such adaptations (e.g., advanced mentalizing) would predict disbelief, but the primary route to disbelief is people overriding their religious intuitions via effortful cognitive reflection.</w:t>
      </w:r>
      <w:r>
        <w:rPr>
          <w:rStyle w:val="FootnoteReference"/>
        </w:rPr>
        <w:footnoteReference w:id="2"/>
      </w:r>
      <w:r>
        <w:t xml:space="preserve"> Finally, dual</w:t>
      </w:r>
      <w:r>
        <w:t xml:space="preserve"> inheritance models incorporate insights from the byproduct account while also drawing heavily upon work in cultural evolution (Boyd et al., 2011; Boyd &amp; Richerson, 1985; Mesoudi et al., 2006). Cultural evolutionary models highlight the social learning pro</w:t>
      </w:r>
      <w:r>
        <w:t>cesses (Rendell et al., 2011;; Kline, 2015; Legare &amp; Nielsen, 2015) underpinning religious beliefs (Evans, 2001; Lane et al., 2012; Legare et al., 2012; Richert et al., 2017; Willard et al., 2016) and disbelief, and largely predict that context-biased soci</w:t>
      </w:r>
      <w:r>
        <w:t>al learning—especially CREDs (Henrich, 2009)—would be strongly associated with degrees of religious belief (Gervais &amp; Najle, 2015). The dual inheritance approach recognizes that evolved cognitive biases can generate content biases that canalize religious c</w:t>
      </w:r>
      <w:r>
        <w:t>ognition, but context-biased learning may instead predict degrees of belief and disbelief (Gervais, Willard, et al., 2011). Our dual inheritance approach predicts that CREDs would be most important, followed by other factors such as cognitive reflection, m</w:t>
      </w:r>
      <w:r>
        <w:t>entalizing, and perhaps existential security. Table 1 depicts predictions derived from each of these perspectives. By simultaneously considering mindblind atheism, apatheism, inCREDulous atheism, and analytic atheism, we are able to evaluate the suitabilit</w:t>
      </w:r>
      <w:r>
        <w:t>y of four prominent theoretical approaches from separate academic subdisciplines for understanding the origins of religious disbelief.</w:t>
      </w:r>
    </w:p>
    <w:p w:rsidR="00432FFC" w:rsidRDefault="00A70FF5">
      <w:pPr>
        <w:pStyle w:val="FirstParagraph"/>
      </w:pPr>
      <w:r>
        <w:t xml:space="preserve">We preregistered a set of analyses that directly pit secularization, cognitive byproduct, and dual inheritance models against each other, </w:t>
      </w:r>
      <w:hyperlink r:id="rId7">
        <w:r>
          <w:rPr>
            <w:rStyle w:val="Hyperlink"/>
          </w:rPr>
          <w:t>https://osf.io/kfasv</w:t>
        </w:r>
      </w:hyperlink>
      <w:r>
        <w:t>. Spe</w:t>
      </w:r>
      <w:r>
        <w:t>cifically, we posed three broad questions:</w:t>
      </w:r>
    </w:p>
    <w:p w:rsidR="00432FFC" w:rsidRDefault="00A70FF5">
      <w:pPr>
        <w:pStyle w:val="Compact"/>
        <w:numPr>
          <w:ilvl w:val="0"/>
          <w:numId w:val="19"/>
        </w:numPr>
      </w:pPr>
      <w:r>
        <w:rPr>
          <w:i/>
        </w:rPr>
        <w:t>What are the relative predictive contributions of each pathway to atheism when considered simultaneously?</w:t>
      </w:r>
    </w:p>
    <w:p w:rsidR="00432FFC" w:rsidRDefault="00A70FF5">
      <w:pPr>
        <w:pStyle w:val="Compact"/>
        <w:numPr>
          <w:ilvl w:val="0"/>
          <w:numId w:val="19"/>
        </w:numPr>
      </w:pPr>
      <w:r>
        <w:rPr>
          <w:i/>
        </w:rPr>
        <w:t>How do the four pathways interact with each other in predicting disbelief?</w:t>
      </w:r>
    </w:p>
    <w:p w:rsidR="00432FFC" w:rsidRDefault="00A70FF5">
      <w:pPr>
        <w:pStyle w:val="Compact"/>
        <w:numPr>
          <w:ilvl w:val="0"/>
          <w:numId w:val="19"/>
        </w:numPr>
      </w:pPr>
      <w:r>
        <w:rPr>
          <w:i/>
        </w:rPr>
        <w:t>Does early work on each individu</w:t>
      </w:r>
      <w:r>
        <w:rPr>
          <w:i/>
        </w:rPr>
        <w:t>al pathway successfully replicate in a nationally representative sample?</w:t>
      </w:r>
    </w:p>
    <w:p w:rsidR="00432FFC" w:rsidRDefault="00A70FF5">
      <w:pPr>
        <w:pStyle w:val="FirstParagraph"/>
      </w:pPr>
      <w:r>
        <w:t>To approach these questions, we contracted a nationally representative sample of USA adults (</w:t>
      </w:r>
      <w:r>
        <w:rPr>
          <w:i/>
        </w:rPr>
        <w:t>N</w:t>
      </w:r>
      <w:r>
        <w:t>= 1417) from GfK. Primarily, we were interested in predicting degrees of religious belief</w:t>
      </w:r>
      <w:r>
        <w:t xml:space="preserve"> and disbelief with measures of 1) advanced mentalizing, 2) existential security, 3) exposure to credibility enhancing displays (CREDs) of religious faith, and 4) reflective versus intuitive cognitive style. For robustness, we also included a number of dem</w:t>
      </w:r>
      <w:r>
        <w:t xml:space="preserve">ographic </w:t>
      </w:r>
      <w:r>
        <w:lastRenderedPageBreak/>
        <w:t xml:space="preserve">and personality covariates. Full materials, data, and code are available at </w:t>
      </w:r>
      <w:hyperlink r:id="rId8">
        <w:r>
          <w:rPr>
            <w:rStyle w:val="Hyperlink"/>
          </w:rPr>
          <w:t>https://github.com/wgervais/disbelief-origins</w:t>
        </w:r>
      </w:hyperlink>
      <w:r>
        <w:t>.</w:t>
      </w:r>
    </w:p>
    <w:p w:rsidR="00432FFC" w:rsidRDefault="00A70FF5">
      <w:pPr>
        <w:pStyle w:val="Heading1"/>
      </w:pPr>
      <w:bookmarkStart w:id="8" w:name="methods"/>
      <w:bookmarkStart w:id="9" w:name="_Toc36630875"/>
      <w:r>
        <w:t>Methods</w:t>
      </w:r>
      <w:bookmarkEnd w:id="8"/>
      <w:bookmarkEnd w:id="9"/>
    </w:p>
    <w:p w:rsidR="00432FFC" w:rsidRDefault="00A70FF5">
      <w:pPr>
        <w:pStyle w:val="Heading2"/>
      </w:pPr>
      <w:bookmarkStart w:id="10" w:name="sample"/>
      <w:bookmarkStart w:id="11" w:name="_Toc36630876"/>
      <w:r>
        <w:t>Sample</w:t>
      </w:r>
      <w:bookmarkEnd w:id="10"/>
      <w:bookmarkEnd w:id="11"/>
    </w:p>
    <w:p w:rsidR="00432FFC" w:rsidRDefault="00A70FF5">
      <w:pPr>
        <w:pStyle w:val="FirstParagraph"/>
      </w:pPr>
      <w:r>
        <w:t>To obtain a nationally representative probab</w:t>
      </w:r>
      <w:r>
        <w:t>ility sample of Americans, we worked with Growth from Knowledge (GfK) and recruited a total sample of 1685 individuals that were representative of the American population in terms of gender (50.14% female, 49.51% male, 0.35% listing another gender), age (</w:t>
      </w:r>
      <w:r>
        <w:rPr>
          <w:i/>
        </w:rPr>
        <w:t>M</w:t>
      </w:r>
      <w:r>
        <w:t xml:space="preserve"> = 50.58, </w:t>
      </w:r>
      <w:r>
        <w:rPr>
          <w:i/>
        </w:rPr>
        <w:t>SD</w:t>
      </w:r>
      <w:r>
        <w:t xml:space="preserve"> = 16.83), race/ethnicity, education, census region, household income, home ownership status, and residence within a metropolitan area. We excluded 268 participants who failed an attention check, leaving a total of 1417 respondents, see Table 4</w:t>
      </w:r>
      <w:r>
        <w:t>.</w:t>
      </w:r>
    </w:p>
    <w:p w:rsidR="00432FFC" w:rsidRDefault="00A70FF5">
      <w:pPr>
        <w:pStyle w:val="Heading2"/>
      </w:pPr>
      <w:bookmarkStart w:id="12" w:name="measures"/>
      <w:bookmarkStart w:id="13" w:name="_Toc36630877"/>
      <w:r>
        <w:t>Measures</w:t>
      </w:r>
      <w:bookmarkEnd w:id="12"/>
      <w:bookmarkEnd w:id="13"/>
    </w:p>
    <w:p w:rsidR="00432FFC" w:rsidRDefault="00A70FF5">
      <w:pPr>
        <w:pStyle w:val="Heading3"/>
      </w:pPr>
      <w:bookmarkStart w:id="14" w:name="religious-belief"/>
      <w:bookmarkStart w:id="15" w:name="_Toc36630878"/>
      <w:r>
        <w:t>Religious Belief</w:t>
      </w:r>
      <w:bookmarkEnd w:id="14"/>
      <w:bookmarkEnd w:id="15"/>
    </w:p>
    <w:p w:rsidR="00432FFC" w:rsidRDefault="00A70FF5">
      <w:pPr>
        <w:pStyle w:val="FirstParagraph"/>
      </w:pPr>
      <w:r>
        <w:t>We relied on a popular measure of religious belief, the Supernatural Beliefs Scale (Jong et al., 2012)</w:t>
      </w:r>
      <w:r>
        <w:t xml:space="preserve">, as our main dependent measure of religious belief. This scale was reliable, </w:t>
      </w:r>
      <m:oMath>
        <m:r>
          <w:rPr>
            <w:rFonts w:ascii="Cambria Math" w:hAnsi="Cambria Math"/>
          </w:rPr>
          <m:t>α</m:t>
        </m:r>
      </m:oMath>
      <w:r>
        <w:t xml:space="preserve"> = 0.95, </w:t>
      </w:r>
      <w:r>
        <w:rPr>
          <w:i/>
        </w:rPr>
        <w:t>M</w:t>
      </w:r>
      <w:r>
        <w:t xml:space="preserve"> = 4.91, </w:t>
      </w:r>
      <w:r>
        <w:rPr>
          <w:i/>
        </w:rPr>
        <w:t>SD</w:t>
      </w:r>
      <w:r>
        <w:t xml:space="preserve"> = 1.63. We also included a binary item in which participants simply indicated whether or not they believe in God.</w:t>
      </w:r>
    </w:p>
    <w:p w:rsidR="00432FFC" w:rsidRDefault="00A70FF5">
      <w:pPr>
        <w:pStyle w:val="BodyText"/>
      </w:pPr>
      <w:r>
        <w:t xml:space="preserve">We also included various other measures </w:t>
      </w:r>
      <w:r>
        <w:t xml:space="preserve">of religiosity which were used to gain a more fine-grained understanding of the demographics of our sample, and are summarized in Table 4. For example, we asked participants how often they attended services outside of weddings and funerals, as well as how </w:t>
      </w:r>
      <w:r>
        <w:t>often they pray. We also asked participants to indicate the religion with which they identify, and they were allowed to select multiple applicable categories (e.g., ‘atheist’ and ‘agnostic’).</w:t>
      </w:r>
    </w:p>
    <w:p w:rsidR="00432FFC" w:rsidRDefault="00A70FF5">
      <w:pPr>
        <w:pStyle w:val="Heading3"/>
      </w:pPr>
      <w:bookmarkStart w:id="16" w:name="pathways-to-religious-disbelief"/>
      <w:bookmarkStart w:id="17" w:name="_Toc36630879"/>
      <w:r>
        <w:t>Pathways to Religious Disbelief</w:t>
      </w:r>
      <w:bookmarkEnd w:id="16"/>
      <w:bookmarkEnd w:id="17"/>
    </w:p>
    <w:p w:rsidR="00432FFC" w:rsidRDefault="00A70FF5">
      <w:pPr>
        <w:pStyle w:val="FirstParagraph"/>
      </w:pPr>
      <w:r>
        <w:t>To assess the four different fac</w:t>
      </w:r>
      <w:r>
        <w:t>tors that may drive religious disbelief, we measured participants’ mentalizing abilities, feelings of existential security, exposure to credible cues of religiosity (CREDs), and reflective versus intuitive cognitive style.</w:t>
      </w:r>
    </w:p>
    <w:p w:rsidR="00432FFC" w:rsidRDefault="00A70FF5">
      <w:pPr>
        <w:pStyle w:val="BodyText"/>
      </w:pPr>
      <w:r>
        <w:t xml:space="preserve">We measured advanced mentalizing abilities, which correspond to mindblind atheism, using the Perspective Taking Subscale of the Interpersonal Reactivity Index (Davis, 1980). This scale reached an acceptable level of reliability, </w:t>
      </w:r>
      <m:oMath>
        <m:r>
          <w:rPr>
            <w:rFonts w:ascii="Cambria Math" w:hAnsi="Cambria Math"/>
          </w:rPr>
          <m:t>α</m:t>
        </m:r>
      </m:oMath>
      <w:r>
        <w:t xml:space="preserve"> = 0.77, </w:t>
      </w:r>
      <w:r>
        <w:rPr>
          <w:i/>
        </w:rPr>
        <w:t>M</w:t>
      </w:r>
      <w:r>
        <w:t xml:space="preserve"> = 4.79, </w:t>
      </w:r>
      <w:r>
        <w:rPr>
          <w:i/>
        </w:rPr>
        <w:t>SD</w:t>
      </w:r>
      <w:r>
        <w:t xml:space="preserve"> = 0</w:t>
      </w:r>
      <w:r>
        <w:t>.78.</w:t>
      </w:r>
    </w:p>
    <w:p w:rsidR="00432FFC" w:rsidRDefault="00A70FF5">
      <w:pPr>
        <w:pStyle w:val="BodyText"/>
      </w:pPr>
      <w:r>
        <w:t>We measured feelings of existential security, which corresponds to apatheism, with a number of items assessing concerns that are salient to participants and participant faith in institutions like the government, health care, and social security to pro</w:t>
      </w:r>
      <w:r>
        <w:t>vide aid in the face of need (Willard &amp; Cingl, 2017). Items measuring faith in institutions were reverse-scored, and all items were averaged together to form a composite index of existential insecurity (</w:t>
      </w:r>
      <m:oMath>
        <m:r>
          <w:rPr>
            <w:rFonts w:ascii="Cambria Math" w:hAnsi="Cambria Math"/>
          </w:rPr>
          <m:t>α</m:t>
        </m:r>
      </m:oMath>
      <w:r>
        <w:t xml:space="preserve"> = 0.77, </w:t>
      </w:r>
      <w:r>
        <w:rPr>
          <w:i/>
        </w:rPr>
        <w:t>M</w:t>
      </w:r>
      <w:r>
        <w:t xml:space="preserve"> = 2.2, </w:t>
      </w:r>
      <w:r>
        <w:rPr>
          <w:i/>
        </w:rPr>
        <w:t>SD</w:t>
      </w:r>
      <w:r>
        <w:t xml:space="preserve"> = 0.39), with higher scores re</w:t>
      </w:r>
      <w:r>
        <w:t>flecting more insecurity.</w:t>
      </w:r>
    </w:p>
    <w:p w:rsidR="00432FFC" w:rsidRDefault="00A70FF5">
      <w:pPr>
        <w:pStyle w:val="BodyText"/>
      </w:pPr>
      <w:r>
        <w:lastRenderedPageBreak/>
        <w:t>We measured cognitive reflection, which corresponds to analytic atheism, using nine items from the Cognitive Reflection Test (Frederick, 2005; Primi et al., 2016; Toplak et al., 2014). Our full index of cognitive reflection is com</w:t>
      </w:r>
      <w:r>
        <w:t>posed of the sum of the 9 questions that each participant answered correctly, with a higher score thus indicating a more reflective and analytic cognitive style. The average score was 3.18, with a standard deviation of 2.66.</w:t>
      </w:r>
    </w:p>
    <w:p w:rsidR="00432FFC" w:rsidRDefault="00A70FF5">
      <w:pPr>
        <w:pStyle w:val="BodyText"/>
      </w:pPr>
      <w:r>
        <w:t xml:space="preserve">We measured exposure to CREDs, </w:t>
      </w:r>
      <w:r>
        <w:t>which corresponds to inCREDulous atheism, with the CREDs Scale (Lanman &amp; Buhrmester, 2017). This scale assesses the extent to which caregivers demonstrated religious behaviors during the respondent’s childhood, such as going to religious services, acting a</w:t>
      </w:r>
      <w:r>
        <w:t xml:space="preserve">s good religious role models, and making personal sacrifices to religion. This scale was highly reliable, </w:t>
      </w:r>
      <m:oMath>
        <m:r>
          <w:rPr>
            <w:rFonts w:ascii="Cambria Math" w:hAnsi="Cambria Math"/>
          </w:rPr>
          <m:t>α</m:t>
        </m:r>
      </m:oMath>
      <w:r>
        <w:t xml:space="preserve"> = 0.93, </w:t>
      </w:r>
      <w:r>
        <w:rPr>
          <w:i/>
        </w:rPr>
        <w:t>M</w:t>
      </w:r>
      <w:r>
        <w:t xml:space="preserve"> = 2.42, </w:t>
      </w:r>
      <w:r>
        <w:rPr>
          <w:i/>
        </w:rPr>
        <w:t>SD</w:t>
      </w:r>
      <w:r>
        <w:t xml:space="preserve"> = 0.84.</w:t>
      </w:r>
    </w:p>
    <w:p w:rsidR="00432FFC" w:rsidRDefault="00A70FF5">
      <w:pPr>
        <w:pStyle w:val="Heading3"/>
      </w:pPr>
      <w:bookmarkStart w:id="18" w:name="personality-measures"/>
      <w:bookmarkStart w:id="19" w:name="_Toc36630880"/>
      <w:r>
        <w:t>Personality Measures</w:t>
      </w:r>
      <w:bookmarkEnd w:id="18"/>
      <w:bookmarkEnd w:id="19"/>
    </w:p>
    <w:p w:rsidR="00432FFC" w:rsidRDefault="00A70FF5">
      <w:pPr>
        <w:pStyle w:val="FirstParagraph"/>
      </w:pPr>
      <w:r>
        <w:t>We also gathered data on participants’ personality to serve as control variables in our models. W</w:t>
      </w:r>
      <w:r>
        <w:t>e used the MINI-IPIP6 (Milojev et al., 2013) to measure the personality factors of Extraversion (</w:t>
      </w:r>
      <m:oMath>
        <m:r>
          <w:rPr>
            <w:rFonts w:ascii="Cambria Math" w:hAnsi="Cambria Math"/>
          </w:rPr>
          <m:t>α</m:t>
        </m:r>
      </m:oMath>
      <w:r>
        <w:t xml:space="preserve"> = 0.79, </w:t>
      </w:r>
      <w:r>
        <w:rPr>
          <w:i/>
        </w:rPr>
        <w:t>M</w:t>
      </w:r>
      <w:r>
        <w:t xml:space="preserve"> = 3.69, </w:t>
      </w:r>
      <w:r>
        <w:rPr>
          <w:i/>
        </w:rPr>
        <w:t>SD</w:t>
      </w:r>
      <w:r>
        <w:t xml:space="preserve"> = 1.12), Agreeableness (</w:t>
      </w:r>
      <m:oMath>
        <m:r>
          <w:rPr>
            <w:rFonts w:ascii="Cambria Math" w:hAnsi="Cambria Math"/>
          </w:rPr>
          <m:t>α</m:t>
        </m:r>
      </m:oMath>
      <w:r>
        <w:t xml:space="preserve"> = 0.75, </w:t>
      </w:r>
      <w:r>
        <w:rPr>
          <w:i/>
        </w:rPr>
        <w:t>M</w:t>
      </w:r>
      <w:r>
        <w:t xml:space="preserve"> = 4.96, </w:t>
      </w:r>
      <w:r>
        <w:rPr>
          <w:i/>
        </w:rPr>
        <w:t>SD</w:t>
      </w:r>
      <w:r>
        <w:t xml:space="preserve"> = 0.92), Conscientiousness (</w:t>
      </w:r>
      <m:oMath>
        <m:r>
          <w:rPr>
            <w:rFonts w:ascii="Cambria Math" w:hAnsi="Cambria Math"/>
          </w:rPr>
          <m:t>α</m:t>
        </m:r>
      </m:oMath>
      <w:r>
        <w:t xml:space="preserve"> = 0.68, </w:t>
      </w:r>
      <w:r>
        <w:rPr>
          <w:i/>
        </w:rPr>
        <w:t>M</w:t>
      </w:r>
      <w:r>
        <w:t xml:space="preserve"> = 4.97, </w:t>
      </w:r>
      <w:r>
        <w:rPr>
          <w:i/>
        </w:rPr>
        <w:t>SD</w:t>
      </w:r>
      <w:r>
        <w:t xml:space="preserve"> = 0.97), Neuroticism (</w:t>
      </w:r>
      <m:oMath>
        <m:r>
          <w:rPr>
            <w:rFonts w:ascii="Cambria Math" w:hAnsi="Cambria Math"/>
          </w:rPr>
          <m:t>α</m:t>
        </m:r>
      </m:oMath>
      <w:r>
        <w:t xml:space="preserve"> = 0.75, </w:t>
      </w:r>
      <w:r>
        <w:rPr>
          <w:i/>
        </w:rPr>
        <w:t>M</w:t>
      </w:r>
      <w:r>
        <w:t xml:space="preserve"> </w:t>
      </w:r>
      <w:r>
        <w:t xml:space="preserve">= 3.52, </w:t>
      </w:r>
      <w:r>
        <w:rPr>
          <w:i/>
        </w:rPr>
        <w:t>SD</w:t>
      </w:r>
      <w:r>
        <w:t xml:space="preserve"> = 1.08), Openness to Experience (</w:t>
      </w:r>
      <m:oMath>
        <m:r>
          <w:rPr>
            <w:rFonts w:ascii="Cambria Math" w:hAnsi="Cambria Math"/>
          </w:rPr>
          <m:t>α</m:t>
        </m:r>
      </m:oMath>
      <w:r>
        <w:t xml:space="preserve"> = 0.73, </w:t>
      </w:r>
      <w:r>
        <w:rPr>
          <w:i/>
        </w:rPr>
        <w:t>M</w:t>
      </w:r>
      <w:r>
        <w:t xml:space="preserve"> = 4.69, </w:t>
      </w:r>
      <w:r>
        <w:rPr>
          <w:i/>
        </w:rPr>
        <w:t>SD</w:t>
      </w:r>
      <w:r>
        <w:t xml:space="preserve"> = 1.01), and Honesty-Humility (</w:t>
      </w:r>
      <m:oMath>
        <m:r>
          <w:rPr>
            <w:rFonts w:ascii="Cambria Math" w:hAnsi="Cambria Math"/>
          </w:rPr>
          <m:t>α</m:t>
        </m:r>
      </m:oMath>
      <w:r>
        <w:t xml:space="preserve"> = 0.76, </w:t>
      </w:r>
      <w:r>
        <w:rPr>
          <w:i/>
        </w:rPr>
        <w:t>M</w:t>
      </w:r>
      <w:r>
        <w:t xml:space="preserve"> = 4.8, </w:t>
      </w:r>
      <w:r>
        <w:rPr>
          <w:i/>
        </w:rPr>
        <w:t>SD</w:t>
      </w:r>
      <w:r>
        <w:t xml:space="preserve"> = 1.13).</w:t>
      </w:r>
    </w:p>
    <w:p w:rsidR="00432FFC" w:rsidRDefault="00A70FF5">
      <w:pPr>
        <w:pStyle w:val="Heading3"/>
      </w:pPr>
      <w:bookmarkStart w:id="20" w:name="general-demographics"/>
      <w:bookmarkStart w:id="21" w:name="_Toc36630881"/>
      <w:r>
        <w:t>General Demographics</w:t>
      </w:r>
      <w:bookmarkEnd w:id="20"/>
      <w:bookmarkEnd w:id="21"/>
    </w:p>
    <w:p w:rsidR="00432FFC" w:rsidRDefault="00A70FF5">
      <w:pPr>
        <w:pStyle w:val="FirstParagraph"/>
      </w:pPr>
      <w:r>
        <w:t>Finally, we included a demographics questionnaire to adjust for known religion-predictive participant ch</w:t>
      </w:r>
      <w:r>
        <w:t>aracteristics like age, education, and political ideology. We assessed education level by asking participants what their highest level of education was, from no formal education to professional or doctorate degree. We used single face-valid items to assess</w:t>
      </w:r>
      <w:r>
        <w:t xml:space="preserve"> both social (1 = very liberal to 7 = very conservative, </w:t>
      </w:r>
      <w:r>
        <w:rPr>
          <w:i/>
        </w:rPr>
        <w:t>M</w:t>
      </w:r>
      <w:r>
        <w:t xml:space="preserve"> = 4.07, </w:t>
      </w:r>
      <w:r>
        <w:rPr>
          <w:i/>
        </w:rPr>
        <w:t>SD</w:t>
      </w:r>
      <w:r>
        <w:t xml:space="preserve"> = 1.77) and economic (1 = very liberal to 7 = very conservative, , </w:t>
      </w:r>
      <w:r>
        <w:rPr>
          <w:i/>
        </w:rPr>
        <w:t>M</w:t>
      </w:r>
      <w:r>
        <w:t xml:space="preserve"> = 4.36, </w:t>
      </w:r>
      <w:r>
        <w:rPr>
          <w:i/>
        </w:rPr>
        <w:t>SD</w:t>
      </w:r>
      <w:r>
        <w:t xml:space="preserve"> = 1.54) political ideology.</w:t>
      </w:r>
    </w:p>
    <w:p w:rsidR="00432FFC" w:rsidRDefault="00A70FF5">
      <w:pPr>
        <w:pStyle w:val="Heading1"/>
      </w:pPr>
      <w:bookmarkStart w:id="22" w:name="results"/>
      <w:bookmarkStart w:id="23" w:name="_Toc36630882"/>
      <w:r>
        <w:t>Results</w:t>
      </w:r>
      <w:bookmarkEnd w:id="22"/>
      <w:bookmarkEnd w:id="23"/>
    </w:p>
    <w:p w:rsidR="00432FFC" w:rsidRDefault="00A70FF5">
      <w:pPr>
        <w:pStyle w:val="Heading2"/>
      </w:pPr>
      <w:bookmarkStart w:id="24" w:name="analytic-strategy"/>
      <w:bookmarkStart w:id="25" w:name="_Toc36630883"/>
      <w:r>
        <w:t>Analytic Strategy</w:t>
      </w:r>
      <w:bookmarkEnd w:id="24"/>
      <w:bookmarkEnd w:id="25"/>
    </w:p>
    <w:p w:rsidR="00432FFC" w:rsidRDefault="00A70FF5">
      <w:pPr>
        <w:pStyle w:val="FirstParagraph"/>
      </w:pPr>
      <w:r>
        <w:t>We used Bayesian estimation throughout. Bayesian est</w:t>
      </w:r>
      <w:r>
        <w:t>imation allows us to evaluate the credibility of different parameter estimates, given data and statistical models (Etz &amp; Vandekerckhove, 2018; Kruschke, 2010, 2013; McElreath, 2016; Wagenmakers et al., 2016). Most analyses report a point estimate reflectin</w:t>
      </w:r>
      <w:r>
        <w:t>g the most credible parameter estimate as well as a highest posterior density interval (HPDI), the region in which the 97% most credible estimates lie. We chose 97% coverage because it is no more arbitrary than any other cutoff, but provides a very conserv</w:t>
      </w:r>
      <w:r>
        <w:t>ative range of plausibe values. We also report a variety of posterior probabilities, which state the probability of something (</w:t>
      </w:r>
      <m:oMath>
        <m:r>
          <w:rPr>
            <w:rFonts w:ascii="Cambria Math" w:hAnsi="Cambria Math"/>
          </w:rPr>
          <m:t>β</m:t>
        </m:r>
        <m:r>
          <w:rPr>
            <w:rFonts w:ascii="Cambria Math" w:hAnsi="Cambria Math"/>
          </w:rPr>
          <m:t>&gt;0</m:t>
        </m:r>
      </m:oMath>
      <w:r>
        <w:t>, etc.) being true, given data and model. Heuristically, the posterior probabilities have the properties people misintuit fre</w:t>
      </w:r>
      <w:r>
        <w:t xml:space="preserve">quentist p-values as having (e.g., the probability of some hypothesis being true) (Oakes, 1986), and the HPDIs have the properties people misintuit frequentist confidence intervals as having (e.g., the probability that a parameter lies in that </w:t>
      </w:r>
      <w:r>
        <w:lastRenderedPageBreak/>
        <w:t>range) (Hoek</w:t>
      </w:r>
      <w:r>
        <w:t xml:space="preserve">stra et al., 2014). We used gently regularizing priors throughout, primarily deployed to buffer against model overfitting. Inferences are highly robust to non-ludicrous alternative priors. Full materials, data, and code are available at </w:t>
      </w:r>
      <w:hyperlink r:id="rId9">
        <w:r>
          <w:rPr>
            <w:rStyle w:val="Hyperlink"/>
          </w:rPr>
          <w:t>https://github.com/wgervais/disbelief-origins</w:t>
        </w:r>
      </w:hyperlink>
      <w:r>
        <w:t>.</w:t>
      </w:r>
    </w:p>
    <w:p w:rsidR="00432FFC" w:rsidRDefault="00A70FF5">
      <w:pPr>
        <w:pStyle w:val="Heading2"/>
      </w:pPr>
      <w:bookmarkStart w:id="26" w:name="i.-relative-contributions"/>
      <w:bookmarkStart w:id="27" w:name="_Toc36630884"/>
      <w:r>
        <w:t>I. Relative Contributions</w:t>
      </w:r>
      <w:bookmarkEnd w:id="26"/>
      <w:bookmarkEnd w:id="27"/>
    </w:p>
    <w:p w:rsidR="00432FFC" w:rsidRDefault="00A70FF5">
      <w:pPr>
        <w:pStyle w:val="FirstParagraph"/>
      </w:pPr>
      <w:r>
        <w:t>Our most important analyses considered the relative contributions of all four pathways operating in concert. As preregistered, we conducted analyses in which the four core factors predict individual differences in belief and disbelief, both in the presence</w:t>
      </w:r>
      <w:r>
        <w:t xml:space="preserve"> and absence of additional covariates. In our full model predicting a continuous multi-item measure of religious disbelief (see Measures for details), witnessing fewer credible displays of faith proved to be by far the most powerful predictor of religious </w:t>
      </w:r>
      <w:r>
        <w:t xml:space="preserve">disbelief (see Table 2 and Figure 1). Credibility enhancing displays of faith predict belief, and their absence predicts atheism, </w:t>
      </w:r>
      <m:oMath>
        <m:r>
          <w:rPr>
            <w:rFonts w:ascii="Cambria Math" w:hAnsi="Cambria Math"/>
          </w:rPr>
          <m:t>β</m:t>
        </m:r>
      </m:oMath>
      <w:r>
        <w:t xml:space="preserve"> = 0.28, [0.23, 0.34]</w:t>
      </w:r>
      <w:r>
        <w:rPr>
          <w:rStyle w:val="FootnoteReference"/>
        </w:rPr>
        <w:footnoteReference w:id="3"/>
      </w:r>
      <w:r>
        <w:t xml:space="preserve">,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1</w:t>
      </w:r>
      <w:r>
        <w:rPr>
          <w:rStyle w:val="FootnoteReference"/>
        </w:rPr>
        <w:footnoteReference w:id="4"/>
      </w:r>
      <w:r>
        <w:t>. Cognitive reflection remained a consistent predictor of religious disbelief</w:t>
      </w:r>
      <w:r>
        <w:t xml:space="preserve">, </w:t>
      </w:r>
      <m:oMath>
        <m:r>
          <w:rPr>
            <w:rFonts w:ascii="Cambria Math" w:hAnsi="Cambria Math"/>
          </w:rPr>
          <m:t>β</m:t>
        </m:r>
      </m:oMath>
      <w:r>
        <w:t xml:space="preserve"> = 0.13, [0.07, 0.19],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1, but following earlier cross-cultural work (Gervais, van Elk, et al., 2018) its predictive power was relatively meager. Lower scores on a measure of advanced mentalizing abilities</w:t>
      </w:r>
      <w:r>
        <w:rPr>
          <w:rStyle w:val="FootnoteReference"/>
        </w:rPr>
        <w:footnoteReference w:id="5"/>
      </w:r>
      <w:r>
        <w:t xml:space="preserve"> were reliably but weakly a</w:t>
      </w:r>
      <w:r>
        <w:t xml:space="preserve">ssociated with disbelief, </w:t>
      </w:r>
      <m:oMath>
        <m:r>
          <w:rPr>
            <w:rFonts w:ascii="Cambria Math" w:hAnsi="Cambria Math"/>
          </w:rPr>
          <m:t>β</m:t>
        </m:r>
      </m:oMath>
      <w:r>
        <w:t xml:space="preserve"> = 0.05, [-0.01, 0.11],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0.96, and existential security predicted essentially nothing. Clearly, inCREDulous atheism is the strongest individual pathway when all four are considered simultaneously.</w:t>
      </w:r>
    </w:p>
    <w:p w:rsidR="00432FFC" w:rsidRDefault="00A70FF5">
      <w:pPr>
        <w:pStyle w:val="Heading3"/>
      </w:pPr>
      <w:bookmarkStart w:id="28" w:name="atheism-binary-measure"/>
      <w:bookmarkStart w:id="29" w:name="_Toc36630885"/>
      <w:r>
        <w:t>Atheism: Binary Measure</w:t>
      </w:r>
      <w:bookmarkEnd w:id="28"/>
      <w:bookmarkEnd w:id="29"/>
    </w:p>
    <w:p w:rsidR="00432FFC" w:rsidRDefault="00A70FF5">
      <w:pPr>
        <w:pStyle w:val="FirstParagraph"/>
      </w:pPr>
      <w:r>
        <w:t>We also measured religious disbelief with a simple binary (No, Yes) belief in God item. We</w:t>
      </w:r>
      <w:r>
        <w:t xml:space="preserve"> reran our full model analysis as a logistic model predicting atheism rates on the binary measure. Results closely matched the continuous full model. Aside from demographic covariates, only fewer religious CREDs, </w:t>
      </w:r>
      <w:r>
        <w:rPr>
          <w:i/>
        </w:rPr>
        <w:t>beta</w:t>
      </w:r>
      <w:r>
        <w:t xml:space="preserve"> = 0.83, [0.61, 1.05], </w:t>
      </w:r>
      <m:oMath>
        <m:r>
          <m:rPr>
            <m:sty m:val="p"/>
          </m:rPr>
          <w:rPr>
            <w:rFonts w:ascii="Cambria Math" w:hAnsi="Cambria Math"/>
          </w:rPr>
          <m:t>P</m:t>
        </m:r>
        <m:r>
          <w:rPr>
            <w:rFonts w:ascii="Cambria Math" w:hAnsi="Cambria Math"/>
          </w:rPr>
          <m:t>(</m:t>
        </m:r>
        <m:r>
          <w:rPr>
            <w:rFonts w:ascii="Cambria Math" w:hAnsi="Cambria Math"/>
          </w:rPr>
          <m:t>beta</m:t>
        </m:r>
        <m:r>
          <w:rPr>
            <w:rFonts w:ascii="Cambria Math" w:hAnsi="Cambria Math"/>
          </w:rPr>
          <m:t>&gt;0∣</m:t>
        </m:r>
        <m:r>
          <w:rPr>
            <w:rFonts w:ascii="Cambria Math" w:hAnsi="Cambria Math"/>
          </w:rPr>
          <m:t>d</m:t>
        </m:r>
        <m:r>
          <w:rPr>
            <w:rFonts w:ascii="Cambria Math" w:hAnsi="Cambria Math"/>
          </w:rPr>
          <m:t>a</m:t>
        </m:r>
        <m:r>
          <w:rPr>
            <w:rFonts w:ascii="Cambria Math" w:hAnsi="Cambria Math"/>
          </w:rPr>
          <m:t>ta</m:t>
        </m:r>
        <m:r>
          <w:rPr>
            <w:rFonts w:ascii="Cambria Math" w:hAnsi="Cambria Math"/>
          </w:rPr>
          <m:t>)</m:t>
        </m:r>
      </m:oMath>
      <w:r>
        <w:t xml:space="preserve"> = 1, and more cognitive reflection, </w:t>
      </w:r>
      <w:r>
        <w:rPr>
          <w:i/>
        </w:rPr>
        <w:t>beta</w:t>
      </w:r>
      <w:r>
        <w:t xml:space="preserve"> = 0.38, [0.17, 0.59] = </w:t>
      </w:r>
      <m:oMath>
        <m:r>
          <m:rPr>
            <m:sty m:val="p"/>
          </m:rPr>
          <w:rPr>
            <w:rFonts w:ascii="Cambria Math" w:hAnsi="Cambria Math"/>
          </w:rPr>
          <m:t>P</m:t>
        </m:r>
        <m:r>
          <w:rPr>
            <w:rFonts w:ascii="Cambria Math" w:hAnsi="Cambria Math"/>
          </w:rPr>
          <m:t>(</m:t>
        </m:r>
        <m:r>
          <w:rPr>
            <w:rFonts w:ascii="Cambria Math" w:hAnsi="Cambria Math"/>
          </w:rPr>
          <m:t>beta</m:t>
        </m:r>
        <m:r>
          <w:rPr>
            <w:rFonts w:ascii="Cambria Math" w:hAnsi="Cambria Math"/>
          </w:rPr>
          <m:t>&gt;0∣</m:t>
        </m:r>
        <m:r>
          <w:rPr>
            <w:rFonts w:ascii="Cambria Math" w:hAnsi="Cambria Math"/>
          </w:rPr>
          <m:t>data</m:t>
        </m:r>
        <m:r>
          <w:rPr>
            <w:rFonts w:ascii="Cambria Math" w:hAnsi="Cambria Math"/>
          </w:rPr>
          <m:t>)</m:t>
        </m:r>
      </m:oMath>
      <w:r>
        <w:t xml:space="preserve"> = 1, predicted atheism. However, inCREDulous atheism was again much stronger than analytic atheism. To illustrate, we considered the posterior produced by our mod</w:t>
      </w:r>
      <w:r>
        <w:t>el, marginalized at various levels of our predictors. Specifically, we compared the hypothetical probability of atheism for model-predicted golems who are either perfectly inCREDulous (scoring at floor for religious CREDs) but typical on all other variable</w:t>
      </w:r>
      <w:r>
        <w:t xml:space="preserve">s, or else perfectly analytical (scoring at ceiling on cognitive reflection) but otherwise typical. The predicted odds of atheism are about 90% higher for the purely inCREDulous golem, </w:t>
      </w:r>
      <m:oMath>
        <m:r>
          <m:rPr>
            <m:sty m:val="p"/>
          </m:rPr>
          <w:rPr>
            <w:rFonts w:ascii="Cambria Math" w:hAnsi="Cambria Math"/>
          </w:rPr>
          <m:t>P</m:t>
        </m:r>
        <m:r>
          <w:rPr>
            <w:rFonts w:ascii="Cambria Math" w:hAnsi="Cambria Math"/>
          </w:rPr>
          <m:t>(</m:t>
        </m:r>
        <m:r>
          <w:rPr>
            <w:rFonts w:ascii="Cambria Math" w:hAnsi="Cambria Math"/>
          </w:rPr>
          <m:t>at</m:t>
        </m:r>
        <m:r>
          <w:rPr>
            <w:rFonts w:ascii="Cambria Math" w:hAnsi="Cambria Math"/>
          </w:rPr>
          <m:t>h</m:t>
        </m:r>
        <m:r>
          <w:rPr>
            <w:rFonts w:ascii="Cambria Math" w:hAnsi="Cambria Math"/>
          </w:rPr>
          <m:t>eism</m:t>
        </m:r>
        <m:r>
          <w:rPr>
            <w:rFonts w:ascii="Cambria Math" w:hAnsi="Cambria Math"/>
          </w:rPr>
          <m:t>∣</m:t>
        </m:r>
        <m:r>
          <w:rPr>
            <w:rFonts w:ascii="Cambria Math" w:hAnsi="Cambria Math"/>
          </w:rPr>
          <m:t>inCREDulous</m:t>
        </m:r>
        <m:r>
          <w:rPr>
            <w:rFonts w:ascii="Cambria Math" w:hAnsi="Cambria Math"/>
          </w:rPr>
          <m:t>)</m:t>
        </m:r>
      </m:oMath>
      <w:r>
        <w:t xml:space="preserve"> </w:t>
      </w:r>
      <w:r>
        <w:t xml:space="preserve">= 0.31, </w:t>
      </w:r>
      <w:r>
        <w:lastRenderedPageBreak/>
        <w:t xml:space="preserve">[0.24, 0.39], than for the purely analytic golem, </w:t>
      </w:r>
      <m:oMath>
        <m:r>
          <m:rPr>
            <m:sty m:val="p"/>
          </m:rPr>
          <w:rPr>
            <w:rFonts w:ascii="Cambria Math" w:hAnsi="Cambria Math"/>
          </w:rPr>
          <m:t>P</m:t>
        </m:r>
        <m:r>
          <w:rPr>
            <w:rFonts w:ascii="Cambria Math" w:hAnsi="Cambria Math"/>
          </w:rPr>
          <m:t>(</m:t>
        </m:r>
        <m:r>
          <w:rPr>
            <w:rFonts w:ascii="Cambria Math" w:hAnsi="Cambria Math"/>
          </w:rPr>
          <m:t>at</m:t>
        </m:r>
        <m:r>
          <w:rPr>
            <w:rFonts w:ascii="Cambria Math" w:hAnsi="Cambria Math"/>
          </w:rPr>
          <m:t>h</m:t>
        </m:r>
        <m:r>
          <w:rPr>
            <w:rFonts w:ascii="Cambria Math" w:hAnsi="Cambria Math"/>
          </w:rPr>
          <m:t>eism</m:t>
        </m:r>
        <m:r>
          <w:rPr>
            <w:rFonts w:ascii="Cambria Math" w:hAnsi="Cambria Math"/>
          </w:rPr>
          <m:t>∣</m:t>
        </m:r>
        <m:r>
          <w:rPr>
            <w:rFonts w:ascii="Cambria Math" w:hAnsi="Cambria Math"/>
          </w:rPr>
          <m:t>analytic</m:t>
        </m:r>
        <m:r>
          <w:rPr>
            <w:rFonts w:ascii="Cambria Math" w:hAnsi="Cambria Math"/>
          </w:rPr>
          <m:t>)</m:t>
        </m:r>
      </m:oMath>
      <w:r>
        <w:t xml:space="preserve"> = 0.2, [0.13, 0.28], </w:t>
      </w:r>
      <w:r>
        <w:rPr>
          <w:i/>
        </w:rPr>
        <w:t>odds ratio</w:t>
      </w:r>
      <w:r>
        <w:t xml:space="preserve"> = 1.87, [0.93, 3.03], </w:t>
      </w:r>
      <m:oMath>
        <m:r>
          <m:rPr>
            <m:sty m:val="p"/>
          </m:rPr>
          <w:rPr>
            <w:rFonts w:ascii="Cambria Math" w:hAnsi="Cambria Math"/>
          </w:rPr>
          <m:t>P</m:t>
        </m:r>
        <m:r>
          <w:rPr>
            <w:rFonts w:ascii="Cambria Math" w:hAnsi="Cambria Math"/>
          </w:rPr>
          <m:t>(</m:t>
        </m:r>
        <m:r>
          <w:rPr>
            <w:rFonts w:ascii="Cambria Math" w:hAnsi="Cambria Math"/>
          </w:rPr>
          <m:t>inCREDulous</m:t>
        </m:r>
        <m:r>
          <w:rPr>
            <w:rFonts w:ascii="Cambria Math" w:hAnsi="Cambria Math"/>
          </w:rPr>
          <m:t>&gt;</m:t>
        </m:r>
        <m:r>
          <w:rPr>
            <w:rFonts w:ascii="Cambria Math" w:hAnsi="Cambria Math"/>
          </w:rPr>
          <m:t>analytic</m:t>
        </m:r>
        <m:r>
          <w:rPr>
            <w:rFonts w:ascii="Cambria Math" w:hAnsi="Cambria Math"/>
          </w:rPr>
          <m:t>∣</m:t>
        </m:r>
        <m:r>
          <w:rPr>
            <w:rFonts w:ascii="Cambria Math" w:hAnsi="Cambria Math"/>
          </w:rPr>
          <m:t>data</m:t>
        </m:r>
        <m:r>
          <w:rPr>
            <w:rFonts w:ascii="Cambria Math" w:hAnsi="Cambria Math"/>
          </w:rPr>
          <m:t>)</m:t>
        </m:r>
      </m:oMath>
      <w:r>
        <w:t xml:space="preserve"> = 0.99. This relative difference in predictive strength fo</w:t>
      </w:r>
      <w:r>
        <w:t>r inCREDulous atheism and analytic atheism, replicated across continuous and binary measures of disbelief, is consistent with a dual inheritance approach.</w:t>
      </w:r>
    </w:p>
    <w:p w:rsidR="00432FFC" w:rsidRDefault="00A70FF5">
      <w:pPr>
        <w:pStyle w:val="Heading2"/>
      </w:pPr>
      <w:bookmarkStart w:id="30" w:name="ii.-hypothesized-interactions"/>
      <w:bookmarkStart w:id="31" w:name="_Toc36630886"/>
      <w:r>
        <w:t>II. Hypothesized Interactions</w:t>
      </w:r>
      <w:bookmarkEnd w:id="30"/>
      <w:bookmarkEnd w:id="31"/>
    </w:p>
    <w:p w:rsidR="00432FFC" w:rsidRDefault="00A70FF5">
      <w:pPr>
        <w:pStyle w:val="FirstParagraph"/>
      </w:pPr>
      <w:r>
        <w:t>Next, we probed for preregistered interactions among the four factors</w:t>
      </w:r>
      <w:r>
        <w:rPr>
          <w:rStyle w:val="FootnoteReference"/>
        </w:rPr>
        <w:footnoteReference w:id="6"/>
      </w:r>
      <w:r>
        <w:t xml:space="preserve"> finding an interaction between cultural learning and reflective cognitive style, </w:t>
      </w:r>
      <m:oMath>
        <m:r>
          <w:rPr>
            <w:rFonts w:ascii="Cambria Math" w:hAnsi="Cambria Math"/>
          </w:rPr>
          <m:t>β</m:t>
        </m:r>
      </m:oMath>
      <w:r>
        <w:t xml:space="preserve"> = -0.08, [-0.12, -0.03],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1. We considered the association between disbelief and reflective cognitive style among those comparatively high and low on cre</w:t>
      </w:r>
      <w:r>
        <w:t>dible cultural cues of religious belief (Figure 2), finding that reflective cognitive style primarily predicts religious disbelief among those who were also comparatively low in cultural exposure to credible religious cues of faith. Indeed, cognitive refle</w:t>
      </w:r>
      <w:r>
        <w:t xml:space="preserve">ction moderately predicted religious disbelief among those witnessing the fewest religious CREDs, </w:t>
      </w:r>
      <m:oMath>
        <m:r>
          <w:rPr>
            <w:rFonts w:ascii="Cambria Math" w:hAnsi="Cambria Math"/>
          </w:rPr>
          <m:t>β</m:t>
        </m:r>
      </m:oMath>
      <w:r>
        <w:t xml:space="preserve"> = 0.26, [0.15, 0.35],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0, but not at all among those highest in religious CREDs, </w:t>
      </w:r>
      <m:oMath>
        <m:r>
          <w:rPr>
            <w:rFonts w:ascii="Cambria Math" w:hAnsi="Cambria Math"/>
          </w:rPr>
          <m:t>β</m:t>
        </m:r>
      </m:oMath>
      <w:r>
        <w:t xml:space="preserve"> = -0.01, [-0.13, 0.1],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0.6. These </w:t>
      </w:r>
      <w:r>
        <w:t>patterns highlight the interactive predictive roles of cultural context and evolved intuitions on religious cognition, consistent with a dual inheritance perspective.</w:t>
      </w:r>
    </w:p>
    <w:p w:rsidR="00432FFC" w:rsidRDefault="00A70FF5">
      <w:pPr>
        <w:pStyle w:val="Heading2"/>
      </w:pPr>
      <w:bookmarkStart w:id="32" w:name="iii.-individual-replications"/>
      <w:bookmarkStart w:id="33" w:name="_Toc36630887"/>
      <w:r>
        <w:t>III. Individual Replications</w:t>
      </w:r>
      <w:bookmarkEnd w:id="32"/>
      <w:bookmarkEnd w:id="33"/>
    </w:p>
    <w:p w:rsidR="00432FFC" w:rsidRDefault="00A70FF5">
      <w:pPr>
        <w:pStyle w:val="FirstParagraph"/>
      </w:pPr>
      <w:r>
        <w:t>Finally, we tested each candidate factor in isolation, merely to replicate in a nationally representative sample previous work that has independently correlated indices of mentalizing, existential secu</w:t>
      </w:r>
      <w:r>
        <w:t>rity, religious CREDs, and cognitive style with various measures of religious belief. In individual zero-order replication analyses (Table 3), inCREDulous atheism, analytic atheism, and mindblind atheism largely replicated previous work. Apatheism was agai</w:t>
      </w:r>
      <w:r>
        <w:t>n not evident in this sample. That one of the candidate factors culled from existing literature did not appear as a robust predictor may suggest tempered enthusiasm for its utility as a predictor of individual differences in religiosity more broadly, altho</w:t>
      </w:r>
      <w:r>
        <w:t>ugh existential security is still quite useful in analyzing larger-scale regional and international trends (Inglehart &amp; Norris, 2004).</w:t>
      </w:r>
    </w:p>
    <w:p w:rsidR="00432FFC" w:rsidRDefault="00A70FF5">
      <w:pPr>
        <w:pStyle w:val="Heading1"/>
      </w:pPr>
      <w:bookmarkStart w:id="34" w:name="discussion"/>
      <w:bookmarkStart w:id="35" w:name="_Toc36630888"/>
      <w:r>
        <w:t>Discussion</w:t>
      </w:r>
      <w:bookmarkEnd w:id="34"/>
      <w:bookmarkEnd w:id="35"/>
    </w:p>
    <w:p w:rsidR="00432FFC" w:rsidRDefault="00A70FF5">
      <w:pPr>
        <w:pStyle w:val="Heading2"/>
      </w:pPr>
      <w:bookmarkStart w:id="36" w:name="summary"/>
      <w:bookmarkStart w:id="37" w:name="_Toc36630889"/>
      <w:r>
        <w:t>Summary</w:t>
      </w:r>
      <w:bookmarkEnd w:id="36"/>
      <w:bookmarkEnd w:id="37"/>
    </w:p>
    <w:p w:rsidR="00432FFC" w:rsidRDefault="00A70FF5">
      <w:pPr>
        <w:pStyle w:val="FirstParagraph"/>
      </w:pPr>
      <w:r>
        <w:t>Overall, we present one of the most comprehensive available analyses of the cognitive, cultural, and motivational factors that predict individual differences in religious belief and disbelief in the USA. These results speak directly to competing theoretica</w:t>
      </w:r>
      <w:r>
        <w:t xml:space="preserve">l perspectives on the origins of religious disbelief culled from sociology, social psychology, evolutionary </w:t>
      </w:r>
      <w:r>
        <w:lastRenderedPageBreak/>
        <w:t>psychology, cognitive science of religion, cultural evolution, and gene-culture coevolution. Consistent patterns emerged, suggesting that the most p</w:t>
      </w:r>
      <w:r>
        <w:t>otent predictor of disbelief is—by a wide margin—lack of exposure to credibility enhancing displays of religious faith. Once this context-biased cultural learning mechanism is accounted for, reflective cognitive style predicts some people being slightly mo</w:t>
      </w:r>
      <w:r>
        <w:t>re prone to religious disbelief than their cultural upbringing might otherwise suggest. That said, this relationship was relatively modest. Advanced mentalizing was a robust but weak predictor of religious belief, and existential security did not meaningfu</w:t>
      </w:r>
      <w:r>
        <w:t>lly predict disbelief. In terms of different disbelief pathways, inCREDulous atheism appears relatively strong and robust, analytic atheism is robust but modest, and there is robust evidence for a very small role of mindblind atheism.</w:t>
      </w:r>
    </w:p>
    <w:p w:rsidR="00432FFC" w:rsidRDefault="00A70FF5">
      <w:pPr>
        <w:pStyle w:val="Heading2"/>
      </w:pPr>
      <w:bookmarkStart w:id="38" w:name="theoretical-implications"/>
      <w:bookmarkStart w:id="39" w:name="_Toc36630890"/>
      <w:r>
        <w:t>Theoretical Implicati</w:t>
      </w:r>
      <w:r>
        <w:t>ons</w:t>
      </w:r>
      <w:bookmarkEnd w:id="38"/>
      <w:bookmarkEnd w:id="39"/>
    </w:p>
    <w:p w:rsidR="00432FFC" w:rsidRDefault="00A70FF5">
      <w:pPr>
        <w:pStyle w:val="FirstParagraph"/>
      </w:pPr>
      <w:r>
        <w:t>We evaluated predictions about the origins of disbelief from three prominent theoretical perspectives: secularization, cognitive byproduct, and dual inheritance. Comparing the predictions in Table 1 with the results of Figure 1, it is clear that our re</w:t>
      </w:r>
      <w:r>
        <w:t>sults are most consistent with the dual inheritance perspective. Indeed, this was the only theoretical perspective that predicted prominent roles for both inCREDulous atheism and analytic atheism. Given the primacy of cultural learning in our data, any mod</w:t>
      </w:r>
      <w:r>
        <w:t>el that does not rely heavily on context-biased cultural learning is likely a poor fit for explaining the origins of religious disbelief. By extension, such models are necessarily incomplete or faulty evolutionary accounts of religion. Simply growing up in</w:t>
      </w:r>
      <w:r>
        <w:t xml:space="preserve"> a home with relatively fewer credible displays of faith predicted disbelief, contra prior assertions from the cognitive science of religion that disbelief results from “special cultural conditions” and “a good degree of cultural scaffolding” (Barrett, 201</w:t>
      </w:r>
      <w:r>
        <w:t>0). Instead, disbelief emerges quite naturally and easily in the mere relative absence of repeated and credible cues of others’ belief.</w:t>
      </w:r>
    </w:p>
    <w:p w:rsidR="00432FFC" w:rsidRDefault="00A70FF5">
      <w:pPr>
        <w:pStyle w:val="BodyText"/>
      </w:pPr>
      <w:r>
        <w:t>Analytic atheism is perhaps the most discussed avenue to disbelief in the literature (Pennycook et al., 2012, 2016; Shen</w:t>
      </w:r>
      <w:r>
        <w:t>hav et al., 2012) and broader culture (Dawkins, 2006), but its popularity greatly overstates its actual influence. Although in this sample overall there was consistent evidence of analytic atheism, the overall trend was modest, the trend itself varied cons</w:t>
      </w:r>
      <w:r>
        <w:t>iderably across exposure to CREDs, and sufficient religious CREDs predictively buffered believers against the putatively corrosive influence of reflective cognition on faith. Despite claims that atheism generally requires cognitive effort or reflection (Ba</w:t>
      </w:r>
      <w:r>
        <w:t>rrett, 2010; Boyer, 2008), analytic atheism—as in other recent work (Gervais, van Elk, et al., 2018)—does not appear to be an especially general or powerful phenomenon.</w:t>
      </w:r>
    </w:p>
    <w:p w:rsidR="00432FFC" w:rsidRDefault="00A70FF5">
      <w:pPr>
        <w:pStyle w:val="BodyText"/>
      </w:pPr>
      <w:r>
        <w:t xml:space="preserve">It is initially puzzling that existential security proved impotent in our analyses, as </w:t>
      </w:r>
      <w:r>
        <w:t>it appears to be an important factor in explaining cross-cultural differences in religiosity (Solt et al., 2011; barberCountryReligiosityDeclines2013; Inglehart &amp; Norris, 2004). Further, it has been used successful in experimental work (Kay et al., 2008, 2</w:t>
      </w:r>
      <w:r>
        <w:t>010), although these experimental insights may be less robust than initially assumed (Hoogeveen et al., 2019). It is possible that our analyses were at the wrong level of analysis to capture the influence of existential security, which may act as a precurs</w:t>
      </w:r>
      <w:r>
        <w:t xml:space="preserve">or to other cultural forces. There may actually be a two-stage generational process whereby existential security demotivates religious behavior in one generation, leading the subsequent generation to atheism as they </w:t>
      </w:r>
      <w:r>
        <w:lastRenderedPageBreak/>
        <w:t>do not witness credibility enhancing dis</w:t>
      </w:r>
      <w:r>
        <w:t>plays of faith. This longitudinal societal prediction merits future investigation.</w:t>
      </w:r>
    </w:p>
    <w:p w:rsidR="00432FFC" w:rsidRDefault="00A70FF5">
      <w:pPr>
        <w:pStyle w:val="BodyText"/>
      </w:pPr>
      <w:r>
        <w:t xml:space="preserve">Finally, this work has implications beyond religion. Presumably, many beliefs arise from an interaction between core cognitive faculties, motivation, cultural exposure, and </w:t>
      </w:r>
      <w:r>
        <w:t>cognitive style. The general dual inheritance framework adopted here may prove fruitful for other sorts of beliefs elsewhere. Indeed, a thorough exploration of the degree to which different beliefs are predicted by cultural exposure relative to other cogni</w:t>
      </w:r>
      <w:r>
        <w:t>tive factors may be useful for exploring content- versus context-biased cultural learning, and the contributions of transmitted and evoked culture. As this is a prominent point of contention between different schools of human evolutionary thought (Laland &amp;</w:t>
      </w:r>
      <w:r>
        <w:t xml:space="preserve"> Brown, 2011), such as evolutionary psychology and cultural evolution, further targeted investigation may be productive.</w:t>
      </w:r>
    </w:p>
    <w:p w:rsidR="00432FFC" w:rsidRDefault="00A70FF5">
      <w:pPr>
        <w:pStyle w:val="Heading2"/>
      </w:pPr>
      <w:bookmarkStart w:id="40" w:name="metascientific-implications"/>
      <w:bookmarkStart w:id="41" w:name="_Toc36630891"/>
      <w:r>
        <w:t>Metascientific Implications</w:t>
      </w:r>
      <w:bookmarkEnd w:id="40"/>
      <w:bookmarkEnd w:id="41"/>
    </w:p>
    <w:p w:rsidR="00432FFC" w:rsidRDefault="00A70FF5">
      <w:pPr>
        <w:pStyle w:val="FirstParagraph"/>
      </w:pPr>
      <w:r>
        <w:t>This work suggests three broader meta-scientific points.</w:t>
      </w:r>
    </w:p>
    <w:p w:rsidR="00432FFC" w:rsidRDefault="00A70FF5">
      <w:pPr>
        <w:pStyle w:val="BodyText"/>
      </w:pPr>
      <w:r>
        <w:t xml:space="preserve">First, it illustrates a sort of </w:t>
      </w:r>
      <w:r>
        <w:rPr>
          <w:i/>
        </w:rPr>
        <w:t>replication-plus</w:t>
      </w:r>
      <w:r>
        <w:t xml:space="preserve"> a</w:t>
      </w:r>
      <w:r>
        <w:t>pproach to forensically evaluating the literature while simultaneously testing and advancing theory. We conducted preregistered replications of four distinct findings from four different literatures, attesting to their relative strength or weakness. This i</w:t>
      </w:r>
      <w:r>
        <w:t xml:space="preserve">s of course intrinsically valuable. However, these four replications gain theoretical significance when combined, as we were able to directly evaluate the predictive suitability of prominent theoretical perspectives on the origins of disbelief. This would </w:t>
      </w:r>
      <w:r>
        <w:t>not have been possible in separate direct replications. Replication-plus approaches like ours may prove similarly useful in other domains. Although a Registered Replication Report format, in which multiple labs conduct a single replication of a unique oper</w:t>
      </w:r>
      <w:r>
        <w:t>ationalization, has taken central stage in the psychology meta-science world, alternative approaches and viewpoints on replication and methodology may be beneficial (Devezer et al., 2019; O’Connor &amp; Weatherall, 2018), including this replication-plus approa</w:t>
      </w:r>
      <w:r>
        <w:t>ch, proof-of-concept paradigmatic replication (Vohs et al., n.d.), and radically randomized meta-studies (Baribault et al., 2018). As methodological introspection in psychology proceeds, we urge epistemic diversity in approaches (Devezer et al., 2019).</w:t>
      </w:r>
    </w:p>
    <w:p w:rsidR="00432FFC" w:rsidRDefault="00A70FF5">
      <w:pPr>
        <w:pStyle w:val="BodyText"/>
      </w:pPr>
      <w:r>
        <w:t>Sec</w:t>
      </w:r>
      <w:r>
        <w:t>ond, of the four candidate factors we tested, one (credibility enhancing displays) is derived from formal theoretical modeling in gene-culture coevolution, while the other three emerged from verbal argumentation. In terms of predicting large-scale real-wor</w:t>
      </w:r>
      <w:r>
        <w:t>ld patterns, the formally modeled approach empirically outclassed the three ‘veories.’</w:t>
      </w:r>
      <w:r>
        <w:rPr>
          <w:rStyle w:val="FootnoteReference"/>
        </w:rPr>
        <w:footnoteReference w:id="7"/>
      </w:r>
      <w:r>
        <w:t xml:space="preserve"> Verbal theorizing is an important step in the research process, but formal theorizing is an indispensable tool as well (Smaldino, 2017). Formal models are obviously wr</w:t>
      </w:r>
      <w:r>
        <w:t xml:space="preserve">ong, yet they are useful mental prostheses simply because they are precisely and transparently wrong (Laland &amp; Brown, 2011; Smaldino, 2017). In contrast, veories invite flexibility in </w:t>
      </w:r>
      <w:r>
        <w:lastRenderedPageBreak/>
        <w:t>interpretation and subsequent research design and analysis, hampering tr</w:t>
      </w:r>
      <w:r>
        <w:t>ue empirical and theoretical progress (Landy et al., 2019). Further development in theory can circumvent methodological challenges to replicability (Muthukrishna &amp; Henrich, 2019; Smaldino, 2019), sharpen thinking beyond statistical desiderada (Navarro, 201</w:t>
      </w:r>
      <w:r>
        <w:t>8), and spur scientific discovery (Devezer et al., 2019).</w:t>
      </w:r>
    </w:p>
    <w:p w:rsidR="00432FFC" w:rsidRDefault="00A70FF5">
      <w:pPr>
        <w:pStyle w:val="BodyText"/>
      </w:pPr>
      <w:r>
        <w:t xml:space="preserve">Third, most psychology research nowadays emerges from convenience samples of undergraduates and Mechanical Turk workers. These samples are fine for some purposes, quite limited for others (Gaither, </w:t>
      </w:r>
      <w:r>
        <w:t>2019), and are known to depart from representativeness (Callegaro et al., 2014; MacInnis et al., 2018). While our nationally representative sampling allows us to generalize beyond samples we can access for free (in lab) or cheap (MTurk), even a large natio</w:t>
      </w:r>
      <w:r>
        <w:t>nally representative sample barely scratches the surface of human diversity (Henrich et al., 2010; Rad et al., 2018). As such, we encourage similar analyses across different cultures (Willard &amp; Cingl, 2017). Indeed, the possible existence of a historically</w:t>
      </w:r>
      <w:r>
        <w:t xml:space="preserve"> contingent relationship between certain religious norms and the origins of WEIRD psychology (Schulz et al., 2019) underscores the potential sensitivity of these and similar results to cultural context. Diversifying the samples that make up the empirical p</w:t>
      </w:r>
      <w:r>
        <w:t>ortfolio of evolutionary approaches to religion is especially necessary because cultural cues themselves emerged as the strongest predictor disbelief in this and related work (Gervais, van Elk, et al., 2018; Gervais &amp; Najle, 2015; Maij et al., 2017; Willar</w:t>
      </w:r>
      <w:r>
        <w:t>d &amp; Cingl, 2017). If this general pattern holds across societies, we predict that—beyond religion—veories developed by WEIRD researchers to explain the weird mental states of WEIRD participants can only aspire to ever more precisely answer a mere outlier o</w:t>
      </w:r>
      <w:r>
        <w:t>f an outlier of our most important scientific questions about human nature.</w:t>
      </w:r>
    </w:p>
    <w:p w:rsidR="00432FFC" w:rsidRDefault="00A70FF5">
      <w:pPr>
        <w:pStyle w:val="Heading2"/>
      </w:pPr>
      <w:bookmarkStart w:id="42" w:name="coda"/>
      <w:bookmarkStart w:id="43" w:name="_Toc36630892"/>
      <w:r>
        <w:t>Coda</w:t>
      </w:r>
      <w:bookmarkEnd w:id="42"/>
      <w:bookmarkEnd w:id="43"/>
    </w:p>
    <w:p w:rsidR="00432FFC" w:rsidRDefault="00A70FF5">
      <w:pPr>
        <w:pStyle w:val="FirstParagraph"/>
      </w:pPr>
      <w:r>
        <w:t>The importance of transmitted culture and context-biased cultural learning as a predictor of belief and disbelief cannot be overstated. Combined, the data we collected suggest that if you are guessing whether or not individuals are believers or atheists, y</w:t>
      </w:r>
      <w:r>
        <w:t>ou are better off knowing how their parents behaved—Did they tithe? Pray regularly? Attend synagogue?—than how they themselves process information. Further, our interaction analyses suggest that sufficiently strong cultural exposure yields sustained religi</w:t>
      </w:r>
      <w:r>
        <w:t>ous commitment, even in the face of the putatively corrosive influence of cognitive reflection. Theoretically, these results fit well within a dual inheritance approach, as evolved cognitive capacities for cultural learning prove to be the most potent pred</w:t>
      </w:r>
      <w:r>
        <w:t>ictor of individual differences in the cross-culturally canalized expression of religious belief. Atheists are becoming increasingly common in the world, not because human psychology is fundamentally changing, but rather because evolved cognition remains f</w:t>
      </w:r>
      <w:r>
        <w:t>airly stable in the face of a rapidly changing cultural context that is itself the product of a coevolutionary process. Faith emerges in some cultural contexts, and atheism is the natural result in others.</w:t>
      </w:r>
    </w:p>
    <w:p w:rsidR="00432FFC" w:rsidRDefault="00A70FF5">
      <w:r>
        <w:br w:type="page"/>
      </w:r>
    </w:p>
    <w:p w:rsidR="00432FFC" w:rsidRDefault="00A70FF5">
      <w:pPr>
        <w:pStyle w:val="Heading1"/>
      </w:pPr>
      <w:bookmarkStart w:id="44" w:name="acknowledgements"/>
      <w:bookmarkStart w:id="45" w:name="_Toc36630893"/>
      <w:r>
        <w:lastRenderedPageBreak/>
        <w:t>Acknowledgements</w:t>
      </w:r>
      <w:bookmarkEnd w:id="44"/>
      <w:bookmarkEnd w:id="45"/>
    </w:p>
    <w:p w:rsidR="00432FFC" w:rsidRDefault="00A70FF5">
      <w:pPr>
        <w:pStyle w:val="FirstParagraph"/>
      </w:pPr>
      <w:r>
        <w:t xml:space="preserve">This research was supported by </w:t>
      </w:r>
      <w:r>
        <w:t>a grant to the first author from the John Templeton Foundation (48275). The content is solely the responsibility of the authors and does not necessarily represent the official views of its funders. The funders had no role in study design, data collection a</w:t>
      </w:r>
      <w:r>
        <w:t>nd analysis, decision to publish or preparation of the manuscript.</w:t>
      </w:r>
    </w:p>
    <w:p w:rsidR="00432FFC" w:rsidRDefault="00A70FF5">
      <w:pPr>
        <w:pStyle w:val="Heading1"/>
      </w:pPr>
      <w:bookmarkStart w:id="46" w:name="author-contributions"/>
      <w:bookmarkStart w:id="47" w:name="_Toc36630894"/>
      <w:r>
        <w:t>Author Contributions</w:t>
      </w:r>
      <w:bookmarkEnd w:id="46"/>
      <w:bookmarkEnd w:id="47"/>
    </w:p>
    <w:p w:rsidR="00432FFC" w:rsidRDefault="00A70FF5">
      <w:pPr>
        <w:pStyle w:val="FirstParagraph"/>
      </w:pPr>
      <w:r>
        <w:t>A1 designed the study, with survey revision and implementation from A2 and A3. A2 contributed feedback and piloting throughout the life of this project. A1 performed th</w:t>
      </w:r>
      <w:r>
        <w:t>e primary analyses and A4 performed descriptive analyses. A1 wrote the manuscript with A4. All authors approved the final manuscript.</w:t>
      </w:r>
    </w:p>
    <w:p w:rsidR="00432FFC" w:rsidRDefault="00A70FF5">
      <w:pPr>
        <w:pStyle w:val="Heading1"/>
      </w:pPr>
      <w:bookmarkStart w:id="48" w:name="ethics"/>
      <w:bookmarkStart w:id="49" w:name="_Toc36630895"/>
      <w:r>
        <w:t>Ethics</w:t>
      </w:r>
      <w:bookmarkEnd w:id="48"/>
      <w:bookmarkEnd w:id="49"/>
    </w:p>
    <w:p w:rsidR="00432FFC" w:rsidRDefault="00A70FF5">
      <w:pPr>
        <w:pStyle w:val="FirstParagraph"/>
      </w:pPr>
      <w:r>
        <w:t>This project was approved by the Office of Research Integrity.</w:t>
      </w:r>
    </w:p>
    <w:p w:rsidR="00432FFC" w:rsidRDefault="00A70FF5">
      <w:pPr>
        <w:pStyle w:val="Heading1"/>
      </w:pPr>
      <w:bookmarkStart w:id="50" w:name="data-code-and-materials"/>
      <w:bookmarkStart w:id="51" w:name="_Toc36630896"/>
      <w:r>
        <w:t>Data, code and materials</w:t>
      </w:r>
      <w:bookmarkEnd w:id="50"/>
      <w:bookmarkEnd w:id="51"/>
    </w:p>
    <w:p w:rsidR="00432FFC" w:rsidRDefault="00A70FF5">
      <w:pPr>
        <w:pStyle w:val="FirstParagraph"/>
      </w:pPr>
      <w:r>
        <w:t>All data, code, and materia</w:t>
      </w:r>
      <w:r>
        <w:t xml:space="preserve">ls are available at </w:t>
      </w:r>
      <w:hyperlink r:id="rId10">
        <w:r>
          <w:rPr>
            <w:rStyle w:val="Hyperlink"/>
          </w:rPr>
          <w:t>https://github.com/wgervais/disbelief-origins</w:t>
        </w:r>
      </w:hyperlink>
      <w:r>
        <w:t xml:space="preserve"> and </w:t>
      </w:r>
      <w:hyperlink r:id="rId11">
        <w:r>
          <w:rPr>
            <w:rStyle w:val="Hyperlink"/>
          </w:rPr>
          <w:t>https://osf.io/kfasv</w:t>
        </w:r>
      </w:hyperlink>
      <w:r>
        <w:t>.</w:t>
      </w:r>
    </w:p>
    <w:p w:rsidR="00432FFC" w:rsidRDefault="00A70FF5">
      <w:r>
        <w:br w:type="page"/>
      </w:r>
    </w:p>
    <w:p w:rsidR="00432FFC" w:rsidRDefault="00A70FF5">
      <w:pPr>
        <w:pStyle w:val="Heading1"/>
      </w:pPr>
      <w:bookmarkStart w:id="52" w:name="references"/>
      <w:bookmarkStart w:id="53" w:name="_Toc36630897"/>
      <w:bookmarkStart w:id="54" w:name="_GoBack"/>
      <w:r>
        <w:lastRenderedPageBreak/>
        <w:t>References</w:t>
      </w:r>
      <w:bookmarkEnd w:id="52"/>
      <w:bookmarkEnd w:id="53"/>
    </w:p>
    <w:p w:rsidR="00432FFC" w:rsidRDefault="00432FFC">
      <w:pPr>
        <w:pStyle w:val="FirstParagraph"/>
      </w:pPr>
    </w:p>
    <w:p w:rsidR="00432FFC" w:rsidRDefault="00A70FF5">
      <w:pPr>
        <w:pStyle w:val="Bibliography"/>
      </w:pPr>
      <w:bookmarkStart w:id="55" w:name="ref-atkinsonBeliefsGodAfterlife2011"/>
      <w:bookmarkStart w:id="56" w:name="refs"/>
      <w:r>
        <w:t>Atkinson, Q. D., &amp; Bourrat, P. (2011). Belief</w:t>
      </w:r>
      <w:r>
        <w:t xml:space="preserve">s about God, the afterlife and morality support the role of supernatural policing in human cooperation. </w:t>
      </w:r>
      <w:r>
        <w:rPr>
          <w:i/>
        </w:rPr>
        <w:t>Evolution and Human Behavior</w:t>
      </w:r>
      <w:r>
        <w:t xml:space="preserve">, </w:t>
      </w:r>
      <w:r>
        <w:rPr>
          <w:i/>
        </w:rPr>
        <w:t>32</w:t>
      </w:r>
      <w:r>
        <w:t>(1), 41–49.</w:t>
      </w:r>
    </w:p>
    <w:p w:rsidR="00432FFC" w:rsidRDefault="00A70FF5">
      <w:pPr>
        <w:pStyle w:val="Bibliography"/>
      </w:pPr>
      <w:bookmarkStart w:id="57" w:name="ref-atranReligiousSacredImperatives2012"/>
      <w:bookmarkEnd w:id="55"/>
      <w:r>
        <w:t xml:space="preserve">Atran, S., &amp; Ginges, J. (2012). Religious and sacred imperatives in human conflict. </w:t>
      </w:r>
      <w:r>
        <w:rPr>
          <w:i/>
        </w:rPr>
        <w:t>Science</w:t>
      </w:r>
      <w:r>
        <w:t xml:space="preserve">, </w:t>
      </w:r>
      <w:r>
        <w:rPr>
          <w:i/>
        </w:rPr>
        <w:t>336</w:t>
      </w:r>
      <w:r>
        <w:t>(6083), 855–</w:t>
      </w:r>
      <w:r>
        <w:t>857.</w:t>
      </w:r>
    </w:p>
    <w:p w:rsidR="00432FFC" w:rsidRDefault="00A70FF5">
      <w:pPr>
        <w:pStyle w:val="Bibliography"/>
      </w:pPr>
      <w:bookmarkStart w:id="58" w:name="ref-banerjeeWouldTarzanBelieve2013"/>
      <w:bookmarkEnd w:id="57"/>
      <w:r>
        <w:t xml:space="preserve">Banerjee, K., &amp; Bloom, P. (2013). Would Tarzan believe in God? Conditions for the emergence of religious belief. </w:t>
      </w:r>
      <w:r>
        <w:rPr>
          <w:i/>
        </w:rPr>
        <w:t>Trends in Cognitive Sciences</w:t>
      </w:r>
      <w:r>
        <w:t xml:space="preserve">, </w:t>
      </w:r>
      <w:r>
        <w:rPr>
          <w:i/>
        </w:rPr>
        <w:t>17</w:t>
      </w:r>
      <w:r>
        <w:t>(1), 7–8.</w:t>
      </w:r>
    </w:p>
    <w:p w:rsidR="00432FFC" w:rsidRDefault="00A70FF5">
      <w:pPr>
        <w:pStyle w:val="Bibliography"/>
      </w:pPr>
      <w:bookmarkStart w:id="59" w:name="ref-baribaultMetastudiesRobustTests2018"/>
      <w:bookmarkEnd w:id="58"/>
      <w:r>
        <w:t>Baribault, B., Donkin, C., Little, D. R., Trueblood, J. S., Oravecz, Z., Van Ravenzwaaij, D., Wh</w:t>
      </w:r>
      <w:r>
        <w:t xml:space="preserve">ite, C. N., De Boeck, P., &amp; Vandekerckhove, J. (2018). Metastudies for robust tests of theory. </w:t>
      </w:r>
      <w:r>
        <w:rPr>
          <w:i/>
        </w:rPr>
        <w:t>Proceedings of the National Academy of Sciences</w:t>
      </w:r>
      <w:r>
        <w:t xml:space="preserve">, </w:t>
      </w:r>
      <w:r>
        <w:rPr>
          <w:i/>
        </w:rPr>
        <w:t>115</w:t>
      </w:r>
      <w:r>
        <w:t>(11), 2607–2612.</w:t>
      </w:r>
    </w:p>
    <w:p w:rsidR="00432FFC" w:rsidRDefault="00A70FF5">
      <w:pPr>
        <w:pStyle w:val="Bibliography"/>
      </w:pPr>
      <w:bookmarkStart w:id="60" w:name="ref-barrettWhyWouldAnyone2004"/>
      <w:bookmarkEnd w:id="59"/>
      <w:r>
        <w:t xml:space="preserve">Barrett, J. L. (2004). </w:t>
      </w:r>
      <w:r>
        <w:rPr>
          <w:i/>
        </w:rPr>
        <w:t>Why would anyone believe in God?</w:t>
      </w:r>
      <w:r>
        <w:t xml:space="preserve"> AltaMira Press.</w:t>
      </w:r>
    </w:p>
    <w:p w:rsidR="00432FFC" w:rsidRDefault="00A70FF5">
      <w:pPr>
        <w:pStyle w:val="Bibliography"/>
      </w:pPr>
      <w:bookmarkStart w:id="61" w:name="X030ba9efad3084fd43692b00d0b695387f9d0fe"/>
      <w:bookmarkEnd w:id="60"/>
      <w:r>
        <w:t xml:space="preserve">Barrett, J. L. (2010). The relative unnaturalness of atheism: On why Geertz and Markusson are both right and wrong. </w:t>
      </w:r>
      <w:r>
        <w:rPr>
          <w:i/>
        </w:rPr>
        <w:t>Religion</w:t>
      </w:r>
      <w:r>
        <w:t xml:space="preserve">, </w:t>
      </w:r>
      <w:r>
        <w:rPr>
          <w:i/>
        </w:rPr>
        <w:t>40</w:t>
      </w:r>
      <w:r>
        <w:t xml:space="preserve">(3), 169–172. </w:t>
      </w:r>
      <w:hyperlink r:id="rId12">
        <w:r>
          <w:rPr>
            <w:rStyle w:val="Hyperlink"/>
          </w:rPr>
          <w:t>https://doi.org/10.1016/j.religion.2009.11.002</w:t>
        </w:r>
      </w:hyperlink>
    </w:p>
    <w:p w:rsidR="00432FFC" w:rsidRDefault="00A70FF5">
      <w:pPr>
        <w:pStyle w:val="Bibliography"/>
      </w:pPr>
      <w:bookmarkStart w:id="62" w:name="ref-baumardExplainingMoralReligions2013"/>
      <w:bookmarkEnd w:id="61"/>
      <w:r>
        <w:t>B</w:t>
      </w:r>
      <w:r>
        <w:t xml:space="preserve">aumard, N., &amp; Boyer, P. (2013). Explaining moral religions. </w:t>
      </w:r>
      <w:r>
        <w:rPr>
          <w:i/>
        </w:rPr>
        <w:t>Trends in Cognitive Sciences</w:t>
      </w:r>
      <w:r>
        <w:t xml:space="preserve">, </w:t>
      </w:r>
      <w:r>
        <w:rPr>
          <w:i/>
        </w:rPr>
        <w:t>17</w:t>
      </w:r>
      <w:r>
        <w:t>(6), 272–280.</w:t>
      </w:r>
    </w:p>
    <w:p w:rsidR="00432FFC" w:rsidRDefault="00A70FF5">
      <w:pPr>
        <w:pStyle w:val="Bibliography"/>
      </w:pPr>
      <w:bookmarkStart w:id="63" w:name="ref-beringAtheismOnlySkin2010"/>
      <w:bookmarkEnd w:id="62"/>
      <w:r>
        <w:t xml:space="preserve">Bering, J. M. (2010). Atheism is only skin deep: Geertz and Markússon rely mistakenly on sociodemographic data as meaningful indicators of underlying </w:t>
      </w:r>
      <w:r>
        <w:t xml:space="preserve">cognition. </w:t>
      </w:r>
      <w:r>
        <w:rPr>
          <w:i/>
        </w:rPr>
        <w:t>Religion</w:t>
      </w:r>
      <w:r>
        <w:t xml:space="preserve">, </w:t>
      </w:r>
      <w:r>
        <w:rPr>
          <w:i/>
        </w:rPr>
        <w:t>40</w:t>
      </w:r>
      <w:r>
        <w:t xml:space="preserve">(3), 166–168. </w:t>
      </w:r>
      <w:hyperlink r:id="rId13">
        <w:r>
          <w:rPr>
            <w:rStyle w:val="Hyperlink"/>
          </w:rPr>
          <w:t>https://doi.org/10.1016/j.religion.2009.11.001</w:t>
        </w:r>
      </w:hyperlink>
    </w:p>
    <w:p w:rsidR="00432FFC" w:rsidRDefault="00A70FF5">
      <w:pPr>
        <w:pStyle w:val="Bibliography"/>
      </w:pPr>
      <w:bookmarkStart w:id="64" w:name="ref-bloomReligionNatural2007"/>
      <w:bookmarkEnd w:id="63"/>
      <w:r>
        <w:t xml:space="preserve">Bloom, P. (2007). Religion is natural. </w:t>
      </w:r>
      <w:r>
        <w:rPr>
          <w:i/>
        </w:rPr>
        <w:t>Developmental Science</w:t>
      </w:r>
      <w:r>
        <w:t xml:space="preserve">, </w:t>
      </w:r>
      <w:r>
        <w:rPr>
          <w:i/>
        </w:rPr>
        <w:t>10</w:t>
      </w:r>
      <w:r>
        <w:t>(1), 147–151.</w:t>
      </w:r>
    </w:p>
    <w:p w:rsidR="00432FFC" w:rsidRDefault="00A70FF5">
      <w:pPr>
        <w:pStyle w:val="Bibliography"/>
      </w:pPr>
      <w:bookmarkStart w:id="65" w:name="ref-boydCultureEvolutionaryProcess1985"/>
      <w:bookmarkEnd w:id="64"/>
      <w:r>
        <w:t>Boyd, R., &amp; Richerson, P. J.</w:t>
      </w:r>
      <w:r>
        <w:t xml:space="preserve"> (1985). </w:t>
      </w:r>
      <w:r>
        <w:rPr>
          <w:i/>
        </w:rPr>
        <w:t>Culture and the Evolutionary Process.</w:t>
      </w:r>
      <w:r>
        <w:t xml:space="preserve"> University of Chicago Press.</w:t>
      </w:r>
    </w:p>
    <w:p w:rsidR="00432FFC" w:rsidRDefault="00A70FF5">
      <w:pPr>
        <w:pStyle w:val="Bibliography"/>
      </w:pPr>
      <w:bookmarkStart w:id="66" w:name="ref-boydCulturalNicheWhy2011"/>
      <w:bookmarkEnd w:id="65"/>
      <w:r>
        <w:t xml:space="preserve">Boyd, R., Richerson, P. J., &amp; Henrich, J. (2011). The cultural niche: Why social learning is essential for human adaptation. </w:t>
      </w:r>
      <w:r>
        <w:rPr>
          <w:i/>
        </w:rPr>
        <w:t>Proceedings of the National Academy of Sciences</w:t>
      </w:r>
      <w:r>
        <w:t xml:space="preserve">, </w:t>
      </w:r>
      <w:r>
        <w:rPr>
          <w:i/>
        </w:rPr>
        <w:t>108</w:t>
      </w:r>
      <w:r>
        <w:t>(Su</w:t>
      </w:r>
      <w:r>
        <w:t>pplement 2), 10918–10925.</w:t>
      </w:r>
    </w:p>
    <w:p w:rsidR="00432FFC" w:rsidRDefault="00A70FF5">
      <w:pPr>
        <w:pStyle w:val="Bibliography"/>
      </w:pPr>
      <w:bookmarkStart w:id="67" w:name="ref-boyerBeingHumanReligion2008"/>
      <w:bookmarkEnd w:id="66"/>
      <w:r>
        <w:t xml:space="preserve">Boyer, P. (2008). Being human: Religion: Bound to believe? </w:t>
      </w:r>
      <w:r>
        <w:rPr>
          <w:i/>
        </w:rPr>
        <w:t>Nature</w:t>
      </w:r>
      <w:r>
        <w:t xml:space="preserve">, </w:t>
      </w:r>
      <w:r>
        <w:rPr>
          <w:i/>
        </w:rPr>
        <w:t>455</w:t>
      </w:r>
      <w:r>
        <w:t>(7216), 1038–1039.</w:t>
      </w:r>
    </w:p>
    <w:p w:rsidR="00432FFC" w:rsidRDefault="00A70FF5">
      <w:pPr>
        <w:pStyle w:val="Bibliography"/>
      </w:pPr>
      <w:bookmarkStart w:id="68" w:name="ref-callegaroCriticalReviewStudies2014"/>
      <w:bookmarkEnd w:id="67"/>
      <w:r>
        <w:t xml:space="preserve">Callegaro, M., Villar, A., Yeager, D. S., &amp; Krosnick, J. A. (2014). </w:t>
      </w:r>
      <w:r>
        <w:rPr>
          <w:i/>
        </w:rPr>
        <w:t>A critical review of studies investigating the quality of data obtained w</w:t>
      </w:r>
      <w:r>
        <w:rPr>
          <w:i/>
        </w:rPr>
        <w:t>ith online panels based on probability and nonprobability samples</w:t>
      </w:r>
      <w:r>
        <w:t>.</w:t>
      </w:r>
    </w:p>
    <w:p w:rsidR="00432FFC" w:rsidRDefault="00A70FF5">
      <w:pPr>
        <w:pStyle w:val="Bibliography"/>
      </w:pPr>
      <w:bookmarkStart w:id="69" w:name="X11bfc4ba9ddce07994135c4c9d56ea9666283cd"/>
      <w:bookmarkEnd w:id="68"/>
      <w:r>
        <w:t xml:space="preserve">Davis, M. H. (1980). </w:t>
      </w:r>
      <w:r>
        <w:rPr>
          <w:i/>
        </w:rPr>
        <w:t>Interpersonal reactivity index</w:t>
      </w:r>
      <w:r>
        <w:t>. Edwin Mellen Press.</w:t>
      </w:r>
    </w:p>
    <w:p w:rsidR="00432FFC" w:rsidRDefault="00A70FF5">
      <w:pPr>
        <w:pStyle w:val="Bibliography"/>
      </w:pPr>
      <w:bookmarkStart w:id="70" w:name="ref-dawkinsGodDelusion2006"/>
      <w:bookmarkEnd w:id="69"/>
      <w:r>
        <w:t xml:space="preserve">Dawkins, R. (2006). </w:t>
      </w:r>
      <w:r>
        <w:rPr>
          <w:i/>
        </w:rPr>
        <w:t>The God Delusion</w:t>
      </w:r>
      <w:r>
        <w:t>. Houghton Mifflin Co.</w:t>
      </w:r>
    </w:p>
    <w:p w:rsidR="00432FFC" w:rsidRDefault="00A70FF5">
      <w:pPr>
        <w:pStyle w:val="Bibliography"/>
      </w:pPr>
      <w:bookmarkStart w:id="71" w:name="X23565ed51a8259a4122aa2cc840f00602c88e17"/>
      <w:bookmarkEnd w:id="70"/>
      <w:r>
        <w:lastRenderedPageBreak/>
        <w:t xml:space="preserve">Devezer, B., Nardin, L. G., Baumgaertner, B., &amp; Buzbas, E. O. (2019). Scientific discovery in a model-centric framework: Reproducibility, innovation, and epistemic diversity. </w:t>
      </w:r>
      <w:r>
        <w:rPr>
          <w:i/>
        </w:rPr>
        <w:t>PLOS ONE</w:t>
      </w:r>
      <w:r>
        <w:t xml:space="preserve">, </w:t>
      </w:r>
      <w:r>
        <w:rPr>
          <w:i/>
        </w:rPr>
        <w:t>14</w:t>
      </w:r>
      <w:r>
        <w:t xml:space="preserve">(5), e0216125. </w:t>
      </w:r>
      <w:hyperlink r:id="rId14">
        <w:r>
          <w:rPr>
            <w:rStyle w:val="Hyperlink"/>
          </w:rPr>
          <w:t>https://doi.org/10.1371/journal.pone.0216125</w:t>
        </w:r>
      </w:hyperlink>
    </w:p>
    <w:p w:rsidR="00432FFC" w:rsidRDefault="00A70FF5">
      <w:pPr>
        <w:pStyle w:val="Bibliography"/>
      </w:pPr>
      <w:bookmarkStart w:id="72" w:name="ref-edgellAtheistsOtherMoral2006"/>
      <w:bookmarkEnd w:id="71"/>
      <w:r>
        <w:t xml:space="preserve">Edgell, P., Gerteis, J., &amp; Hartmann, D. (2006). Atheists as “other”: Moral boundaries and cultural membership in American society. </w:t>
      </w:r>
      <w:r>
        <w:rPr>
          <w:i/>
        </w:rPr>
        <w:t>American Sociological Review</w:t>
      </w:r>
      <w:r>
        <w:t xml:space="preserve">, </w:t>
      </w:r>
      <w:r>
        <w:rPr>
          <w:i/>
        </w:rPr>
        <w:t>71</w:t>
      </w:r>
      <w:r>
        <w:t>(2), 211–234.</w:t>
      </w:r>
    </w:p>
    <w:p w:rsidR="00432FFC" w:rsidRDefault="00A70FF5">
      <w:pPr>
        <w:pStyle w:val="Bibliography"/>
      </w:pPr>
      <w:bookmarkStart w:id="73" w:name="ref-etzIntroductionBayesianInference2018"/>
      <w:bookmarkEnd w:id="72"/>
      <w:r>
        <w:t>Etz, A., &amp; Vandekerckhov</w:t>
      </w:r>
      <w:r>
        <w:t xml:space="preserve">e, J. (2018). Introduction to Bayesian inference for psychology. </w:t>
      </w:r>
      <w:r>
        <w:rPr>
          <w:i/>
        </w:rPr>
        <w:t>Psychonomic Bulletin &amp; Review</w:t>
      </w:r>
      <w:r>
        <w:t xml:space="preserve">, </w:t>
      </w:r>
      <w:r>
        <w:rPr>
          <w:i/>
        </w:rPr>
        <w:t>25</w:t>
      </w:r>
      <w:r>
        <w:t>(1), 5–34.</w:t>
      </w:r>
    </w:p>
    <w:p w:rsidR="00432FFC" w:rsidRDefault="00A70FF5">
      <w:pPr>
        <w:pStyle w:val="Bibliography"/>
      </w:pPr>
      <w:bookmarkStart w:id="74" w:name="ref-evansCognitiveContextualFactors2001"/>
      <w:bookmarkEnd w:id="73"/>
      <w:r>
        <w:t xml:space="preserve">Evans, E. M. (2001). Cognitive and contextual factors in the emergence of diverse belief systems: Creation versus evolution. </w:t>
      </w:r>
      <w:r>
        <w:rPr>
          <w:i/>
        </w:rPr>
        <w:t>Cognitive Psychology</w:t>
      </w:r>
      <w:r>
        <w:t xml:space="preserve">, </w:t>
      </w:r>
      <w:r>
        <w:rPr>
          <w:i/>
        </w:rPr>
        <w:t>42</w:t>
      </w:r>
      <w:r>
        <w:t xml:space="preserve">(3), 217–266. </w:t>
      </w:r>
      <w:hyperlink r:id="rId15">
        <w:r>
          <w:rPr>
            <w:rStyle w:val="Hyperlink"/>
          </w:rPr>
          <w:t>https://doi.org/10.1006/cogp.2001.0749</w:t>
        </w:r>
      </w:hyperlink>
    </w:p>
    <w:p w:rsidR="00432FFC" w:rsidRDefault="00A70FF5">
      <w:pPr>
        <w:pStyle w:val="Bibliography"/>
      </w:pPr>
      <w:bookmarkStart w:id="75" w:name="ref-evansAtheistsFaceDeath2013"/>
      <w:bookmarkEnd w:id="74"/>
      <w:r>
        <w:t xml:space="preserve">Evans, R. (2013). Atheists face death in 13 countries, global discrimination: Study. </w:t>
      </w:r>
      <w:r>
        <w:rPr>
          <w:i/>
        </w:rPr>
        <w:t>Reuters</w:t>
      </w:r>
      <w:r>
        <w:t>.</w:t>
      </w:r>
    </w:p>
    <w:p w:rsidR="00432FFC" w:rsidRDefault="00A70FF5">
      <w:pPr>
        <w:pStyle w:val="Bibliography"/>
      </w:pPr>
      <w:bookmarkStart w:id="76" w:name="X5492c37bc100da646fe1f0737a38bf12371ea46"/>
      <w:bookmarkEnd w:id="75"/>
      <w:r>
        <w:t xml:space="preserve">Frederick, S. (2005). Cognitive reflection and decision making. </w:t>
      </w:r>
      <w:r>
        <w:rPr>
          <w:i/>
        </w:rPr>
        <w:t>Journal of Economic Perspectives</w:t>
      </w:r>
      <w:r>
        <w:t xml:space="preserve">, </w:t>
      </w:r>
      <w:r>
        <w:rPr>
          <w:i/>
        </w:rPr>
        <w:t>19</w:t>
      </w:r>
      <w:r>
        <w:t xml:space="preserve">(4), 25–42. </w:t>
      </w:r>
      <w:hyperlink r:id="rId16">
        <w:r>
          <w:rPr>
            <w:rStyle w:val="Hyperlink"/>
          </w:rPr>
          <w:t>https://doi.org/10.1257/089533005775196732</w:t>
        </w:r>
      </w:hyperlink>
    </w:p>
    <w:p w:rsidR="00432FFC" w:rsidRDefault="00A70FF5">
      <w:pPr>
        <w:pStyle w:val="Bibliography"/>
      </w:pPr>
      <w:bookmarkStart w:id="77" w:name="X99af8618f9190669f0316517225bce1899e4ecd"/>
      <w:bookmarkEnd w:id="76"/>
      <w:r>
        <w:t>Gaither, S. (2019). Diversifying Psycho</w:t>
      </w:r>
      <w:r>
        <w:t xml:space="preserve">logical Science. In </w:t>
      </w:r>
      <w:r>
        <w:rPr>
          <w:i/>
        </w:rPr>
        <w:t>Psychology Today</w:t>
      </w:r>
      <w:r>
        <w:t>. https://www.psychologytoday.com/blog/different-identities-different-perspectives/201908/diversifying-psychological-science.</w:t>
      </w:r>
    </w:p>
    <w:p w:rsidR="00432FFC" w:rsidRDefault="00A70FF5">
      <w:pPr>
        <w:pStyle w:val="Bibliography"/>
      </w:pPr>
      <w:bookmarkStart w:id="78" w:name="ref-geertzReligionNaturalAtheism2010"/>
      <w:bookmarkEnd w:id="77"/>
      <w:r>
        <w:t>Geertz, A. W., &amp; Markússon, G. I. (2010). Religion is natural, atheism is not: On why everybod</w:t>
      </w:r>
      <w:r>
        <w:t xml:space="preserve">y is both right and wrong. </w:t>
      </w:r>
      <w:r>
        <w:rPr>
          <w:i/>
        </w:rPr>
        <w:t>Religion</w:t>
      </w:r>
      <w:r>
        <w:t xml:space="preserve">, </w:t>
      </w:r>
      <w:r>
        <w:rPr>
          <w:i/>
        </w:rPr>
        <w:t>40</w:t>
      </w:r>
      <w:r>
        <w:t xml:space="preserve">(3), 152–165. </w:t>
      </w:r>
      <w:hyperlink r:id="rId17">
        <w:r>
          <w:rPr>
            <w:rStyle w:val="Hyperlink"/>
          </w:rPr>
          <w:t>https://doi.org/10.1016/j.religion.2009.11.003</w:t>
        </w:r>
      </w:hyperlink>
    </w:p>
    <w:p w:rsidR="00432FFC" w:rsidRDefault="00A70FF5">
      <w:pPr>
        <w:pStyle w:val="Bibliography"/>
      </w:pPr>
      <w:bookmarkStart w:id="79" w:name="ref-gervaisPerceivingMindsGods2013"/>
      <w:bookmarkEnd w:id="78"/>
      <w:r>
        <w:t xml:space="preserve">Gervais, W. M. (2013). Perceiving Minds and Gods How Mind Perception Enables, Constrains, </w:t>
      </w:r>
      <w:r>
        <w:t xml:space="preserve">and Is Triggered by Belief in Gods. </w:t>
      </w:r>
      <w:r>
        <w:rPr>
          <w:i/>
        </w:rPr>
        <w:t>Perspectives on Psychological Science</w:t>
      </w:r>
      <w:r>
        <w:t xml:space="preserve">, </w:t>
      </w:r>
      <w:r>
        <w:rPr>
          <w:i/>
        </w:rPr>
        <w:t>8</w:t>
      </w:r>
      <w:r>
        <w:t>(4), 380–394.</w:t>
      </w:r>
    </w:p>
    <w:p w:rsidR="00432FFC" w:rsidRDefault="00A70FF5">
      <w:pPr>
        <w:pStyle w:val="Bibliography"/>
      </w:pPr>
      <w:bookmarkStart w:id="80" w:name="ref-gervaisEverythingPermittedPeople2014"/>
      <w:bookmarkEnd w:id="79"/>
      <w:r>
        <w:t xml:space="preserve">Gervais, W. M. (2014). Everything is permitted? People intuitively judge immorality as representative of atheists. </w:t>
      </w:r>
      <w:r>
        <w:rPr>
          <w:i/>
        </w:rPr>
        <w:t>PloS One</w:t>
      </w:r>
      <w:r>
        <w:t xml:space="preserve">, </w:t>
      </w:r>
      <w:r>
        <w:rPr>
          <w:i/>
        </w:rPr>
        <w:t>9</w:t>
      </w:r>
      <w:r>
        <w:t xml:space="preserve">(4), e92302. </w:t>
      </w:r>
      <w:hyperlink r:id="rId18">
        <w:r>
          <w:rPr>
            <w:rStyle w:val="Hyperlink"/>
          </w:rPr>
          <w:t>https://doi.org/10.1371/journal.pone.0092302</w:t>
        </w:r>
      </w:hyperlink>
    </w:p>
    <w:p w:rsidR="00432FFC" w:rsidRDefault="00A70FF5">
      <w:pPr>
        <w:pStyle w:val="Bibliography"/>
      </w:pPr>
      <w:bookmarkStart w:id="81" w:name="ref-gervaisZeusProblemWhy2010"/>
      <w:bookmarkEnd w:id="80"/>
      <w:r>
        <w:t xml:space="preserve">Gervais, W. M., &amp; Henrich, J. (2010). The Zeus problem: Why representational content biases cannot explain faith in gods. </w:t>
      </w:r>
      <w:r>
        <w:rPr>
          <w:i/>
        </w:rPr>
        <w:t>Journal of Cognition and Culture</w:t>
      </w:r>
      <w:r>
        <w:t xml:space="preserve">, </w:t>
      </w:r>
      <w:r>
        <w:rPr>
          <w:i/>
        </w:rPr>
        <w:t>10</w:t>
      </w:r>
      <w:r>
        <w:t>(3-4), 3–4.</w:t>
      </w:r>
    </w:p>
    <w:p w:rsidR="00432FFC" w:rsidRDefault="00A70FF5">
      <w:pPr>
        <w:pStyle w:val="Bibliography"/>
      </w:pPr>
      <w:bookmarkStart w:id="82" w:name="ref-gervaisLearnedFaithInfluences2015"/>
      <w:bookmarkEnd w:id="81"/>
      <w:r>
        <w:t>Gerv</w:t>
      </w:r>
      <w:r>
        <w:t xml:space="preserve">ais, W. M., &amp; Najle, M. B. (2015). Learned faith: The influences of evolved cultural learning mechanisms on belief in Gods. </w:t>
      </w:r>
      <w:r>
        <w:rPr>
          <w:i/>
        </w:rPr>
        <w:t>Psychology of Religion and Spirituality</w:t>
      </w:r>
      <w:r>
        <w:t xml:space="preserve">, </w:t>
      </w:r>
      <w:r>
        <w:rPr>
          <w:i/>
        </w:rPr>
        <w:t>7</w:t>
      </w:r>
      <w:r>
        <w:t>(4), 327.</w:t>
      </w:r>
    </w:p>
    <w:p w:rsidR="00432FFC" w:rsidRDefault="00A70FF5">
      <w:pPr>
        <w:pStyle w:val="Bibliography"/>
      </w:pPr>
      <w:bookmarkStart w:id="83" w:name="ref-gervaisHowManyAtheists2018"/>
      <w:bookmarkEnd w:id="82"/>
      <w:r>
        <w:t xml:space="preserve">Gervais, W. M., &amp; Najle, M. B. (2018). How many atheists are there. </w:t>
      </w:r>
      <w:r>
        <w:rPr>
          <w:i/>
        </w:rPr>
        <w:t>Social Psych</w:t>
      </w:r>
      <w:r>
        <w:rPr>
          <w:i/>
        </w:rPr>
        <w:t>ological and Personality Science</w:t>
      </w:r>
      <w:r>
        <w:t xml:space="preserve">, </w:t>
      </w:r>
      <w:r>
        <w:rPr>
          <w:i/>
        </w:rPr>
        <w:t>9</w:t>
      </w:r>
      <w:r>
        <w:t>, 3–11.</w:t>
      </w:r>
    </w:p>
    <w:p w:rsidR="00432FFC" w:rsidRDefault="00A70FF5">
      <w:pPr>
        <w:pStyle w:val="Bibliography"/>
      </w:pPr>
      <w:bookmarkStart w:id="84" w:name="ref-gervaisYouBelieveAtheists2011"/>
      <w:bookmarkEnd w:id="83"/>
      <w:r>
        <w:t xml:space="preserve">Gervais, W. M., Shariff, A. F., &amp; Norenzayan, A. (2011). Do you believe in atheists? Distrust is central to anti-atheist prejudice. </w:t>
      </w:r>
      <w:r>
        <w:rPr>
          <w:i/>
        </w:rPr>
        <w:t>Journal of Personality and Social Psychology</w:t>
      </w:r>
      <w:r>
        <w:t xml:space="preserve">, </w:t>
      </w:r>
      <w:r>
        <w:rPr>
          <w:i/>
        </w:rPr>
        <w:t>101</w:t>
      </w:r>
      <w:r>
        <w:t>(6), 1189.</w:t>
      </w:r>
    </w:p>
    <w:p w:rsidR="00432FFC" w:rsidRDefault="00A70FF5">
      <w:pPr>
        <w:pStyle w:val="Bibliography"/>
      </w:pPr>
      <w:bookmarkStart w:id="85" w:name="Xb578894c7d61b9d166962da0fc9cfa75f027bfd"/>
      <w:bookmarkEnd w:id="84"/>
      <w:r>
        <w:t>Gervais, W. M., van E</w:t>
      </w:r>
      <w:r>
        <w:t xml:space="preserve">lk, M., Xygalatas, D., McKay, R. T., Aveyard, M., Buchtel, E. E., Dar-Nimrod, I., Klocová, E. K., Ramsay, J. E., &amp; Riekki10, T. (2018). Analytic atheism: A cross-culturally weak and fickle phenomenon? </w:t>
      </w:r>
      <w:r>
        <w:rPr>
          <w:i/>
        </w:rPr>
        <w:t>Judgment and Decision Making</w:t>
      </w:r>
      <w:r>
        <w:t xml:space="preserve">, </w:t>
      </w:r>
      <w:r>
        <w:rPr>
          <w:i/>
        </w:rPr>
        <w:t>13</w:t>
      </w:r>
      <w:r>
        <w:t>(3), 268–274.</w:t>
      </w:r>
    </w:p>
    <w:p w:rsidR="00432FFC" w:rsidRDefault="00A70FF5">
      <w:pPr>
        <w:pStyle w:val="Bibliography"/>
      </w:pPr>
      <w:bookmarkStart w:id="86" w:name="ref-gervaisCulturalTransmissionFaith2011"/>
      <w:bookmarkEnd w:id="85"/>
      <w:r>
        <w:lastRenderedPageBreak/>
        <w:t xml:space="preserve">Gervais, </w:t>
      </w:r>
      <w:r>
        <w:t xml:space="preserve">W. M., Willard, A. K., Norenzayan, A., &amp; Henrich, J. (2011). The cultural transmission of faith: Why innate intuitions are necessary, but insufficient, to explain religious belief. </w:t>
      </w:r>
      <w:r>
        <w:rPr>
          <w:i/>
        </w:rPr>
        <w:t>Religion</w:t>
      </w:r>
      <w:r>
        <w:t xml:space="preserve">, </w:t>
      </w:r>
      <w:r>
        <w:rPr>
          <w:i/>
        </w:rPr>
        <w:t>41</w:t>
      </w:r>
      <w:r>
        <w:t>(3), 389–410.</w:t>
      </w:r>
    </w:p>
    <w:p w:rsidR="00432FFC" w:rsidRDefault="00A70FF5">
      <w:pPr>
        <w:pStyle w:val="Bibliography"/>
      </w:pPr>
      <w:bookmarkStart w:id="87" w:name="ref-gervaisGlobalEvidenceExtreme2017a"/>
      <w:bookmarkEnd w:id="86"/>
      <w:r>
        <w:t xml:space="preserve">Gervais, W. M., Xygalatas, D., McKay, R. T., van </w:t>
      </w:r>
      <w:r>
        <w:t xml:space="preserve">Elk, M., Buchtel, E. E., Aveyard, M., Schiavone, S. R., Dar-Nimrod, I., Svedholm-Häkkinen, A. M., &amp; Riekki, T. (2017). Global evidence of extreme intuitive moral prejudice against atheists. </w:t>
      </w:r>
      <w:r>
        <w:rPr>
          <w:i/>
        </w:rPr>
        <w:t>Nature Human Behaviour</w:t>
      </w:r>
      <w:r>
        <w:t xml:space="preserve">, </w:t>
      </w:r>
      <w:r>
        <w:rPr>
          <w:i/>
        </w:rPr>
        <w:t>1</w:t>
      </w:r>
      <w:r>
        <w:t>(8), s41562–017–0151.</w:t>
      </w:r>
    </w:p>
    <w:p w:rsidR="00432FFC" w:rsidRDefault="00A70FF5">
      <w:pPr>
        <w:pStyle w:val="Bibliography"/>
      </w:pPr>
      <w:bookmarkStart w:id="88" w:name="ref-grayBlamingGodOur2010"/>
      <w:bookmarkEnd w:id="87"/>
      <w:r>
        <w:t>Gray, K., &amp; Wegner,</w:t>
      </w:r>
      <w:r>
        <w:t xml:space="preserve"> D. M. (2010). Blaming God for our pain: Human suffering and the divine mind. </w:t>
      </w:r>
      <w:r>
        <w:rPr>
          <w:i/>
        </w:rPr>
        <w:t>Personality and Social Psychology Review</w:t>
      </w:r>
      <w:r>
        <w:t xml:space="preserve">, </w:t>
      </w:r>
      <w:r>
        <w:rPr>
          <w:i/>
        </w:rPr>
        <w:t>14</w:t>
      </w:r>
      <w:r>
        <w:t>(1), 7–16.</w:t>
      </w:r>
    </w:p>
    <w:p w:rsidR="00432FFC" w:rsidRDefault="00A70FF5">
      <w:pPr>
        <w:pStyle w:val="Bibliography"/>
      </w:pPr>
      <w:bookmarkStart w:id="89" w:name="ref-hadawayWhatPollsDon1993"/>
      <w:bookmarkEnd w:id="88"/>
      <w:r>
        <w:t xml:space="preserve">Hadaway, C. K., Marler, P. L., &amp; Chaves, M. (1993). What the polls don’t show: A closer look at US church attendance. </w:t>
      </w:r>
      <w:r>
        <w:rPr>
          <w:i/>
        </w:rPr>
        <w:t>Ameri</w:t>
      </w:r>
      <w:r>
        <w:rPr>
          <w:i/>
        </w:rPr>
        <w:t>can Sociological Review</w:t>
      </w:r>
      <w:r>
        <w:t>, 741–752.</w:t>
      </w:r>
    </w:p>
    <w:p w:rsidR="00432FFC" w:rsidRDefault="00A70FF5">
      <w:pPr>
        <w:pStyle w:val="Bibliography"/>
      </w:pPr>
      <w:bookmarkStart w:id="90" w:name="ref-hallCostlySignalingIncreases2015"/>
      <w:bookmarkEnd w:id="89"/>
      <w:r>
        <w:t xml:space="preserve">Hall, D. L., Cohen, A. B., Meyer, K. K., Varley, A. H., &amp; Brewer, G. A. (2015). Costly signaling increases trust, even across religious affiliations. </w:t>
      </w:r>
      <w:r>
        <w:rPr>
          <w:i/>
        </w:rPr>
        <w:t>Psychological Science</w:t>
      </w:r>
      <w:r>
        <w:t>, 0956797615576473.</w:t>
      </w:r>
    </w:p>
    <w:p w:rsidR="00432FFC" w:rsidRDefault="00A70FF5">
      <w:pPr>
        <w:pStyle w:val="Bibliography"/>
      </w:pPr>
      <w:bookmarkStart w:id="91" w:name="ref-harrisTrustTestimonyHow2006"/>
      <w:bookmarkEnd w:id="90"/>
      <w:r>
        <w:t xml:space="preserve">Harris, P. L., &amp; Koenig, M. A. (2006). Trust in testimony: How children learn about science and religion. </w:t>
      </w:r>
      <w:r>
        <w:rPr>
          <w:i/>
        </w:rPr>
        <w:t>Child Development</w:t>
      </w:r>
      <w:r>
        <w:t xml:space="preserve">, </w:t>
      </w:r>
      <w:r>
        <w:rPr>
          <w:i/>
        </w:rPr>
        <w:t>77</w:t>
      </w:r>
      <w:r>
        <w:t>(3), 505–524.</w:t>
      </w:r>
    </w:p>
    <w:p w:rsidR="00432FFC" w:rsidRDefault="00A70FF5">
      <w:pPr>
        <w:pStyle w:val="Bibliography"/>
      </w:pPr>
      <w:bookmarkStart w:id="92" w:name="ref-henrichEvolutionCostlyDisplays2009"/>
      <w:bookmarkEnd w:id="91"/>
      <w:r>
        <w:t xml:space="preserve">Henrich, J. (2009). The evolution of costly displays, cooperation and religion. </w:t>
      </w:r>
      <w:r>
        <w:rPr>
          <w:i/>
        </w:rPr>
        <w:t>Evolution and Human Behavior</w:t>
      </w:r>
      <w:r>
        <w:t xml:space="preserve">, </w:t>
      </w:r>
      <w:r>
        <w:rPr>
          <w:i/>
        </w:rPr>
        <w:t>30</w:t>
      </w:r>
      <w:r>
        <w:t>(4)</w:t>
      </w:r>
      <w:r>
        <w:t xml:space="preserve">, 244–260. </w:t>
      </w:r>
      <w:hyperlink r:id="rId19">
        <w:r>
          <w:rPr>
            <w:rStyle w:val="Hyperlink"/>
          </w:rPr>
          <w:t>https://doi.org/10.1016/j.evolhumbehav.2009.03.005</w:t>
        </w:r>
      </w:hyperlink>
    </w:p>
    <w:p w:rsidR="00432FFC" w:rsidRDefault="00A70FF5">
      <w:pPr>
        <w:pStyle w:val="Bibliography"/>
      </w:pPr>
      <w:bookmarkStart w:id="93" w:name="ref-henrichWeirdestPeopleWorld2010"/>
      <w:bookmarkEnd w:id="92"/>
      <w:r>
        <w:t xml:space="preserve">Henrich, J., Heine, S. J., &amp; Norenzayan, A. (2010). The weirdest people in the world? </w:t>
      </w:r>
      <w:r>
        <w:rPr>
          <w:i/>
        </w:rPr>
        <w:t>Behavioral and Brain Sciences</w:t>
      </w:r>
      <w:r>
        <w:t xml:space="preserve">, </w:t>
      </w:r>
      <w:r>
        <w:rPr>
          <w:i/>
        </w:rPr>
        <w:t>33</w:t>
      </w:r>
      <w:r>
        <w:t>(2-3)</w:t>
      </w:r>
      <w:r>
        <w:t xml:space="preserve">, 61–83. </w:t>
      </w:r>
      <w:hyperlink r:id="rId20">
        <w:r>
          <w:rPr>
            <w:rStyle w:val="Hyperlink"/>
          </w:rPr>
          <w:t>https://doi.org/10.1017/S0140525X0999152X</w:t>
        </w:r>
      </w:hyperlink>
    </w:p>
    <w:p w:rsidR="00432FFC" w:rsidRDefault="00A70FF5">
      <w:pPr>
        <w:pStyle w:val="Bibliography"/>
      </w:pPr>
      <w:bookmarkStart w:id="94" w:name="Xfa325af1ca8cfa2d5a16cdd39b795142ad6c509"/>
      <w:bookmarkEnd w:id="93"/>
      <w:r>
        <w:t xml:space="preserve">Hoekstra, R., Morey, R. D., Rouder, J. N., &amp; Wagenmakers, E.-J. (2014). Robust misinterpretation of confidence intervals. </w:t>
      </w:r>
      <w:r>
        <w:rPr>
          <w:i/>
        </w:rPr>
        <w:t>Psychonomic Bulletin &amp;</w:t>
      </w:r>
      <w:r>
        <w:rPr>
          <w:i/>
        </w:rPr>
        <w:t xml:space="preserve"> Review</w:t>
      </w:r>
      <w:r>
        <w:t xml:space="preserve">, </w:t>
      </w:r>
      <w:r>
        <w:rPr>
          <w:i/>
        </w:rPr>
        <w:t>21</w:t>
      </w:r>
      <w:r>
        <w:t>(5), 1157–1164.</w:t>
      </w:r>
    </w:p>
    <w:p w:rsidR="00432FFC" w:rsidRDefault="00A70FF5">
      <w:pPr>
        <w:pStyle w:val="Bibliography"/>
      </w:pPr>
      <w:bookmarkStart w:id="95" w:name="X36bdffea8010f868576aeff2ff7ab1884d512d9"/>
      <w:bookmarkEnd w:id="94"/>
      <w:r>
        <w:t xml:space="preserve">Hoogeveen, S., Wagenmakers, E.-J., Kay, A. C., &amp; Elk, M. van. (2019). </w:t>
      </w:r>
      <w:r>
        <w:rPr>
          <w:i/>
        </w:rPr>
        <w:t>Compensatory Control and Belief in God: A Registered Replication Report Across Two Countries</w:t>
      </w:r>
      <w:r>
        <w:t xml:space="preserve">. </w:t>
      </w:r>
      <w:hyperlink r:id="rId21">
        <w:r>
          <w:rPr>
            <w:rStyle w:val="Hyperlink"/>
          </w:rPr>
          <w:t>https://</w:t>
        </w:r>
        <w:r>
          <w:rPr>
            <w:rStyle w:val="Hyperlink"/>
          </w:rPr>
          <w:t>doi.org/10.31234/osf.io/vqu2x</w:t>
        </w:r>
      </w:hyperlink>
    </w:p>
    <w:p w:rsidR="00432FFC" w:rsidRDefault="00A70FF5">
      <w:pPr>
        <w:pStyle w:val="Bibliography"/>
      </w:pPr>
      <w:bookmarkStart w:id="96" w:name="ref-inglehartSacredSecularReligion2004"/>
      <w:bookmarkEnd w:id="95"/>
      <w:r>
        <w:t xml:space="preserve">Inglehart, R., &amp; Norris, P. (2004). </w:t>
      </w:r>
      <w:r>
        <w:rPr>
          <w:i/>
        </w:rPr>
        <w:t>Sacred and secular: Religion and politics worldwide</w:t>
      </w:r>
      <w:r>
        <w:t>. Cambridge University Press.</w:t>
      </w:r>
    </w:p>
    <w:p w:rsidR="00432FFC" w:rsidRDefault="00A70FF5">
      <w:pPr>
        <w:pStyle w:val="Bibliography"/>
      </w:pPr>
      <w:bookmarkStart w:id="97" w:name="ref-jongFoxholeAtheismRevisited2012"/>
      <w:bookmarkEnd w:id="96"/>
      <w:r>
        <w:t>Jong, J., Halberstadt, J., &amp; Bluemke, M. (2012). Foxhole atheism, revisited: The effects of mortality salienc</w:t>
      </w:r>
      <w:r>
        <w:t xml:space="preserve">e on explicit and implicit religious belief. </w:t>
      </w:r>
      <w:r>
        <w:rPr>
          <w:i/>
        </w:rPr>
        <w:t>Journal of Experimental Social Psychology</w:t>
      </w:r>
      <w:r>
        <w:t xml:space="preserve">, </w:t>
      </w:r>
      <w:r>
        <w:rPr>
          <w:i/>
        </w:rPr>
        <w:t>48</w:t>
      </w:r>
      <w:r>
        <w:t>(5), 983–989.</w:t>
      </w:r>
    </w:p>
    <w:p w:rsidR="00432FFC" w:rsidRDefault="00A70FF5">
      <w:pPr>
        <w:pStyle w:val="Bibliography"/>
      </w:pPr>
      <w:bookmarkStart w:id="98" w:name="ref-kayGodGovernmentTesting2008"/>
      <w:bookmarkEnd w:id="97"/>
      <w:r>
        <w:t>Kay, A. C., Gaucher, D., Napier, J. L., Callan, M. J., &amp; Laurin, K. (2008). God and the government: Testing a compensatory control mechanism for the sup</w:t>
      </w:r>
      <w:r>
        <w:t xml:space="preserve">port of external systems. </w:t>
      </w:r>
      <w:r>
        <w:rPr>
          <w:i/>
        </w:rPr>
        <w:t>Journal of Personality and Social Psychology</w:t>
      </w:r>
      <w:r>
        <w:t xml:space="preserve">, </w:t>
      </w:r>
      <w:r>
        <w:rPr>
          <w:i/>
        </w:rPr>
        <w:t>95</w:t>
      </w:r>
      <w:r>
        <w:t>(1), 18.</w:t>
      </w:r>
    </w:p>
    <w:p w:rsidR="00432FFC" w:rsidRDefault="00A70FF5">
      <w:pPr>
        <w:pStyle w:val="Bibliography"/>
      </w:pPr>
      <w:bookmarkStart w:id="99" w:name="ref-kayGodCountryHydraulic2010"/>
      <w:bookmarkEnd w:id="98"/>
      <w:r>
        <w:lastRenderedPageBreak/>
        <w:t>Kay, A. C., Shepherd, S., Blatz, C. W., Chua, S. N., &amp; Galinsky, A. D. (2010). For God (or) country: The hydraulic relation between government instability and belief in reli</w:t>
      </w:r>
      <w:r>
        <w:t xml:space="preserve">gious sources of control. </w:t>
      </w:r>
      <w:r>
        <w:rPr>
          <w:i/>
        </w:rPr>
        <w:t>Journal of Personality and Social Psychology</w:t>
      </w:r>
      <w:r>
        <w:t xml:space="preserve">, </w:t>
      </w:r>
      <w:r>
        <w:rPr>
          <w:i/>
        </w:rPr>
        <w:t>99</w:t>
      </w:r>
      <w:r>
        <w:t>(5), 725.</w:t>
      </w:r>
    </w:p>
    <w:p w:rsidR="00432FFC" w:rsidRDefault="00A70FF5">
      <w:pPr>
        <w:pStyle w:val="Bibliography"/>
      </w:pPr>
      <w:bookmarkStart w:id="100" w:name="ref-kelemenAreChildrenIntuitive2004"/>
      <w:bookmarkEnd w:id="99"/>
      <w:r>
        <w:t xml:space="preserve">Kelemen, D. (2004). Are children “intuitive theists”? Reasoning about purpose and design in nature. </w:t>
      </w:r>
      <w:r>
        <w:rPr>
          <w:i/>
        </w:rPr>
        <w:t>Psychological Science</w:t>
      </w:r>
      <w:r>
        <w:t xml:space="preserve">, </w:t>
      </w:r>
      <w:r>
        <w:rPr>
          <w:i/>
        </w:rPr>
        <w:t>15</w:t>
      </w:r>
      <w:r>
        <w:t>(5), 295–301.</w:t>
      </w:r>
    </w:p>
    <w:p w:rsidR="00432FFC" w:rsidRDefault="00A70FF5">
      <w:pPr>
        <w:pStyle w:val="Bibliography"/>
      </w:pPr>
      <w:bookmarkStart w:id="101" w:name="Xdbf48b86984bd2b522be118d753e99aed1807ec"/>
      <w:bookmarkEnd w:id="100"/>
      <w:r>
        <w:t xml:space="preserve">Kirkpatrick, L. A. (1999). Toward an evolutionary psychology of religion and personality. </w:t>
      </w:r>
      <w:r>
        <w:rPr>
          <w:i/>
        </w:rPr>
        <w:t>Journal of Personality</w:t>
      </w:r>
      <w:r>
        <w:t xml:space="preserve">, </w:t>
      </w:r>
      <w:r>
        <w:rPr>
          <w:i/>
        </w:rPr>
        <w:t>67</w:t>
      </w:r>
      <w:r>
        <w:t>(</w:t>
      </w:r>
      <w:r>
        <w:t xml:space="preserve">6), 921–952. </w:t>
      </w:r>
      <w:hyperlink r:id="rId22">
        <w:r>
          <w:rPr>
            <w:rStyle w:val="Hyperlink"/>
          </w:rPr>
          <w:t>https://doi.org/10.1111/1467-6494.00078</w:t>
        </w:r>
      </w:hyperlink>
    </w:p>
    <w:p w:rsidR="00432FFC" w:rsidRDefault="00A70FF5">
      <w:pPr>
        <w:pStyle w:val="Bibliography"/>
      </w:pPr>
      <w:bookmarkStart w:id="102" w:name="ref-klineHowLearnTeaching2015"/>
      <w:bookmarkEnd w:id="101"/>
      <w:r>
        <w:t xml:space="preserve">Kline, M. A. (2015). How to learn about teaching: An evolutionary framework for the study of teaching behavior in humans and other animals. </w:t>
      </w:r>
      <w:r>
        <w:rPr>
          <w:i/>
        </w:rPr>
        <w:t>Beha</w:t>
      </w:r>
      <w:r>
        <w:rPr>
          <w:i/>
        </w:rPr>
        <w:t>vioral and Brain Sciences</w:t>
      </w:r>
      <w:r>
        <w:t xml:space="preserve">, </w:t>
      </w:r>
      <w:r>
        <w:rPr>
          <w:i/>
        </w:rPr>
        <w:t>38</w:t>
      </w:r>
      <w:r>
        <w:t xml:space="preserve">, e31. </w:t>
      </w:r>
      <w:hyperlink r:id="rId23">
        <w:r>
          <w:rPr>
            <w:rStyle w:val="Hyperlink"/>
          </w:rPr>
          <w:t>https://doi.org/10.1017/S0140525X14000090</w:t>
        </w:r>
      </w:hyperlink>
    </w:p>
    <w:p w:rsidR="00432FFC" w:rsidRDefault="00A70FF5">
      <w:pPr>
        <w:pStyle w:val="Bibliography"/>
      </w:pPr>
      <w:bookmarkStart w:id="103" w:name="ref-kruschkeDoingBayesianData2010"/>
      <w:bookmarkEnd w:id="102"/>
      <w:r>
        <w:t xml:space="preserve">Kruschke, J. K. (2010). </w:t>
      </w:r>
      <w:r>
        <w:rPr>
          <w:i/>
        </w:rPr>
        <w:t>Doing Bayesian data analysis: A tutorial introduction with R</w:t>
      </w:r>
      <w:r>
        <w:t>. Academic Press.</w:t>
      </w:r>
    </w:p>
    <w:p w:rsidR="00432FFC" w:rsidRDefault="00A70FF5">
      <w:pPr>
        <w:pStyle w:val="Bibliography"/>
      </w:pPr>
      <w:bookmarkStart w:id="104" w:name="Xe569de30c0c20706aba36fccddbc8976c269c89"/>
      <w:bookmarkEnd w:id="103"/>
      <w:r>
        <w:t>Kruschke, J. K.</w:t>
      </w:r>
      <w:r>
        <w:t xml:space="preserve"> (2013). Bayesian estimation supersedes the t test. </w:t>
      </w:r>
      <w:r>
        <w:rPr>
          <w:i/>
        </w:rPr>
        <w:t>Journal of Experimental Psychology: General</w:t>
      </w:r>
      <w:r>
        <w:t xml:space="preserve">, </w:t>
      </w:r>
      <w:r>
        <w:rPr>
          <w:i/>
        </w:rPr>
        <w:t>142</w:t>
      </w:r>
      <w:r>
        <w:t>(2), 573.</w:t>
      </w:r>
    </w:p>
    <w:p w:rsidR="00432FFC" w:rsidRDefault="00A70FF5">
      <w:pPr>
        <w:pStyle w:val="Bibliography"/>
      </w:pPr>
      <w:bookmarkStart w:id="105" w:name="ref-lalandSenseNonsenseEvolutionary2011"/>
      <w:bookmarkEnd w:id="104"/>
      <w:r>
        <w:t xml:space="preserve">Laland, K. N., &amp; Brown, G. R. (2011). </w:t>
      </w:r>
      <w:r>
        <w:rPr>
          <w:i/>
        </w:rPr>
        <w:t>Sense and Nonsense: Evolutionary Perspectives on Human Behaviour</w:t>
      </w:r>
      <w:r>
        <w:t>. OUP Oxford.</w:t>
      </w:r>
    </w:p>
    <w:p w:rsidR="00432FFC" w:rsidRDefault="00A70FF5">
      <w:pPr>
        <w:pStyle w:val="Bibliography"/>
      </w:pPr>
      <w:bookmarkStart w:id="106" w:name="X116adb814a71958b0a1d3372e574b627c8b1f41"/>
      <w:bookmarkEnd w:id="105"/>
      <w:r>
        <w:t>Landy, J., Jia, M., Ding, I., Viganola, D., Tierney, W., Dreber, A., Johanneson, M., Pfeiffer, T., Ebersole, C., &amp; Gronau, Q. (2019). Crowdsourcing hypothesis tests: Making trans</w:t>
      </w:r>
      <w:r>
        <w:t xml:space="preserve">parent how design choices shape research results. </w:t>
      </w:r>
      <w:r>
        <w:rPr>
          <w:i/>
        </w:rPr>
        <w:t>Psychological Bulletin</w:t>
      </w:r>
      <w:r>
        <w:t>.</w:t>
      </w:r>
    </w:p>
    <w:p w:rsidR="00432FFC" w:rsidRDefault="00A70FF5">
      <w:pPr>
        <w:pStyle w:val="Bibliography"/>
      </w:pPr>
      <w:bookmarkStart w:id="107" w:name="Xfc7e974b631f2b3316a863c6a274056054266ac"/>
      <w:bookmarkEnd w:id="106"/>
      <w:r>
        <w:t xml:space="preserve">Lane, J. D., Wellman, H. M., &amp; Evans, E. M. (2012). Sociocultural input facilitates children’s developing understanding of extraordinary minds. </w:t>
      </w:r>
      <w:r>
        <w:rPr>
          <w:i/>
        </w:rPr>
        <w:t>Child Development</w:t>
      </w:r>
      <w:r>
        <w:t xml:space="preserve">, </w:t>
      </w:r>
      <w:r>
        <w:rPr>
          <w:i/>
        </w:rPr>
        <w:t>83</w:t>
      </w:r>
      <w:r>
        <w:t>(3), 1007–1021.</w:t>
      </w:r>
    </w:p>
    <w:p w:rsidR="00432FFC" w:rsidRDefault="00A70FF5">
      <w:pPr>
        <w:pStyle w:val="Bibliography"/>
      </w:pPr>
      <w:bookmarkStart w:id="108" w:name="X1b655ec1657ef89400d5abf7f7e82a0e33e9ff2"/>
      <w:bookmarkEnd w:id="107"/>
      <w:r>
        <w:t>L</w:t>
      </w:r>
      <w:r>
        <w:t xml:space="preserve">anman, J. (2012). The importance of religious displays for belief acquisition and secularization. </w:t>
      </w:r>
      <w:r>
        <w:rPr>
          <w:i/>
        </w:rPr>
        <w:t>Journal of Contemporary Religion</w:t>
      </w:r>
      <w:r>
        <w:t xml:space="preserve">, </w:t>
      </w:r>
      <w:r>
        <w:rPr>
          <w:i/>
        </w:rPr>
        <w:t>27</w:t>
      </w:r>
      <w:r>
        <w:t>(1), 49–65.</w:t>
      </w:r>
    </w:p>
    <w:p w:rsidR="00432FFC" w:rsidRDefault="00A70FF5">
      <w:pPr>
        <w:pStyle w:val="Bibliography"/>
      </w:pPr>
      <w:bookmarkStart w:id="109" w:name="ref-lanmanReligiousActionsSpeak2017"/>
      <w:bookmarkEnd w:id="108"/>
      <w:r>
        <w:t>Lanman, J. A., &amp; Buhrmester, M. D. (2017). Religious actions speak louder than words: Exposure to credibility-</w:t>
      </w:r>
      <w:r>
        <w:t xml:space="preserve">enhancing displays predicts theism. </w:t>
      </w:r>
      <w:r>
        <w:rPr>
          <w:i/>
        </w:rPr>
        <w:t>Religion, Brain &amp; Behavior</w:t>
      </w:r>
      <w:r>
        <w:t xml:space="preserve">, </w:t>
      </w:r>
      <w:r>
        <w:rPr>
          <w:i/>
        </w:rPr>
        <w:t>7</w:t>
      </w:r>
      <w:r>
        <w:t>(1), 3–16.</w:t>
      </w:r>
    </w:p>
    <w:p w:rsidR="00432FFC" w:rsidRDefault="00A70FF5">
      <w:pPr>
        <w:pStyle w:val="Bibliography"/>
      </w:pPr>
      <w:bookmarkStart w:id="110" w:name="ref-laurinBeliefGodUnderstanding2008"/>
      <w:bookmarkEnd w:id="109"/>
      <w:r>
        <w:t xml:space="preserve">Laurin, K., Kay, A. C., &amp; Moscovitch, D. A. (2008). On the belief in God: Towards an understanding of the emotional substrates of compensatory control. </w:t>
      </w:r>
      <w:r>
        <w:rPr>
          <w:i/>
        </w:rPr>
        <w:t>Journal of Experimental Soci</w:t>
      </w:r>
      <w:r>
        <w:rPr>
          <w:i/>
        </w:rPr>
        <w:t>al Psychology</w:t>
      </w:r>
      <w:r>
        <w:t xml:space="preserve">, </w:t>
      </w:r>
      <w:r>
        <w:rPr>
          <w:i/>
        </w:rPr>
        <w:t>44</w:t>
      </w:r>
      <w:r>
        <w:t>(6), 1559–1562.</w:t>
      </w:r>
    </w:p>
    <w:p w:rsidR="00432FFC" w:rsidRDefault="00A70FF5">
      <w:pPr>
        <w:pStyle w:val="Bibliography"/>
      </w:pPr>
      <w:bookmarkStart w:id="111" w:name="Xe7f589e03314b33b22f3ea6f98b1a32993e96e0"/>
      <w:bookmarkEnd w:id="110"/>
      <w:r>
        <w:t xml:space="preserve">Legare, C. H., Evans, E. M., Rosengren, K. S., &amp; Harris, P. L. (2012). The Coexistence of Natural and Supernatural Explanations Across Cultures and Development: Coexistence of Natural and Supernatural Explanations. </w:t>
      </w:r>
      <w:r>
        <w:rPr>
          <w:i/>
        </w:rPr>
        <w:t>Child De</w:t>
      </w:r>
      <w:r>
        <w:rPr>
          <w:i/>
        </w:rPr>
        <w:t>velopment</w:t>
      </w:r>
      <w:r>
        <w:t xml:space="preserve">, </w:t>
      </w:r>
      <w:r>
        <w:rPr>
          <w:i/>
        </w:rPr>
        <w:t>83</w:t>
      </w:r>
      <w:r>
        <w:t xml:space="preserve">(3), 779–793. </w:t>
      </w:r>
      <w:hyperlink r:id="rId24">
        <w:r>
          <w:rPr>
            <w:rStyle w:val="Hyperlink"/>
          </w:rPr>
          <w:t>https://doi.org/10.1111/j.1467-8624.2012.01743.x</w:t>
        </w:r>
      </w:hyperlink>
    </w:p>
    <w:p w:rsidR="00432FFC" w:rsidRDefault="00A70FF5">
      <w:pPr>
        <w:pStyle w:val="Bibliography"/>
      </w:pPr>
      <w:bookmarkStart w:id="112" w:name="ref-legareImitationInnovationDual2015"/>
      <w:bookmarkEnd w:id="111"/>
      <w:r>
        <w:t xml:space="preserve">Legare, C. H., &amp; Nielsen, M. (2015). Imitation and Innovation: The Dual Engines of Cultural Learning. </w:t>
      </w:r>
      <w:r>
        <w:rPr>
          <w:i/>
        </w:rPr>
        <w:t xml:space="preserve">Trends in </w:t>
      </w:r>
      <w:r>
        <w:rPr>
          <w:i/>
        </w:rPr>
        <w:t>Cognitive Sciences</w:t>
      </w:r>
      <w:r>
        <w:t xml:space="preserve">, </w:t>
      </w:r>
      <w:r>
        <w:rPr>
          <w:i/>
        </w:rPr>
        <w:t>19</w:t>
      </w:r>
      <w:r>
        <w:t xml:space="preserve">(11), 688–699. </w:t>
      </w:r>
      <w:hyperlink r:id="rId25">
        <w:r>
          <w:rPr>
            <w:rStyle w:val="Hyperlink"/>
          </w:rPr>
          <w:t>https://doi.org/10.1016/j.tics.2015.08.005</w:t>
        </w:r>
      </w:hyperlink>
    </w:p>
    <w:p w:rsidR="00432FFC" w:rsidRDefault="00A70FF5">
      <w:pPr>
        <w:pStyle w:val="Bibliography"/>
      </w:pPr>
      <w:bookmarkStart w:id="113" w:name="X33bed14b06e33d4ef45e58494c34235b2f8581b"/>
      <w:bookmarkEnd w:id="112"/>
      <w:r>
        <w:lastRenderedPageBreak/>
        <w:t>MacInnis, B., Krosnick, J. A., Ho, A. S., &amp; Cho, M.-J. (2018). The accuracy of measurements with probability and n</w:t>
      </w:r>
      <w:r>
        <w:t xml:space="preserve">onprobability survey samples: Replication and extension. </w:t>
      </w:r>
      <w:r>
        <w:rPr>
          <w:i/>
        </w:rPr>
        <w:t>Public Opinion Quarterly</w:t>
      </w:r>
      <w:r>
        <w:t xml:space="preserve">, </w:t>
      </w:r>
      <w:r>
        <w:rPr>
          <w:i/>
        </w:rPr>
        <w:t>82</w:t>
      </w:r>
      <w:r>
        <w:t>(4), 707–744.</w:t>
      </w:r>
    </w:p>
    <w:p w:rsidR="00432FFC" w:rsidRDefault="00A70FF5">
      <w:pPr>
        <w:pStyle w:val="Bibliography"/>
      </w:pPr>
      <w:bookmarkStart w:id="114" w:name="ref-maijMentalizingSkillsNot2017c"/>
      <w:bookmarkEnd w:id="113"/>
      <w:r>
        <w:t>Maij, D. L. R., van Harreveld, F., Gervais, W., Schrag, Y., Mohr, C., &amp; van Elk, M. (2017). Mentalizing skills do not differentiate believers from non-believ</w:t>
      </w:r>
      <w:r>
        <w:t xml:space="preserve">ers, but credibility enhancing displays do. </w:t>
      </w:r>
      <w:r>
        <w:rPr>
          <w:i/>
        </w:rPr>
        <w:t>PLOS ONE</w:t>
      </w:r>
      <w:r>
        <w:t xml:space="preserve">, </w:t>
      </w:r>
      <w:r>
        <w:rPr>
          <w:i/>
        </w:rPr>
        <w:t>12</w:t>
      </w:r>
      <w:r>
        <w:t xml:space="preserve">(8), e0182764. </w:t>
      </w:r>
      <w:hyperlink r:id="rId26">
        <w:r>
          <w:rPr>
            <w:rStyle w:val="Hyperlink"/>
          </w:rPr>
          <w:t>https://doi.org/10.1371/journal.pone.0182764</w:t>
        </w:r>
      </w:hyperlink>
    </w:p>
    <w:p w:rsidR="00432FFC" w:rsidRDefault="00A70FF5">
      <w:pPr>
        <w:pStyle w:val="Bibliography"/>
      </w:pPr>
      <w:bookmarkStart w:id="115" w:name="X88fc160591971b3ca59f81382822b9f07680a7f"/>
      <w:bookmarkEnd w:id="114"/>
      <w:r>
        <w:t xml:space="preserve">McElreath, R. (2016). </w:t>
      </w:r>
      <w:r>
        <w:rPr>
          <w:i/>
        </w:rPr>
        <w:t>Statistical Rethinking: A Bayesian Course with Example</w:t>
      </w:r>
      <w:r>
        <w:rPr>
          <w:i/>
        </w:rPr>
        <w:t>s in R and Stan</w:t>
      </w:r>
      <w:r>
        <w:t xml:space="preserve"> (Vol. 122). CRC Press.</w:t>
      </w:r>
    </w:p>
    <w:p w:rsidR="00432FFC" w:rsidRDefault="00A70FF5">
      <w:pPr>
        <w:pStyle w:val="Bibliography"/>
      </w:pPr>
      <w:bookmarkStart w:id="116" w:name="ref-mesoudiUnifiedScienceCultural2006"/>
      <w:bookmarkEnd w:id="115"/>
      <w:r>
        <w:t xml:space="preserve">Mesoudi, A., Whiten, A., &amp; Laland, K. N. (2006). Towards a unified science of cultural evolution. </w:t>
      </w:r>
      <w:r>
        <w:rPr>
          <w:i/>
        </w:rPr>
        <w:t>Behavioral and Brain Sciences</w:t>
      </w:r>
      <w:r>
        <w:t xml:space="preserve">, </w:t>
      </w:r>
      <w:r>
        <w:rPr>
          <w:i/>
        </w:rPr>
        <w:t>29</w:t>
      </w:r>
      <w:r>
        <w:t xml:space="preserve">(4), 329–347. </w:t>
      </w:r>
      <w:hyperlink r:id="rId27">
        <w:r>
          <w:rPr>
            <w:rStyle w:val="Hyperlink"/>
          </w:rPr>
          <w:t>https://doi</w:t>
        </w:r>
        <w:r>
          <w:rPr>
            <w:rStyle w:val="Hyperlink"/>
          </w:rPr>
          <w:t>.org/10.1017/S0140525X06009083</w:t>
        </w:r>
      </w:hyperlink>
    </w:p>
    <w:p w:rsidR="00432FFC" w:rsidRDefault="00A70FF5">
      <w:pPr>
        <w:pStyle w:val="Bibliography"/>
      </w:pPr>
      <w:bookmarkStart w:id="117" w:name="ref-milojevMiniIPIP6TinyHighly2013"/>
      <w:bookmarkEnd w:id="116"/>
      <w:r>
        <w:t xml:space="preserve">Milojev, P., Osborne, D., Greaves, L. M., Barlow, F. K., &amp; Sibley, C. G. (2013). The Mini-IPIP6: Tiny yet highly stable markers of Big Six personality. </w:t>
      </w:r>
      <w:r>
        <w:rPr>
          <w:i/>
        </w:rPr>
        <w:t>Journal of Research in Personality</w:t>
      </w:r>
      <w:r>
        <w:t xml:space="preserve">, </w:t>
      </w:r>
      <w:r>
        <w:rPr>
          <w:i/>
        </w:rPr>
        <w:t>47</w:t>
      </w:r>
      <w:r>
        <w:t>(6), 936–944.</w:t>
      </w:r>
    </w:p>
    <w:p w:rsidR="00432FFC" w:rsidRDefault="00A70FF5">
      <w:pPr>
        <w:pStyle w:val="Bibliography"/>
      </w:pPr>
      <w:bookmarkStart w:id="118" w:name="ref-muthukrishnaProblemTheory2019"/>
      <w:bookmarkEnd w:id="117"/>
      <w:r>
        <w:t>Muthukrishna, M., &amp; H</w:t>
      </w:r>
      <w:r>
        <w:t xml:space="preserve">enrich, J. (2019). A problem in theory. </w:t>
      </w:r>
      <w:r>
        <w:rPr>
          <w:i/>
        </w:rPr>
        <w:t>Nature Human Behaviour</w:t>
      </w:r>
      <w:r>
        <w:t xml:space="preserve">, </w:t>
      </w:r>
      <w:r>
        <w:rPr>
          <w:i/>
        </w:rPr>
        <w:t>3</w:t>
      </w:r>
      <w:r>
        <w:t xml:space="preserve">(3), 221–229. </w:t>
      </w:r>
      <w:hyperlink r:id="rId28">
        <w:r>
          <w:rPr>
            <w:rStyle w:val="Hyperlink"/>
          </w:rPr>
          <w:t>https://doi.org/10.1038/s41562-018-0522-1</w:t>
        </w:r>
      </w:hyperlink>
    </w:p>
    <w:p w:rsidR="00432FFC" w:rsidRDefault="00A70FF5">
      <w:pPr>
        <w:pStyle w:val="Bibliography"/>
      </w:pPr>
      <w:bookmarkStart w:id="119" w:name="ref-navarroDevilDeepBlue2018"/>
      <w:bookmarkEnd w:id="118"/>
      <w:r>
        <w:t xml:space="preserve">Navarro, D. J. (2018). Between the Devil and the Deep Blue Sea: Tensions Between Scientific Judgement and Statistical Model Selection. </w:t>
      </w:r>
      <w:r>
        <w:rPr>
          <w:i/>
        </w:rPr>
        <w:t>Computational Brain &amp; Behavior</w:t>
      </w:r>
      <w:r>
        <w:t xml:space="preserve">. </w:t>
      </w:r>
      <w:hyperlink r:id="rId29">
        <w:r>
          <w:rPr>
            <w:rStyle w:val="Hyperlink"/>
          </w:rPr>
          <w:t>https://doi.org/10.1007/s421</w:t>
        </w:r>
        <w:r>
          <w:rPr>
            <w:rStyle w:val="Hyperlink"/>
          </w:rPr>
          <w:t>13-018-0019-z</w:t>
        </w:r>
      </w:hyperlink>
    </w:p>
    <w:p w:rsidR="00432FFC" w:rsidRDefault="00A70FF5">
      <w:pPr>
        <w:pStyle w:val="Bibliography"/>
      </w:pPr>
      <w:bookmarkStart w:id="120" w:name="Xc107982e44cb6b83707f1da57904ce0aa9a98a7"/>
      <w:bookmarkEnd w:id="119"/>
      <w:r>
        <w:t xml:space="preserve">Norenzayan, A., &amp; Gervais, W. M. (2013). The origins of religious disbelief. </w:t>
      </w:r>
      <w:r>
        <w:rPr>
          <w:i/>
        </w:rPr>
        <w:t>Trends in Cognitive Sciences</w:t>
      </w:r>
      <w:r>
        <w:t xml:space="preserve">, </w:t>
      </w:r>
      <w:r>
        <w:rPr>
          <w:i/>
        </w:rPr>
        <w:t>17</w:t>
      </w:r>
      <w:r>
        <w:t>(1), 20–25.</w:t>
      </w:r>
    </w:p>
    <w:p w:rsidR="00432FFC" w:rsidRDefault="00A70FF5">
      <w:pPr>
        <w:pStyle w:val="Bibliography"/>
      </w:pPr>
      <w:bookmarkStart w:id="121" w:name="Xc10b978a0f49b9282f3bac0db4da915785b9a6f"/>
      <w:bookmarkEnd w:id="120"/>
      <w:r>
        <w:t xml:space="preserve">Norenzayan, A., Gervais, W. M., &amp; Trzesniewski, K. H. (2012). Mentalizing deficits constrain belief in a personal God. </w:t>
      </w:r>
      <w:r>
        <w:rPr>
          <w:i/>
        </w:rPr>
        <w:t>Pl</w:t>
      </w:r>
      <w:r>
        <w:rPr>
          <w:i/>
        </w:rPr>
        <w:t>oS One</w:t>
      </w:r>
      <w:r>
        <w:t xml:space="preserve">, </w:t>
      </w:r>
      <w:r>
        <w:rPr>
          <w:i/>
        </w:rPr>
        <w:t>7</w:t>
      </w:r>
      <w:r>
        <w:t>(5), e36880.</w:t>
      </w:r>
    </w:p>
    <w:p w:rsidR="00432FFC" w:rsidRDefault="00A70FF5">
      <w:pPr>
        <w:pStyle w:val="Bibliography"/>
      </w:pPr>
      <w:bookmarkStart w:id="122" w:name="X5d613f8363998ee5efdf7cb6f5bacbf67d81ff3"/>
      <w:bookmarkEnd w:id="121"/>
      <w:r>
        <w:t xml:space="preserve">Oakes, M. (1986). </w:t>
      </w:r>
      <w:r>
        <w:rPr>
          <w:i/>
        </w:rPr>
        <w:t>Statistical inference: A commentary for the social and behavioral sciences</w:t>
      </w:r>
      <w:r>
        <w:t>.</w:t>
      </w:r>
    </w:p>
    <w:p w:rsidR="00432FFC" w:rsidRDefault="00A70FF5">
      <w:pPr>
        <w:pStyle w:val="Bibliography"/>
      </w:pPr>
      <w:bookmarkStart w:id="123" w:name="ref-oconnorScientificPolarization2018"/>
      <w:bookmarkEnd w:id="122"/>
      <w:r>
        <w:t xml:space="preserve">O’Connor, C., &amp; Weatherall, J. O. (2018). Scientific polarization. </w:t>
      </w:r>
      <w:r>
        <w:rPr>
          <w:i/>
        </w:rPr>
        <w:t>European Journal for Philosophy of Science</w:t>
      </w:r>
      <w:r>
        <w:t xml:space="preserve">, </w:t>
      </w:r>
      <w:r>
        <w:rPr>
          <w:i/>
        </w:rPr>
        <w:t>8</w:t>
      </w:r>
      <w:r>
        <w:t>(3), 855–875.</w:t>
      </w:r>
    </w:p>
    <w:p w:rsidR="00432FFC" w:rsidRDefault="00A70FF5">
      <w:pPr>
        <w:pStyle w:val="Bibliography"/>
      </w:pPr>
      <w:bookmarkStart w:id="124" w:name="ref-pennycookAnalyticCognitiveStyle2012"/>
      <w:bookmarkEnd w:id="123"/>
      <w:r>
        <w:t>Pennycook, G.,</w:t>
      </w:r>
      <w:r>
        <w:t xml:space="preserve"> Cheyne, J. A., Seli, P., Koehler, D. J., &amp; Fugelsang, J. A. (2012). Analytic cognitive style predicts religious and paranormal belief. </w:t>
      </w:r>
      <w:r>
        <w:rPr>
          <w:i/>
        </w:rPr>
        <w:t>Cognition</w:t>
      </w:r>
      <w:r>
        <w:t xml:space="preserve">, </w:t>
      </w:r>
      <w:r>
        <w:rPr>
          <w:i/>
        </w:rPr>
        <w:t>123</w:t>
      </w:r>
      <w:r>
        <w:t>(3), 335–346.</w:t>
      </w:r>
    </w:p>
    <w:p w:rsidR="00432FFC" w:rsidRDefault="00A70FF5">
      <w:pPr>
        <w:pStyle w:val="Bibliography"/>
      </w:pPr>
      <w:bookmarkStart w:id="125" w:name="ref-pennycookAtheistsAgnosticsAre2016"/>
      <w:bookmarkEnd w:id="124"/>
      <w:r>
        <w:t>Pennycook, G., Ross, R. M., Koehler, D. J., &amp; Fugelsang, J. A. (2016). Atheists and Agnostic</w:t>
      </w:r>
      <w:r>
        <w:t xml:space="preserve">s Are More Reflective than Religious Believers: Four Empirical Studies and a Meta-Analysis. </w:t>
      </w:r>
      <w:r>
        <w:rPr>
          <w:i/>
        </w:rPr>
        <w:t>PloS One</w:t>
      </w:r>
      <w:r>
        <w:t xml:space="preserve">, </w:t>
      </w:r>
      <w:r>
        <w:rPr>
          <w:i/>
        </w:rPr>
        <w:t>11</w:t>
      </w:r>
      <w:r>
        <w:t>(4), e0153039.</w:t>
      </w:r>
    </w:p>
    <w:p w:rsidR="00432FFC" w:rsidRDefault="00A70FF5">
      <w:pPr>
        <w:pStyle w:val="Bibliography"/>
      </w:pPr>
      <w:bookmarkStart w:id="126" w:name="ref-primiDevelopmentTestingNew2016"/>
      <w:bookmarkEnd w:id="125"/>
      <w:r>
        <w:t xml:space="preserve">Primi, C., Morsanyi, K., Chiesi, F., Donati, M. A., &amp; Hamilton, J. (2016). The development and testing of a new version of the cognitive </w:t>
      </w:r>
      <w:r>
        <w:t xml:space="preserve">reflection test applying item response theory (IRT). </w:t>
      </w:r>
      <w:r>
        <w:rPr>
          <w:i/>
        </w:rPr>
        <w:t>Journal of Behavioral Decision Making</w:t>
      </w:r>
      <w:r>
        <w:t xml:space="preserve">, </w:t>
      </w:r>
      <w:r>
        <w:rPr>
          <w:i/>
        </w:rPr>
        <w:t>29</w:t>
      </w:r>
      <w:r>
        <w:t>(5), 453–469.</w:t>
      </w:r>
    </w:p>
    <w:p w:rsidR="00432FFC" w:rsidRDefault="00A70FF5">
      <w:pPr>
        <w:pStyle w:val="Bibliography"/>
      </w:pPr>
      <w:bookmarkStart w:id="127" w:name="X912369eb5313dc18ece1c474c4dd28255f936ef"/>
      <w:bookmarkEnd w:id="126"/>
      <w:r>
        <w:lastRenderedPageBreak/>
        <w:t>Purzycki, B. G., Apicella, C., Atkinson, Q. D., Cohen, E., McNamara, R. A., Willard, A. K., Xygalatas, D., Norenzayan, A., &amp; Henrich, J. (2016). Mor</w:t>
      </w:r>
      <w:r>
        <w:t xml:space="preserve">alistic gods, supernatural punishment and the expansion of human sociality. </w:t>
      </w:r>
      <w:r>
        <w:rPr>
          <w:i/>
        </w:rPr>
        <w:t>Nature</w:t>
      </w:r>
      <w:r>
        <w:t>.</w:t>
      </w:r>
    </w:p>
    <w:p w:rsidR="00432FFC" w:rsidRDefault="00A70FF5">
      <w:pPr>
        <w:pStyle w:val="Bibliography"/>
      </w:pPr>
      <w:bookmarkStart w:id="128" w:name="ref-purzyckiEcologicalTheoryGods2016"/>
      <w:bookmarkEnd w:id="127"/>
      <w:r>
        <w:t xml:space="preserve">Purzycki, B. G., &amp; McNamara, R. A. (2016). An ecological theory of gods’ minds. </w:t>
      </w:r>
      <w:r>
        <w:rPr>
          <w:i/>
        </w:rPr>
        <w:t>Cognitive Science of Religion and Its Philosophical Implications</w:t>
      </w:r>
      <w:r>
        <w:t>, 143–167.</w:t>
      </w:r>
    </w:p>
    <w:p w:rsidR="00432FFC" w:rsidRDefault="00A70FF5">
      <w:pPr>
        <w:pStyle w:val="Bibliography"/>
      </w:pPr>
      <w:bookmarkStart w:id="129" w:name="ref-radPsychologyHomoSapiens2018"/>
      <w:bookmarkEnd w:id="128"/>
      <w:r>
        <w:t xml:space="preserve">Rad, M. S., Martingano, A. J., &amp; Ginges, J. (2018). Toward a psychology of </w:t>
      </w:r>
      <w:r>
        <w:rPr>
          <w:i/>
        </w:rPr>
        <w:t>Homo</w:t>
      </w:r>
      <w:r>
        <w:t xml:space="preserve"> </w:t>
      </w:r>
      <w:r>
        <w:rPr>
          <w:i/>
        </w:rPr>
        <w:t>Sapiens</w:t>
      </w:r>
      <w:r>
        <w:t xml:space="preserve"> : Making psychological science more representative of the human population. </w:t>
      </w:r>
      <w:r>
        <w:rPr>
          <w:i/>
        </w:rPr>
        <w:t>Proceedings of the National Academy of Sciences</w:t>
      </w:r>
      <w:r>
        <w:t xml:space="preserve">, </w:t>
      </w:r>
      <w:r>
        <w:rPr>
          <w:i/>
        </w:rPr>
        <w:t>115</w:t>
      </w:r>
      <w:r>
        <w:t xml:space="preserve">(45), 11401–11405. </w:t>
      </w:r>
      <w:hyperlink r:id="rId30">
        <w:r>
          <w:rPr>
            <w:rStyle w:val="Hyperlink"/>
          </w:rPr>
          <w:t>https://doi.org/10.1073/pnas.1721165115</w:t>
        </w:r>
      </w:hyperlink>
    </w:p>
    <w:p w:rsidR="00432FFC" w:rsidRDefault="00A70FF5">
      <w:pPr>
        <w:pStyle w:val="Bibliography"/>
      </w:pPr>
      <w:bookmarkStart w:id="130" w:name="X90fe088193239cdf14ed1322c1a96623df965be"/>
      <w:bookmarkEnd w:id="129"/>
      <w:r>
        <w:t xml:space="preserve">Rendell, L., Fogarty, L., Hoppitt, W. J. E., Morgan, T. J. H., Webster, M. M., &amp; Laland, K. N. (2011). Cognitive culture: Theoretical and empirical insights into social learning </w:t>
      </w:r>
      <w:r>
        <w:t xml:space="preserve">strategies. </w:t>
      </w:r>
      <w:r>
        <w:rPr>
          <w:i/>
        </w:rPr>
        <w:t>Trends in Cognitive Sciences</w:t>
      </w:r>
      <w:r>
        <w:t xml:space="preserve">, </w:t>
      </w:r>
      <w:r>
        <w:rPr>
          <w:i/>
        </w:rPr>
        <w:t>15</w:t>
      </w:r>
      <w:r>
        <w:t xml:space="preserve">(2), 68–76. </w:t>
      </w:r>
      <w:hyperlink r:id="rId31">
        <w:r>
          <w:rPr>
            <w:rStyle w:val="Hyperlink"/>
          </w:rPr>
          <w:t>https://doi.org/10.1016/j.tics.2010.12.002</w:t>
        </w:r>
      </w:hyperlink>
    </w:p>
    <w:p w:rsidR="00432FFC" w:rsidRDefault="00A70FF5">
      <w:pPr>
        <w:pStyle w:val="Bibliography"/>
      </w:pPr>
      <w:bookmarkStart w:id="131" w:name="ref-richertRoleReligiousContext2017"/>
      <w:bookmarkEnd w:id="130"/>
      <w:r>
        <w:t>Richert, R. A., Saide, A. R., Lesage, K. A., &amp; Shaman, N. J. (2017). The role of religious cont</w:t>
      </w:r>
      <w:r>
        <w:t xml:space="preserve">ext in children’s differentiation between God’s mind and human minds. </w:t>
      </w:r>
      <w:r>
        <w:rPr>
          <w:i/>
        </w:rPr>
        <w:t>British Journal of Developmental Psychology</w:t>
      </w:r>
      <w:r>
        <w:t xml:space="preserve">, </w:t>
      </w:r>
      <w:r>
        <w:rPr>
          <w:i/>
        </w:rPr>
        <w:t>35</w:t>
      </w:r>
      <w:r>
        <w:t>(1), 37–59.</w:t>
      </w:r>
    </w:p>
    <w:p w:rsidR="00432FFC" w:rsidRDefault="00A70FF5">
      <w:pPr>
        <w:pStyle w:val="Bibliography"/>
      </w:pPr>
      <w:bookmarkStart w:id="132" w:name="ref-schulzChurchIntensiveKinship2019"/>
      <w:bookmarkEnd w:id="131"/>
      <w:r>
        <w:t>Schulz, J. F., Bahrami-Rad, D., Beauchamp, J. P., &amp; Henrich, J. (2019). The Church, intensive kinship, and global psychological</w:t>
      </w:r>
      <w:r>
        <w:t xml:space="preserve"> variation. </w:t>
      </w:r>
      <w:r>
        <w:rPr>
          <w:i/>
        </w:rPr>
        <w:t>Science</w:t>
      </w:r>
      <w:r>
        <w:t xml:space="preserve">, </w:t>
      </w:r>
      <w:r>
        <w:rPr>
          <w:i/>
        </w:rPr>
        <w:t>366</w:t>
      </w:r>
      <w:r>
        <w:t>(6466).</w:t>
      </w:r>
    </w:p>
    <w:p w:rsidR="00432FFC" w:rsidRDefault="00A70FF5">
      <w:pPr>
        <w:pStyle w:val="Bibliography"/>
      </w:pPr>
      <w:bookmarkStart w:id="133" w:name="ref-shenhavDivineIntuitionCognitive2012"/>
      <w:bookmarkEnd w:id="132"/>
      <w:r>
        <w:t xml:space="preserve">Shenhav, A., Rand, D. G., &amp; Greene, J. D. (2012). Divine intuition: Cognitive style influences belief in God. </w:t>
      </w:r>
      <w:r>
        <w:rPr>
          <w:i/>
        </w:rPr>
        <w:t>Journal of Experimental Psychology: General</w:t>
      </w:r>
      <w:r>
        <w:t xml:space="preserve">, </w:t>
      </w:r>
      <w:r>
        <w:rPr>
          <w:i/>
        </w:rPr>
        <w:t>141</w:t>
      </w:r>
      <w:r>
        <w:t>(3), 423.</w:t>
      </w:r>
    </w:p>
    <w:p w:rsidR="00432FFC" w:rsidRDefault="00A70FF5">
      <w:pPr>
        <w:pStyle w:val="Bibliography"/>
      </w:pPr>
      <w:bookmarkStart w:id="134" w:name="ref-smaldinoBetterMethodsCan2019"/>
      <w:bookmarkEnd w:id="133"/>
      <w:r>
        <w:t xml:space="preserve">Smaldino, P. (2019). Better methods can’t make up for mediocre theory. </w:t>
      </w:r>
      <w:r>
        <w:rPr>
          <w:i/>
        </w:rPr>
        <w:t>Nature</w:t>
      </w:r>
      <w:r>
        <w:t xml:space="preserve">, </w:t>
      </w:r>
      <w:r>
        <w:rPr>
          <w:i/>
        </w:rPr>
        <w:t>575</w:t>
      </w:r>
      <w:r>
        <w:t xml:space="preserve">, 9–9. </w:t>
      </w:r>
      <w:hyperlink r:id="rId32">
        <w:r>
          <w:rPr>
            <w:rStyle w:val="Hyperlink"/>
          </w:rPr>
          <w:t>https://doi.org/10.1038/d41586-019-03350-5</w:t>
        </w:r>
      </w:hyperlink>
    </w:p>
    <w:p w:rsidR="00432FFC" w:rsidRDefault="00A70FF5">
      <w:pPr>
        <w:pStyle w:val="Bibliography"/>
      </w:pPr>
      <w:bookmarkStart w:id="135" w:name="ref-smaldinoModelsAreStupid2017"/>
      <w:bookmarkEnd w:id="134"/>
      <w:r>
        <w:t>Smaldino, P. E. (2017). Models Are Stupid, and We Need More of</w:t>
      </w:r>
      <w:r>
        <w:t xml:space="preserve"> Them. In R. R. Vallacher, S. J. Read, &amp; A. Nowak (Eds.), </w:t>
      </w:r>
      <w:r>
        <w:rPr>
          <w:i/>
        </w:rPr>
        <w:t>Computational Social Psychology</w:t>
      </w:r>
      <w:r>
        <w:t xml:space="preserve"> (1st ed., pp. 311–331). Routledge. </w:t>
      </w:r>
      <w:hyperlink r:id="rId33">
        <w:r>
          <w:rPr>
            <w:rStyle w:val="Hyperlink"/>
          </w:rPr>
          <w:t>https://doi.org/10.4324/9781315173726-14</w:t>
        </w:r>
      </w:hyperlink>
    </w:p>
    <w:p w:rsidR="00432FFC" w:rsidRDefault="00A70FF5">
      <w:pPr>
        <w:pStyle w:val="Bibliography"/>
      </w:pPr>
      <w:bookmarkStart w:id="136" w:name="ref-soltEconomicInequalityRelative2011"/>
      <w:bookmarkEnd w:id="135"/>
      <w:r>
        <w:t xml:space="preserve">Solt, F., Habel, P., &amp; Grant, </w:t>
      </w:r>
      <w:r>
        <w:t xml:space="preserve">J. T. (2011). Economic inequality, relative power, and religiosity. </w:t>
      </w:r>
      <w:r>
        <w:rPr>
          <w:i/>
        </w:rPr>
        <w:t>Social Science Quarterly</w:t>
      </w:r>
      <w:r>
        <w:t xml:space="preserve">, </w:t>
      </w:r>
      <w:r>
        <w:rPr>
          <w:i/>
        </w:rPr>
        <w:t>92</w:t>
      </w:r>
      <w:r>
        <w:t>(2), 447–465.</w:t>
      </w:r>
    </w:p>
    <w:p w:rsidR="00432FFC" w:rsidRDefault="00A70FF5">
      <w:pPr>
        <w:pStyle w:val="Bibliography"/>
      </w:pPr>
      <w:bookmarkStart w:id="137" w:name="X5570ba60dcd5a809543bfd93c662a367d8835cc"/>
      <w:bookmarkEnd w:id="136"/>
      <w:r>
        <w:t xml:space="preserve">Toplak, M. E., West, R. F., &amp; Stanovich, K. E. (2014). Assessing miserly information processing: An expansion of the Cognitive Reflection Test. </w:t>
      </w:r>
      <w:r>
        <w:rPr>
          <w:i/>
        </w:rPr>
        <w:t>Th</w:t>
      </w:r>
      <w:r>
        <w:rPr>
          <w:i/>
        </w:rPr>
        <w:t>inking &amp; Reasoning</w:t>
      </w:r>
      <w:r>
        <w:t xml:space="preserve">, </w:t>
      </w:r>
      <w:r>
        <w:rPr>
          <w:i/>
        </w:rPr>
        <w:t>20</w:t>
      </w:r>
      <w:r>
        <w:t>(2), 147–168.</w:t>
      </w:r>
    </w:p>
    <w:p w:rsidR="00432FFC" w:rsidRDefault="00A70FF5">
      <w:pPr>
        <w:pStyle w:val="Bibliography"/>
      </w:pPr>
      <w:bookmarkStart w:id="138" w:name="ref-vailExploringExistentialFunction2012"/>
      <w:bookmarkEnd w:id="137"/>
      <w:r>
        <w:t xml:space="preserve">Vail, K. E., Arndt, J., &amp; Abdollahi, A. (2012). Exploring the existential function of religion and supernatural agent beliefs among Christians, Muslims, Atheists, and Agnostics. </w:t>
      </w:r>
      <w:r>
        <w:rPr>
          <w:i/>
        </w:rPr>
        <w:t>Personality and Social Psychology Bulletin</w:t>
      </w:r>
      <w:r>
        <w:t xml:space="preserve">, </w:t>
      </w:r>
      <w:r>
        <w:rPr>
          <w:i/>
        </w:rPr>
        <w:t>38</w:t>
      </w:r>
      <w:r>
        <w:t>(10), 1288–1300.</w:t>
      </w:r>
    </w:p>
    <w:p w:rsidR="00432FFC" w:rsidRDefault="00A70FF5">
      <w:pPr>
        <w:pStyle w:val="Bibliography"/>
      </w:pPr>
      <w:bookmarkStart w:id="139" w:name="ref-vohsPreregisteredParadigmaticTest"/>
      <w:bookmarkEnd w:id="138"/>
      <w:r>
        <w:t xml:space="preserve">Vohs, K. D., Schmeichel, B. J., Lohmann, S., Gronau, Q. F., Finley, A. J., Gervais, W. M., Wagenmakers, E.-J., &amp; Albarracín, D. (n.d.). A preregistered paradigmatic test of the ego depletion effect. </w:t>
      </w:r>
      <w:r>
        <w:rPr>
          <w:i/>
        </w:rPr>
        <w:t>Preprint</w:t>
      </w:r>
      <w:r>
        <w:t>.</w:t>
      </w:r>
    </w:p>
    <w:p w:rsidR="00432FFC" w:rsidRDefault="00A70FF5">
      <w:pPr>
        <w:pStyle w:val="Bibliography"/>
      </w:pPr>
      <w:bookmarkStart w:id="140" w:name="Xa20c1f843ed607c928d991f34aeb3a35428f432"/>
      <w:bookmarkEnd w:id="139"/>
      <w:r>
        <w:lastRenderedPageBreak/>
        <w:t>Wagenmakers, E.-J., Morey,</w:t>
      </w:r>
      <w:r>
        <w:t xml:space="preserve"> R. D., &amp; Lee, M. D. (2016). Bayesian benefits for the pragmatic researcher. </w:t>
      </w:r>
      <w:r>
        <w:rPr>
          <w:i/>
        </w:rPr>
        <w:t>Current Directions in Psychological Science</w:t>
      </w:r>
      <w:r>
        <w:t xml:space="preserve">, </w:t>
      </w:r>
      <w:r>
        <w:rPr>
          <w:i/>
        </w:rPr>
        <w:t>25</w:t>
      </w:r>
      <w:r>
        <w:t>(3), 169–176.</w:t>
      </w:r>
    </w:p>
    <w:p w:rsidR="00432FFC" w:rsidRDefault="00A70FF5">
      <w:pPr>
        <w:pStyle w:val="Bibliography"/>
      </w:pPr>
      <w:bookmarkStart w:id="141" w:name="ref-wattsBroadSupernaturalPunishment2015"/>
      <w:bookmarkEnd w:id="140"/>
      <w:r>
        <w:t>Watts, J., Greenhill, S. J., Atkinson, Q. D., Currie, T. E., Bulbulia, J., &amp; Gray, R. D. (2015). Broad supernatural pu</w:t>
      </w:r>
      <w:r>
        <w:t xml:space="preserve">nishment but not moralizing high gods precede the evolution of political complexity in Austronesia. </w:t>
      </w:r>
      <w:r>
        <w:rPr>
          <w:i/>
        </w:rPr>
        <w:t>Proceedings of the Royal Society of London B: Biological Sciences</w:t>
      </w:r>
      <w:r>
        <w:t xml:space="preserve">, </w:t>
      </w:r>
      <w:r>
        <w:rPr>
          <w:i/>
        </w:rPr>
        <w:t>282</w:t>
      </w:r>
      <w:r>
        <w:t>(1804), 20142556.</w:t>
      </w:r>
    </w:p>
    <w:p w:rsidR="00432FFC" w:rsidRDefault="00A70FF5">
      <w:pPr>
        <w:pStyle w:val="Bibliography"/>
      </w:pPr>
      <w:bookmarkStart w:id="142" w:name="X9cd3781f7a22a782eb0cd5848ae53ee13873035"/>
      <w:bookmarkEnd w:id="141"/>
      <w:r>
        <w:t>Willard, A. K., &amp; Cingl, L. (2017). Testing theories of secularizati</w:t>
      </w:r>
      <w:r>
        <w:t xml:space="preserve">on and religious belief in the Czech Republic and Slovakia. </w:t>
      </w:r>
      <w:r>
        <w:rPr>
          <w:i/>
        </w:rPr>
        <w:t>Evolution and Human Behavior</w:t>
      </w:r>
      <w:r>
        <w:t xml:space="preserve">, </w:t>
      </w:r>
      <w:r>
        <w:rPr>
          <w:i/>
        </w:rPr>
        <w:t>38</w:t>
      </w:r>
      <w:r>
        <w:t xml:space="preserve">(5), 604–615. </w:t>
      </w:r>
      <w:hyperlink r:id="rId34">
        <w:r>
          <w:rPr>
            <w:rStyle w:val="Hyperlink"/>
          </w:rPr>
          <w:t>https://doi.org/10.1016/j.evolhumbehav.2017.01.002</w:t>
        </w:r>
      </w:hyperlink>
    </w:p>
    <w:p w:rsidR="00432FFC" w:rsidRDefault="00A70FF5">
      <w:pPr>
        <w:pStyle w:val="Bibliography"/>
      </w:pPr>
      <w:bookmarkStart w:id="143" w:name="ref-willardMemoryBeliefTransmission2016"/>
      <w:bookmarkEnd w:id="142"/>
      <w:r>
        <w:t xml:space="preserve">Willard, A. K., Henrich, J., </w:t>
      </w:r>
      <w:r>
        <w:t xml:space="preserve">&amp; Norenzayan, A. (2016). Memory and Belief in the Transmission of Counterintuitive Content. </w:t>
      </w:r>
      <w:r>
        <w:rPr>
          <w:i/>
        </w:rPr>
        <w:t>Human Nature</w:t>
      </w:r>
      <w:r>
        <w:t xml:space="preserve">, </w:t>
      </w:r>
      <w:r>
        <w:rPr>
          <w:i/>
        </w:rPr>
        <w:t>27</w:t>
      </w:r>
      <w:r>
        <w:t xml:space="preserve">(3), 221–243. </w:t>
      </w:r>
      <w:hyperlink r:id="rId35">
        <w:r>
          <w:rPr>
            <w:rStyle w:val="Hyperlink"/>
          </w:rPr>
          <w:t>https://doi.org/10.1007/s12110-016-9259-6</w:t>
        </w:r>
      </w:hyperlink>
    </w:p>
    <w:p w:rsidR="00432FFC" w:rsidRDefault="00A70FF5">
      <w:pPr>
        <w:pStyle w:val="Bibliography"/>
      </w:pPr>
      <w:bookmarkStart w:id="144" w:name="ref-willardCognitiveBiasesExplain2013"/>
      <w:bookmarkEnd w:id="143"/>
      <w:r>
        <w:t>Willard, A. K., &amp; Norenzayan, A</w:t>
      </w:r>
      <w:r>
        <w:t xml:space="preserve">. (2013). Cognitive biases explain religious belief, paranormal belief, and belief in life’s purpose. </w:t>
      </w:r>
      <w:r>
        <w:rPr>
          <w:i/>
        </w:rPr>
        <w:t>Cognition</w:t>
      </w:r>
      <w:r>
        <w:t xml:space="preserve">, </w:t>
      </w:r>
      <w:r>
        <w:rPr>
          <w:i/>
        </w:rPr>
        <w:t>129</w:t>
      </w:r>
      <w:r>
        <w:t xml:space="preserve">(2), 379–391. </w:t>
      </w:r>
      <w:hyperlink r:id="rId36">
        <w:r>
          <w:rPr>
            <w:rStyle w:val="Hyperlink"/>
          </w:rPr>
          <w:t>https://doi.org/10.1016/j.cognition.2013.07.016</w:t>
        </w:r>
      </w:hyperlink>
    </w:p>
    <w:p w:rsidR="00432FFC" w:rsidRDefault="00A70FF5">
      <w:pPr>
        <w:pStyle w:val="Bibliography"/>
      </w:pPr>
      <w:bookmarkStart w:id="145" w:name="X060db4dd7ec4380fda4f2983decdb361c78c3c0"/>
      <w:bookmarkEnd w:id="144"/>
      <w:r>
        <w:t xml:space="preserve">Zuckerman, </w:t>
      </w:r>
      <w:r>
        <w:t xml:space="preserve">P. (2007). </w:t>
      </w:r>
      <w:r>
        <w:rPr>
          <w:i/>
        </w:rPr>
        <w:t>Atheism: Contemporary numbers and patterns</w:t>
      </w:r>
      <w:r>
        <w:t>.</w:t>
      </w:r>
      <w:bookmarkEnd w:id="56"/>
      <w:bookmarkEnd w:id="145"/>
      <w:bookmarkEnd w:id="54"/>
    </w:p>
    <w:sectPr w:rsidR="00432F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FF5" w:rsidRDefault="00A70FF5">
      <w:pPr>
        <w:spacing w:after="0"/>
      </w:pPr>
      <w:r>
        <w:separator/>
      </w:r>
    </w:p>
  </w:endnote>
  <w:endnote w:type="continuationSeparator" w:id="0">
    <w:p w:rsidR="00A70FF5" w:rsidRDefault="00A70F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FF5" w:rsidRDefault="00A70FF5">
      <w:r>
        <w:separator/>
      </w:r>
    </w:p>
  </w:footnote>
  <w:footnote w:type="continuationSeparator" w:id="0">
    <w:p w:rsidR="00A70FF5" w:rsidRDefault="00A70FF5">
      <w:r>
        <w:continuationSeparator/>
      </w:r>
    </w:p>
  </w:footnote>
  <w:footnote w:id="1">
    <w:p w:rsidR="00432FFC" w:rsidRDefault="00A70FF5">
      <w:pPr>
        <w:pStyle w:val="FootnoteText"/>
      </w:pPr>
      <w:r>
        <w:rPr>
          <w:rStyle w:val="FootnoteReference"/>
        </w:rPr>
        <w:footnoteRef/>
      </w:r>
      <w:r>
        <w:t xml:space="preserve"> </w:t>
      </w:r>
      <w:r>
        <w:t>Though highly cited and widely discussed, there is a lack of actual empirical evidence supporting a Hyperactive Agency Detection Device and its contribution to religious cognition. Anecdotally, many-to-most graduate students in cognitive science of religio</w:t>
      </w:r>
      <w:r>
        <w:t>n have tried these studies to no avail.</w:t>
      </w:r>
    </w:p>
  </w:footnote>
  <w:footnote w:id="2">
    <w:p w:rsidR="00432FFC" w:rsidRDefault="00A70FF5">
      <w:pPr>
        <w:pStyle w:val="FootnoteText"/>
      </w:pPr>
      <w:r>
        <w:rPr>
          <w:rStyle w:val="FootnoteReference"/>
        </w:rPr>
        <w:footnoteRef/>
      </w:r>
      <w:r>
        <w:t xml:space="preserve"> Prominent scholars of this tradition claim, for example, that atheism “require[s]…cognitive effort” (Barrett, 2010) and that “disbelief is generally the result of deliberate, effortful work” (Boyer, 2008), strong c</w:t>
      </w:r>
      <w:r>
        <w:t>laims for the primacy of analytic atheism.</w:t>
      </w:r>
    </w:p>
  </w:footnote>
  <w:footnote w:id="3">
    <w:p w:rsidR="00432FFC" w:rsidRDefault="00A70FF5">
      <w:pPr>
        <w:pStyle w:val="FootnoteText"/>
      </w:pPr>
      <w:r>
        <w:rPr>
          <w:rStyle w:val="FootnoteReference"/>
        </w:rPr>
        <w:footnoteRef/>
      </w:r>
      <w:r>
        <w:t xml:space="preserve"> Values in brackets are 97% highest posterior density interval (HPDI).</w:t>
      </w:r>
    </w:p>
  </w:footnote>
  <w:footnote w:id="4">
    <w:p w:rsidR="00432FFC" w:rsidRDefault="00A70FF5">
      <w:pPr>
        <w:pStyle w:val="FootnoteText"/>
      </w:pPr>
      <w:r>
        <w:rPr>
          <w:rStyle w:val="FootnoteReference"/>
        </w:rPr>
        <w:footnoteRef/>
      </w:r>
      <w:r>
        <w:t xml:space="preserve"> </w:t>
      </w:r>
      <m:oMath>
        <m:r>
          <m:rPr>
            <m:sty m:val="p"/>
          </m:rPr>
          <w:rPr>
            <w:rFonts w:ascii="Cambria Math" w:hAnsi="Cambria Math"/>
          </w:rPr>
          <m:t>P</m:t>
        </m:r>
        <m:r>
          <w:rPr>
            <w:rFonts w:ascii="Cambria Math" w:hAnsi="Cambria Math"/>
          </w:rPr>
          <m:t>(</m:t>
        </m:r>
        <m:r>
          <w:rPr>
            <w:rFonts w:ascii="Cambria Math" w:hAnsi="Cambria Math"/>
          </w:rPr>
          <m:t>β</m:t>
        </m:r>
        <m:r>
          <w:rPr>
            <w:rFonts w:ascii="Cambria Math" w:hAnsi="Cambria Math"/>
          </w:rPr>
          <m:t>&gt;0∣</m:t>
        </m:r>
        <m:r>
          <w:rPr>
            <w:rFonts w:ascii="Cambria Math" w:hAnsi="Cambria Math"/>
          </w:rPr>
          <m:t>data</m:t>
        </m:r>
        <m:r>
          <w:rPr>
            <w:rFonts w:ascii="Cambria Math" w:hAnsi="Cambria Math"/>
          </w:rPr>
          <m:t>)</m:t>
        </m:r>
      </m:oMath>
      <w:r>
        <w:t xml:space="preserve"> = 1 indicates a posterior probability exceeding .99.</w:t>
      </w:r>
    </w:p>
  </w:footnote>
  <w:footnote w:id="5">
    <w:p w:rsidR="00432FFC" w:rsidRDefault="00A70FF5">
      <w:pPr>
        <w:pStyle w:val="FootnoteText"/>
      </w:pPr>
      <w:r>
        <w:rPr>
          <w:rStyle w:val="FootnoteReference"/>
        </w:rPr>
        <w:footnoteRef/>
      </w:r>
      <w:r>
        <w:t xml:space="preserve"> We preregistered a possible quadratic relationship between mentaliz</w:t>
      </w:r>
      <w:r>
        <w:t>ing and disbelief. For theoretical and statistical reasons, we depart from preregistration and don’t analyze the quadratic here. See online Supplement for further discussion.</w:t>
      </w:r>
    </w:p>
  </w:footnote>
  <w:footnote w:id="6">
    <w:p w:rsidR="00432FFC" w:rsidRDefault="00A70FF5">
      <w:pPr>
        <w:pStyle w:val="FootnoteText"/>
      </w:pPr>
      <w:r>
        <w:rPr>
          <w:rStyle w:val="FootnoteReference"/>
        </w:rPr>
        <w:footnoteRef/>
      </w:r>
      <w:r>
        <w:t xml:space="preserve"> Preregistered analyses probing for interactions with mentalizing yielded nothin</w:t>
      </w:r>
      <w:r>
        <w:t>g of particular note and are summarized in the Online Supplement.</w:t>
      </w:r>
    </w:p>
  </w:footnote>
  <w:footnote w:id="7">
    <w:p w:rsidR="00432FFC" w:rsidRDefault="00A70FF5">
      <w:pPr>
        <w:pStyle w:val="FootnoteText"/>
      </w:pPr>
      <w:r>
        <w:rPr>
          <w:rStyle w:val="FootnoteReference"/>
        </w:rPr>
        <w:footnoteRef/>
      </w:r>
      <w:r>
        <w:t xml:space="preserve"> ‘veories’ are verbal theories, the intuitive verbal models that predominate much of the social sciences.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F5E6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7D0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7BAA232"/>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319F"/>
    <w:rsid w:val="00432FFC"/>
    <w:rsid w:val="004E29B3"/>
    <w:rsid w:val="00590D07"/>
    <w:rsid w:val="00784D58"/>
    <w:rsid w:val="008D6863"/>
    <w:rsid w:val="008F0B30"/>
    <w:rsid w:val="00A70FF5"/>
    <w:rsid w:val="00B86B75"/>
    <w:rsid w:val="00BC48D5"/>
    <w:rsid w:val="00BD1FB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356C6"/>
  <w15:docId w15:val="{E6FBEC59-30D5-9D40-A81D-14E79167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F0B30"/>
    <w:pPr>
      <w:spacing w:after="100"/>
    </w:pPr>
  </w:style>
  <w:style w:type="paragraph" w:styleId="TOC2">
    <w:name w:val="toc 2"/>
    <w:basedOn w:val="Normal"/>
    <w:next w:val="Normal"/>
    <w:autoRedefine/>
    <w:uiPriority w:val="39"/>
    <w:unhideWhenUsed/>
    <w:rsid w:val="008F0B30"/>
    <w:pPr>
      <w:spacing w:after="100"/>
      <w:ind w:left="240"/>
    </w:pPr>
  </w:style>
  <w:style w:type="paragraph" w:styleId="TOC3">
    <w:name w:val="toc 3"/>
    <w:basedOn w:val="Normal"/>
    <w:next w:val="Normal"/>
    <w:autoRedefine/>
    <w:uiPriority w:val="39"/>
    <w:unhideWhenUsed/>
    <w:rsid w:val="008F0B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religion.2009.11.001" TargetMode="External"/><Relationship Id="rId18" Type="http://schemas.openxmlformats.org/officeDocument/2006/relationships/hyperlink" Target="https://doi.org/10.1371/journal.pone.0092302" TargetMode="External"/><Relationship Id="rId26" Type="http://schemas.openxmlformats.org/officeDocument/2006/relationships/hyperlink" Target="https://doi.org/10.1371/journal.pone.0182764" TargetMode="External"/><Relationship Id="rId21" Type="http://schemas.openxmlformats.org/officeDocument/2006/relationships/hyperlink" Target="https://doi.org/10.31234/osf.io/vqu2x" TargetMode="External"/><Relationship Id="rId34" Type="http://schemas.openxmlformats.org/officeDocument/2006/relationships/hyperlink" Target="https://doi.org/10.1016/j.evolhumbehav.2017.01.002" TargetMode="External"/><Relationship Id="rId7" Type="http://schemas.openxmlformats.org/officeDocument/2006/relationships/hyperlink" Target="https://osf.io/kfasv" TargetMode="External"/><Relationship Id="rId12" Type="http://schemas.openxmlformats.org/officeDocument/2006/relationships/hyperlink" Target="https://doi.org/10.1016/j.religion.2009.11.002" TargetMode="External"/><Relationship Id="rId17" Type="http://schemas.openxmlformats.org/officeDocument/2006/relationships/hyperlink" Target="https://doi.org/10.1016/j.religion.2009.11.003" TargetMode="External"/><Relationship Id="rId25" Type="http://schemas.openxmlformats.org/officeDocument/2006/relationships/hyperlink" Target="https://doi.org/10.1016/j.tics.2015.08.005" TargetMode="External"/><Relationship Id="rId33" Type="http://schemas.openxmlformats.org/officeDocument/2006/relationships/hyperlink" Target="https://doi.org/10.4324/9781315173726-1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257/089533005775196732" TargetMode="External"/><Relationship Id="rId20" Type="http://schemas.openxmlformats.org/officeDocument/2006/relationships/hyperlink" Target="https://doi.org/10.1017/S0140525X0999152X" TargetMode="External"/><Relationship Id="rId29" Type="http://schemas.openxmlformats.org/officeDocument/2006/relationships/hyperlink" Target="https://doi.org/10.1007/s42113-018-0019-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kfasv" TargetMode="External"/><Relationship Id="rId24" Type="http://schemas.openxmlformats.org/officeDocument/2006/relationships/hyperlink" Target="https://doi.org/10.1111/j.1467-8624.2012.01743.x" TargetMode="External"/><Relationship Id="rId32" Type="http://schemas.openxmlformats.org/officeDocument/2006/relationships/hyperlink" Target="https://doi.org/10.1038/d41586-019-03350-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6/cogp.2001.0749" TargetMode="External"/><Relationship Id="rId23" Type="http://schemas.openxmlformats.org/officeDocument/2006/relationships/hyperlink" Target="https://doi.org/10.1017/S0140525X14000090" TargetMode="External"/><Relationship Id="rId28" Type="http://schemas.openxmlformats.org/officeDocument/2006/relationships/hyperlink" Target="https://doi.org/10.1038/s41562-018-0522-1" TargetMode="External"/><Relationship Id="rId36" Type="http://schemas.openxmlformats.org/officeDocument/2006/relationships/hyperlink" Target="https://doi.org/10.1016/j.cognition.2013.07.016" TargetMode="External"/><Relationship Id="rId10" Type="http://schemas.openxmlformats.org/officeDocument/2006/relationships/hyperlink" Target="https://github.com/wgervais/disbelief-origins" TargetMode="External"/><Relationship Id="rId19" Type="http://schemas.openxmlformats.org/officeDocument/2006/relationships/hyperlink" Target="https://doi.org/10.1016/j.evolhumbehav.2009.03.005" TargetMode="External"/><Relationship Id="rId31" Type="http://schemas.openxmlformats.org/officeDocument/2006/relationships/hyperlink" Target="https://doi.org/10.1016/j.tics.2010.12.002" TargetMode="External"/><Relationship Id="rId4" Type="http://schemas.openxmlformats.org/officeDocument/2006/relationships/webSettings" Target="webSettings.xml"/><Relationship Id="rId9" Type="http://schemas.openxmlformats.org/officeDocument/2006/relationships/hyperlink" Target="https://github.com/wgervais/disbelief-origins" TargetMode="External"/><Relationship Id="rId14" Type="http://schemas.openxmlformats.org/officeDocument/2006/relationships/hyperlink" Target="https://doi.org/10.1371/journal.pone.0216125" TargetMode="External"/><Relationship Id="rId22" Type="http://schemas.openxmlformats.org/officeDocument/2006/relationships/hyperlink" Target="https://doi.org/10.1111/1467-6494.00078" TargetMode="External"/><Relationship Id="rId27" Type="http://schemas.openxmlformats.org/officeDocument/2006/relationships/hyperlink" Target="https://doi.org/10.1017/S0140525X06009083" TargetMode="External"/><Relationship Id="rId30" Type="http://schemas.openxmlformats.org/officeDocument/2006/relationships/hyperlink" Target="https://doi.org/10.1073/pnas.1721165115" TargetMode="External"/><Relationship Id="rId35" Type="http://schemas.openxmlformats.org/officeDocument/2006/relationships/hyperlink" Target="https://doi.org/10.1007/s12110-016-9259-6" TargetMode="External"/><Relationship Id="rId8" Type="http://schemas.openxmlformats.org/officeDocument/2006/relationships/hyperlink" Target="https://github.com/wgervais/disbelief-origi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7915</Words>
  <Characters>45122</Characters>
  <Application>Microsoft Office Word</Application>
  <DocSecurity>0</DocSecurity>
  <Lines>376</Lines>
  <Paragraphs>105</Paragraphs>
  <ScaleCrop>false</ScaleCrop>
  <Company/>
  <LinksUpToDate>false</LinksUpToDate>
  <CharactersWithSpaces>52932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Origins of Religious Disbelief: A Dual Inheritance Approach</dc:title>
  <dc:creator>Dub L. Blinded, Esq.</dc:creator>
  <cp:keywords/>
  <cp:lastModifiedBy>Gervais, Will M</cp:lastModifiedBy>
  <cp:revision>4</cp:revision>
  <dcterms:created xsi:type="dcterms:W3CDTF">2020-03-31T21:54:00Z</dcterms:created>
  <dcterms:modified xsi:type="dcterms:W3CDTF">2020-03-31T21:59:00Z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BAMLabLib.bib</vt:lpwstr>
  </property>
  <property fmtid="{D5CDD505-2E9C-101B-9397-08002B2CF9AE}" pid="4" name="csl">
    <vt:lpwstr>apa.csl</vt:lpwstr>
  </property>
  <property fmtid="{D5CDD505-2E9C-101B-9397-08002B2CF9AE}" pid="5" name="date">
    <vt:lpwstr>April 2020</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toc">
    <vt:lpwstr>True</vt:lpwstr>
  </property>
</Properties>
</file>