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8CE64" w14:textId="77777777" w:rsidR="00EE487F" w:rsidRPr="00BE673E" w:rsidRDefault="007914FE">
      <w:pPr>
        <w:pStyle w:val="Title"/>
        <w:rPr>
          <w:rFonts w:ascii="Garamond" w:hAnsi="Garamond"/>
          <w:color w:val="000000" w:themeColor="text1"/>
        </w:rPr>
      </w:pPr>
      <w:r w:rsidRPr="00BE673E">
        <w:rPr>
          <w:rFonts w:ascii="Garamond" w:hAnsi="Garamond"/>
          <w:color w:val="000000" w:themeColor="text1"/>
        </w:rPr>
        <w:t>Supplement: Origins of Disbelief</w:t>
      </w:r>
    </w:p>
    <w:p w14:paraId="58129649" w14:textId="77777777" w:rsidR="00EE487F" w:rsidRPr="00BE673E" w:rsidRDefault="007914FE">
      <w:pPr>
        <w:pStyle w:val="Date"/>
        <w:rPr>
          <w:rFonts w:ascii="Garamond" w:hAnsi="Garamond"/>
          <w:color w:val="000000" w:themeColor="text1"/>
        </w:rPr>
      </w:pPr>
      <w:r w:rsidRPr="00BE673E">
        <w:rPr>
          <w:rFonts w:ascii="Garamond" w:hAnsi="Garamond"/>
          <w:color w:val="000000" w:themeColor="text1"/>
        </w:rPr>
        <w:t>September 2020</w:t>
      </w:r>
    </w:p>
    <w:sdt>
      <w:sdtPr>
        <w:rPr>
          <w:rFonts w:ascii="Garamond" w:eastAsiaTheme="minorHAnsi" w:hAnsi="Garamond" w:cstheme="minorBidi"/>
          <w:color w:val="000000" w:themeColor="text1"/>
          <w:sz w:val="24"/>
          <w:szCs w:val="24"/>
        </w:rPr>
        <w:id w:val="885462140"/>
        <w:docPartObj>
          <w:docPartGallery w:val="Table of Contents"/>
          <w:docPartUnique/>
        </w:docPartObj>
      </w:sdtPr>
      <w:sdtEndPr/>
      <w:sdtContent>
        <w:p w14:paraId="5C1C650E" w14:textId="77777777" w:rsidR="00EE487F" w:rsidRPr="00BE673E" w:rsidRDefault="007914FE">
          <w:pPr>
            <w:pStyle w:val="TOCHeading"/>
            <w:rPr>
              <w:rFonts w:ascii="Garamond" w:hAnsi="Garamond"/>
              <w:color w:val="000000" w:themeColor="text1"/>
            </w:rPr>
          </w:pPr>
          <w:r w:rsidRPr="00BE673E">
            <w:rPr>
              <w:rFonts w:ascii="Garamond" w:hAnsi="Garamond"/>
              <w:color w:val="000000" w:themeColor="text1"/>
            </w:rPr>
            <w:t>Table of Contents</w:t>
          </w:r>
        </w:p>
        <w:p w14:paraId="485DB190" w14:textId="77777777" w:rsidR="00BE673E" w:rsidRPr="00BE673E" w:rsidRDefault="007914FE">
          <w:pPr>
            <w:pStyle w:val="TOC1"/>
            <w:tabs>
              <w:tab w:val="right" w:leader="dot" w:pos="9350"/>
            </w:tabs>
            <w:rPr>
              <w:rFonts w:ascii="Garamond" w:hAnsi="Garamond"/>
              <w:noProof/>
              <w:color w:val="000000" w:themeColor="text1"/>
            </w:rPr>
          </w:pPr>
          <w:r w:rsidRPr="00BE673E">
            <w:rPr>
              <w:rFonts w:ascii="Garamond" w:hAnsi="Garamond"/>
              <w:color w:val="000000" w:themeColor="text1"/>
            </w:rPr>
            <w:fldChar w:fldCharType="begin"/>
          </w:r>
          <w:r w:rsidRPr="00BE673E">
            <w:rPr>
              <w:rFonts w:ascii="Garamond" w:hAnsi="Garamond"/>
              <w:color w:val="000000" w:themeColor="text1"/>
            </w:rPr>
            <w:instrText>TOC \o "1-3" \h \z \u</w:instrText>
          </w:r>
          <w:r w:rsidR="00BE673E" w:rsidRPr="00BE673E">
            <w:rPr>
              <w:rFonts w:ascii="Garamond" w:hAnsi="Garamond"/>
              <w:color w:val="000000" w:themeColor="text1"/>
            </w:rPr>
            <w:fldChar w:fldCharType="separate"/>
          </w:r>
          <w:hyperlink w:anchor="_Toc51753154" w:history="1">
            <w:r w:rsidR="00BE673E" w:rsidRPr="00BE673E">
              <w:rPr>
                <w:rStyle w:val="Hyperlink"/>
                <w:rFonts w:ascii="Garamond" w:hAnsi="Garamond"/>
                <w:noProof/>
                <w:color w:val="000000" w:themeColor="text1"/>
              </w:rPr>
              <w:t>The Preregistration</w:t>
            </w:r>
            <w:r w:rsidR="00BE673E" w:rsidRPr="00BE673E">
              <w:rPr>
                <w:rFonts w:ascii="Garamond" w:hAnsi="Garamond"/>
                <w:noProof/>
                <w:webHidden/>
                <w:color w:val="000000" w:themeColor="text1"/>
              </w:rPr>
              <w:tab/>
            </w:r>
            <w:r w:rsidR="00BE673E" w:rsidRPr="00BE673E">
              <w:rPr>
                <w:rFonts w:ascii="Garamond" w:hAnsi="Garamond"/>
                <w:noProof/>
                <w:webHidden/>
                <w:color w:val="000000" w:themeColor="text1"/>
              </w:rPr>
              <w:fldChar w:fldCharType="begin"/>
            </w:r>
            <w:r w:rsidR="00BE673E" w:rsidRPr="00BE673E">
              <w:rPr>
                <w:rFonts w:ascii="Garamond" w:hAnsi="Garamond"/>
                <w:noProof/>
                <w:webHidden/>
                <w:color w:val="000000" w:themeColor="text1"/>
              </w:rPr>
              <w:instrText xml:space="preserve"> PAGEREF _Toc51753154 \h </w:instrText>
            </w:r>
            <w:r w:rsidR="00BE673E" w:rsidRPr="00BE673E">
              <w:rPr>
                <w:rFonts w:ascii="Garamond" w:hAnsi="Garamond"/>
                <w:noProof/>
                <w:webHidden/>
                <w:color w:val="000000" w:themeColor="text1"/>
              </w:rPr>
            </w:r>
            <w:r w:rsidR="00BE673E" w:rsidRPr="00BE673E">
              <w:rPr>
                <w:rFonts w:ascii="Garamond" w:hAnsi="Garamond"/>
                <w:noProof/>
                <w:webHidden/>
                <w:color w:val="000000" w:themeColor="text1"/>
              </w:rPr>
              <w:fldChar w:fldCharType="separate"/>
            </w:r>
            <w:r w:rsidR="00BE673E" w:rsidRPr="00BE673E">
              <w:rPr>
                <w:rFonts w:ascii="Garamond" w:hAnsi="Garamond"/>
                <w:noProof/>
                <w:webHidden/>
                <w:color w:val="000000" w:themeColor="text1"/>
              </w:rPr>
              <w:t>2</w:t>
            </w:r>
            <w:r w:rsidR="00BE673E" w:rsidRPr="00BE673E">
              <w:rPr>
                <w:rFonts w:ascii="Garamond" w:hAnsi="Garamond"/>
                <w:noProof/>
                <w:webHidden/>
                <w:color w:val="000000" w:themeColor="text1"/>
              </w:rPr>
              <w:fldChar w:fldCharType="end"/>
            </w:r>
          </w:hyperlink>
        </w:p>
        <w:p w14:paraId="4D71B53B" w14:textId="77777777" w:rsidR="00BE673E" w:rsidRPr="00BE673E" w:rsidRDefault="00BE673E">
          <w:pPr>
            <w:pStyle w:val="TOC1"/>
            <w:tabs>
              <w:tab w:val="right" w:leader="dot" w:pos="9350"/>
            </w:tabs>
            <w:rPr>
              <w:rFonts w:ascii="Garamond" w:hAnsi="Garamond"/>
              <w:noProof/>
              <w:color w:val="000000" w:themeColor="text1"/>
            </w:rPr>
          </w:pPr>
          <w:hyperlink w:anchor="_Toc51753155" w:history="1">
            <w:r w:rsidRPr="00BE673E">
              <w:rPr>
                <w:rStyle w:val="Hyperlink"/>
                <w:rFonts w:ascii="Garamond" w:hAnsi="Garamond"/>
                <w:noProof/>
                <w:color w:val="000000" w:themeColor="text1"/>
              </w:rPr>
              <w:t>Departure from preregistration</w:t>
            </w:r>
            <w:r w:rsidRPr="00BE673E">
              <w:rPr>
                <w:rFonts w:ascii="Garamond" w:hAnsi="Garamond"/>
                <w:noProof/>
                <w:webHidden/>
                <w:color w:val="000000" w:themeColor="text1"/>
              </w:rPr>
              <w:tab/>
            </w:r>
            <w:r w:rsidRPr="00BE673E">
              <w:rPr>
                <w:rFonts w:ascii="Garamond" w:hAnsi="Garamond"/>
                <w:noProof/>
                <w:webHidden/>
                <w:color w:val="000000" w:themeColor="text1"/>
              </w:rPr>
              <w:fldChar w:fldCharType="begin"/>
            </w:r>
            <w:r w:rsidRPr="00BE673E">
              <w:rPr>
                <w:rFonts w:ascii="Garamond" w:hAnsi="Garamond"/>
                <w:noProof/>
                <w:webHidden/>
                <w:color w:val="000000" w:themeColor="text1"/>
              </w:rPr>
              <w:instrText xml:space="preserve"> PAGEREF _Toc51753155 \h </w:instrText>
            </w:r>
            <w:r w:rsidRPr="00BE673E">
              <w:rPr>
                <w:rFonts w:ascii="Garamond" w:hAnsi="Garamond"/>
                <w:noProof/>
                <w:webHidden/>
                <w:color w:val="000000" w:themeColor="text1"/>
              </w:rPr>
            </w:r>
            <w:r w:rsidRPr="00BE673E">
              <w:rPr>
                <w:rFonts w:ascii="Garamond" w:hAnsi="Garamond"/>
                <w:noProof/>
                <w:webHidden/>
                <w:color w:val="000000" w:themeColor="text1"/>
              </w:rPr>
              <w:fldChar w:fldCharType="separate"/>
            </w:r>
            <w:r w:rsidRPr="00BE673E">
              <w:rPr>
                <w:rFonts w:ascii="Garamond" w:hAnsi="Garamond"/>
                <w:noProof/>
                <w:webHidden/>
                <w:color w:val="000000" w:themeColor="text1"/>
              </w:rPr>
              <w:t>2</w:t>
            </w:r>
            <w:r w:rsidRPr="00BE673E">
              <w:rPr>
                <w:rFonts w:ascii="Garamond" w:hAnsi="Garamond"/>
                <w:noProof/>
                <w:webHidden/>
                <w:color w:val="000000" w:themeColor="text1"/>
              </w:rPr>
              <w:fldChar w:fldCharType="end"/>
            </w:r>
          </w:hyperlink>
        </w:p>
        <w:p w14:paraId="1E42830F" w14:textId="77777777" w:rsidR="00BE673E" w:rsidRPr="00BE673E" w:rsidRDefault="00BE673E">
          <w:pPr>
            <w:pStyle w:val="TOC2"/>
            <w:tabs>
              <w:tab w:val="right" w:leader="dot" w:pos="9350"/>
            </w:tabs>
            <w:rPr>
              <w:rFonts w:ascii="Garamond" w:hAnsi="Garamond"/>
              <w:noProof/>
              <w:color w:val="000000" w:themeColor="text1"/>
            </w:rPr>
          </w:pPr>
          <w:hyperlink w:anchor="_Toc51753156" w:history="1">
            <w:r w:rsidRPr="00BE673E">
              <w:rPr>
                <w:rStyle w:val="Hyperlink"/>
                <w:rFonts w:ascii="Garamond" w:hAnsi="Garamond"/>
                <w:noProof/>
                <w:color w:val="000000" w:themeColor="text1"/>
              </w:rPr>
              <w:t>Exploration and Machine Learning</w:t>
            </w:r>
            <w:r w:rsidRPr="00BE673E">
              <w:rPr>
                <w:rFonts w:ascii="Garamond" w:hAnsi="Garamond"/>
                <w:noProof/>
                <w:webHidden/>
                <w:color w:val="000000" w:themeColor="text1"/>
              </w:rPr>
              <w:tab/>
            </w:r>
            <w:r w:rsidRPr="00BE673E">
              <w:rPr>
                <w:rFonts w:ascii="Garamond" w:hAnsi="Garamond"/>
                <w:noProof/>
                <w:webHidden/>
                <w:color w:val="000000" w:themeColor="text1"/>
              </w:rPr>
              <w:fldChar w:fldCharType="begin"/>
            </w:r>
            <w:r w:rsidRPr="00BE673E">
              <w:rPr>
                <w:rFonts w:ascii="Garamond" w:hAnsi="Garamond"/>
                <w:noProof/>
                <w:webHidden/>
                <w:color w:val="000000" w:themeColor="text1"/>
              </w:rPr>
              <w:instrText xml:space="preserve"> PAGEREF _Toc51753156 \h </w:instrText>
            </w:r>
            <w:r w:rsidRPr="00BE673E">
              <w:rPr>
                <w:rFonts w:ascii="Garamond" w:hAnsi="Garamond"/>
                <w:noProof/>
                <w:webHidden/>
                <w:color w:val="000000" w:themeColor="text1"/>
              </w:rPr>
            </w:r>
            <w:r w:rsidRPr="00BE673E">
              <w:rPr>
                <w:rFonts w:ascii="Garamond" w:hAnsi="Garamond"/>
                <w:noProof/>
                <w:webHidden/>
                <w:color w:val="000000" w:themeColor="text1"/>
              </w:rPr>
              <w:fldChar w:fldCharType="separate"/>
            </w:r>
            <w:r w:rsidRPr="00BE673E">
              <w:rPr>
                <w:rFonts w:ascii="Garamond" w:hAnsi="Garamond"/>
                <w:noProof/>
                <w:webHidden/>
                <w:color w:val="000000" w:themeColor="text1"/>
              </w:rPr>
              <w:t>3</w:t>
            </w:r>
            <w:r w:rsidRPr="00BE673E">
              <w:rPr>
                <w:rFonts w:ascii="Garamond" w:hAnsi="Garamond"/>
                <w:noProof/>
                <w:webHidden/>
                <w:color w:val="000000" w:themeColor="text1"/>
              </w:rPr>
              <w:fldChar w:fldCharType="end"/>
            </w:r>
          </w:hyperlink>
        </w:p>
        <w:p w14:paraId="78AA9C21" w14:textId="77777777" w:rsidR="00BE673E" w:rsidRPr="00BE673E" w:rsidRDefault="00BE673E">
          <w:pPr>
            <w:pStyle w:val="TOC1"/>
            <w:tabs>
              <w:tab w:val="right" w:leader="dot" w:pos="9350"/>
            </w:tabs>
            <w:rPr>
              <w:rFonts w:ascii="Garamond" w:hAnsi="Garamond"/>
              <w:noProof/>
              <w:color w:val="000000" w:themeColor="text1"/>
            </w:rPr>
          </w:pPr>
          <w:hyperlink w:anchor="_Toc51753157" w:history="1">
            <w:r w:rsidRPr="00BE673E">
              <w:rPr>
                <w:rStyle w:val="Hyperlink"/>
                <w:rFonts w:ascii="Garamond" w:hAnsi="Garamond"/>
                <w:noProof/>
                <w:color w:val="000000" w:themeColor="text1"/>
              </w:rPr>
              <w:t>1. Individual Replications</w:t>
            </w:r>
            <w:r w:rsidRPr="00BE673E">
              <w:rPr>
                <w:rFonts w:ascii="Garamond" w:hAnsi="Garamond"/>
                <w:noProof/>
                <w:webHidden/>
                <w:color w:val="000000" w:themeColor="text1"/>
              </w:rPr>
              <w:tab/>
            </w:r>
            <w:r w:rsidRPr="00BE673E">
              <w:rPr>
                <w:rFonts w:ascii="Garamond" w:hAnsi="Garamond"/>
                <w:noProof/>
                <w:webHidden/>
                <w:color w:val="000000" w:themeColor="text1"/>
              </w:rPr>
              <w:fldChar w:fldCharType="begin"/>
            </w:r>
            <w:r w:rsidRPr="00BE673E">
              <w:rPr>
                <w:rFonts w:ascii="Garamond" w:hAnsi="Garamond"/>
                <w:noProof/>
                <w:webHidden/>
                <w:color w:val="000000" w:themeColor="text1"/>
              </w:rPr>
              <w:instrText xml:space="preserve"> PAGEREF _Toc51753157 \h </w:instrText>
            </w:r>
            <w:r w:rsidRPr="00BE673E">
              <w:rPr>
                <w:rFonts w:ascii="Garamond" w:hAnsi="Garamond"/>
                <w:noProof/>
                <w:webHidden/>
                <w:color w:val="000000" w:themeColor="text1"/>
              </w:rPr>
            </w:r>
            <w:r w:rsidRPr="00BE673E">
              <w:rPr>
                <w:rFonts w:ascii="Garamond" w:hAnsi="Garamond"/>
                <w:noProof/>
                <w:webHidden/>
                <w:color w:val="000000" w:themeColor="text1"/>
              </w:rPr>
              <w:fldChar w:fldCharType="separate"/>
            </w:r>
            <w:r w:rsidRPr="00BE673E">
              <w:rPr>
                <w:rFonts w:ascii="Garamond" w:hAnsi="Garamond"/>
                <w:noProof/>
                <w:webHidden/>
                <w:color w:val="000000" w:themeColor="text1"/>
              </w:rPr>
              <w:t>3</w:t>
            </w:r>
            <w:r w:rsidRPr="00BE673E">
              <w:rPr>
                <w:rFonts w:ascii="Garamond" w:hAnsi="Garamond"/>
                <w:noProof/>
                <w:webHidden/>
                <w:color w:val="000000" w:themeColor="text1"/>
              </w:rPr>
              <w:fldChar w:fldCharType="end"/>
            </w:r>
          </w:hyperlink>
        </w:p>
        <w:p w14:paraId="44349B58" w14:textId="77777777" w:rsidR="00BE673E" w:rsidRPr="00BE673E" w:rsidRDefault="00BE673E">
          <w:pPr>
            <w:pStyle w:val="TOC1"/>
            <w:tabs>
              <w:tab w:val="right" w:leader="dot" w:pos="9350"/>
            </w:tabs>
            <w:rPr>
              <w:rFonts w:ascii="Garamond" w:hAnsi="Garamond"/>
              <w:noProof/>
              <w:color w:val="000000" w:themeColor="text1"/>
            </w:rPr>
          </w:pPr>
          <w:hyperlink w:anchor="_Toc51753158" w:history="1">
            <w:r w:rsidRPr="00BE673E">
              <w:rPr>
                <w:rStyle w:val="Hyperlink"/>
                <w:rFonts w:ascii="Garamond" w:hAnsi="Garamond"/>
                <w:noProof/>
                <w:color w:val="000000" w:themeColor="text1"/>
              </w:rPr>
              <w:t>2. Relative Contributions</w:t>
            </w:r>
            <w:r w:rsidRPr="00BE673E">
              <w:rPr>
                <w:rFonts w:ascii="Garamond" w:hAnsi="Garamond"/>
                <w:noProof/>
                <w:webHidden/>
                <w:color w:val="000000" w:themeColor="text1"/>
              </w:rPr>
              <w:tab/>
            </w:r>
            <w:r w:rsidRPr="00BE673E">
              <w:rPr>
                <w:rFonts w:ascii="Garamond" w:hAnsi="Garamond"/>
                <w:noProof/>
                <w:webHidden/>
                <w:color w:val="000000" w:themeColor="text1"/>
              </w:rPr>
              <w:fldChar w:fldCharType="begin"/>
            </w:r>
            <w:r w:rsidRPr="00BE673E">
              <w:rPr>
                <w:rFonts w:ascii="Garamond" w:hAnsi="Garamond"/>
                <w:noProof/>
                <w:webHidden/>
                <w:color w:val="000000" w:themeColor="text1"/>
              </w:rPr>
              <w:instrText xml:space="preserve"> PAGEREF _Toc51753158 \h </w:instrText>
            </w:r>
            <w:r w:rsidRPr="00BE673E">
              <w:rPr>
                <w:rFonts w:ascii="Garamond" w:hAnsi="Garamond"/>
                <w:noProof/>
                <w:webHidden/>
                <w:color w:val="000000" w:themeColor="text1"/>
              </w:rPr>
            </w:r>
            <w:r w:rsidRPr="00BE673E">
              <w:rPr>
                <w:rFonts w:ascii="Garamond" w:hAnsi="Garamond"/>
                <w:noProof/>
                <w:webHidden/>
                <w:color w:val="000000" w:themeColor="text1"/>
              </w:rPr>
              <w:fldChar w:fldCharType="separate"/>
            </w:r>
            <w:r w:rsidRPr="00BE673E">
              <w:rPr>
                <w:rFonts w:ascii="Garamond" w:hAnsi="Garamond"/>
                <w:noProof/>
                <w:webHidden/>
                <w:color w:val="000000" w:themeColor="text1"/>
              </w:rPr>
              <w:t>5</w:t>
            </w:r>
            <w:r w:rsidRPr="00BE673E">
              <w:rPr>
                <w:rFonts w:ascii="Garamond" w:hAnsi="Garamond"/>
                <w:noProof/>
                <w:webHidden/>
                <w:color w:val="000000" w:themeColor="text1"/>
              </w:rPr>
              <w:fldChar w:fldCharType="end"/>
            </w:r>
          </w:hyperlink>
        </w:p>
        <w:p w14:paraId="31385477" w14:textId="77777777" w:rsidR="00BE673E" w:rsidRPr="00BE673E" w:rsidRDefault="00BE673E">
          <w:pPr>
            <w:pStyle w:val="TOC1"/>
            <w:tabs>
              <w:tab w:val="right" w:leader="dot" w:pos="9350"/>
            </w:tabs>
            <w:rPr>
              <w:rFonts w:ascii="Garamond" w:hAnsi="Garamond"/>
              <w:noProof/>
              <w:color w:val="000000" w:themeColor="text1"/>
            </w:rPr>
          </w:pPr>
          <w:hyperlink w:anchor="_Toc51753159" w:history="1">
            <w:r w:rsidRPr="00BE673E">
              <w:rPr>
                <w:rStyle w:val="Hyperlink"/>
                <w:rFonts w:ascii="Garamond" w:hAnsi="Garamond"/>
                <w:noProof/>
                <w:color w:val="000000" w:themeColor="text1"/>
              </w:rPr>
              <w:t>3. Interactions: Mentalizing</w:t>
            </w:r>
            <w:r w:rsidRPr="00BE673E">
              <w:rPr>
                <w:rFonts w:ascii="Garamond" w:hAnsi="Garamond"/>
                <w:noProof/>
                <w:webHidden/>
                <w:color w:val="000000" w:themeColor="text1"/>
              </w:rPr>
              <w:tab/>
            </w:r>
            <w:r w:rsidRPr="00BE673E">
              <w:rPr>
                <w:rFonts w:ascii="Garamond" w:hAnsi="Garamond"/>
                <w:noProof/>
                <w:webHidden/>
                <w:color w:val="000000" w:themeColor="text1"/>
              </w:rPr>
              <w:fldChar w:fldCharType="begin"/>
            </w:r>
            <w:r w:rsidRPr="00BE673E">
              <w:rPr>
                <w:rFonts w:ascii="Garamond" w:hAnsi="Garamond"/>
                <w:noProof/>
                <w:webHidden/>
                <w:color w:val="000000" w:themeColor="text1"/>
              </w:rPr>
              <w:instrText xml:space="preserve"> PAGEREF _Toc51753159 \h </w:instrText>
            </w:r>
            <w:r w:rsidRPr="00BE673E">
              <w:rPr>
                <w:rFonts w:ascii="Garamond" w:hAnsi="Garamond"/>
                <w:noProof/>
                <w:webHidden/>
                <w:color w:val="000000" w:themeColor="text1"/>
              </w:rPr>
            </w:r>
            <w:r w:rsidRPr="00BE673E">
              <w:rPr>
                <w:rFonts w:ascii="Garamond" w:hAnsi="Garamond"/>
                <w:noProof/>
                <w:webHidden/>
                <w:color w:val="000000" w:themeColor="text1"/>
              </w:rPr>
              <w:fldChar w:fldCharType="separate"/>
            </w:r>
            <w:r w:rsidRPr="00BE673E">
              <w:rPr>
                <w:rFonts w:ascii="Garamond" w:hAnsi="Garamond"/>
                <w:noProof/>
                <w:webHidden/>
                <w:color w:val="000000" w:themeColor="text1"/>
              </w:rPr>
              <w:t>6</w:t>
            </w:r>
            <w:r w:rsidRPr="00BE673E">
              <w:rPr>
                <w:rFonts w:ascii="Garamond" w:hAnsi="Garamond"/>
                <w:noProof/>
                <w:webHidden/>
                <w:color w:val="000000" w:themeColor="text1"/>
              </w:rPr>
              <w:fldChar w:fldCharType="end"/>
            </w:r>
          </w:hyperlink>
        </w:p>
        <w:p w14:paraId="590D165F" w14:textId="77777777" w:rsidR="00BE673E" w:rsidRPr="00BE673E" w:rsidRDefault="00BE673E">
          <w:pPr>
            <w:pStyle w:val="TOC1"/>
            <w:tabs>
              <w:tab w:val="right" w:leader="dot" w:pos="9350"/>
            </w:tabs>
            <w:rPr>
              <w:rFonts w:ascii="Garamond" w:hAnsi="Garamond"/>
              <w:noProof/>
              <w:color w:val="000000" w:themeColor="text1"/>
            </w:rPr>
          </w:pPr>
          <w:hyperlink w:anchor="_Toc51753160" w:history="1">
            <w:r w:rsidRPr="00BE673E">
              <w:rPr>
                <w:rStyle w:val="Hyperlink"/>
                <w:rFonts w:ascii="Garamond" w:hAnsi="Garamond"/>
                <w:noProof/>
                <w:color w:val="000000" w:themeColor="text1"/>
              </w:rPr>
              <w:t>References</w:t>
            </w:r>
            <w:r w:rsidRPr="00BE673E">
              <w:rPr>
                <w:rFonts w:ascii="Garamond" w:hAnsi="Garamond"/>
                <w:noProof/>
                <w:webHidden/>
                <w:color w:val="000000" w:themeColor="text1"/>
              </w:rPr>
              <w:tab/>
            </w:r>
            <w:r w:rsidRPr="00BE673E">
              <w:rPr>
                <w:rFonts w:ascii="Garamond" w:hAnsi="Garamond"/>
                <w:noProof/>
                <w:webHidden/>
                <w:color w:val="000000" w:themeColor="text1"/>
              </w:rPr>
              <w:fldChar w:fldCharType="begin"/>
            </w:r>
            <w:r w:rsidRPr="00BE673E">
              <w:rPr>
                <w:rFonts w:ascii="Garamond" w:hAnsi="Garamond"/>
                <w:noProof/>
                <w:webHidden/>
                <w:color w:val="000000" w:themeColor="text1"/>
              </w:rPr>
              <w:instrText xml:space="preserve"> PAGEREF _Toc51753160 \h </w:instrText>
            </w:r>
            <w:r w:rsidRPr="00BE673E">
              <w:rPr>
                <w:rFonts w:ascii="Garamond" w:hAnsi="Garamond"/>
                <w:noProof/>
                <w:webHidden/>
                <w:color w:val="000000" w:themeColor="text1"/>
              </w:rPr>
            </w:r>
            <w:r w:rsidRPr="00BE673E">
              <w:rPr>
                <w:rFonts w:ascii="Garamond" w:hAnsi="Garamond"/>
                <w:noProof/>
                <w:webHidden/>
                <w:color w:val="000000" w:themeColor="text1"/>
              </w:rPr>
              <w:fldChar w:fldCharType="separate"/>
            </w:r>
            <w:r w:rsidRPr="00BE673E">
              <w:rPr>
                <w:rFonts w:ascii="Garamond" w:hAnsi="Garamond"/>
                <w:noProof/>
                <w:webHidden/>
                <w:color w:val="000000" w:themeColor="text1"/>
              </w:rPr>
              <w:t>8</w:t>
            </w:r>
            <w:r w:rsidRPr="00BE673E">
              <w:rPr>
                <w:rFonts w:ascii="Garamond" w:hAnsi="Garamond"/>
                <w:noProof/>
                <w:webHidden/>
                <w:color w:val="000000" w:themeColor="text1"/>
              </w:rPr>
              <w:fldChar w:fldCharType="end"/>
            </w:r>
          </w:hyperlink>
        </w:p>
        <w:p w14:paraId="66201CBE" w14:textId="77777777" w:rsidR="00EE487F" w:rsidRPr="00BE673E" w:rsidRDefault="007914FE">
          <w:pPr>
            <w:rPr>
              <w:rFonts w:ascii="Garamond" w:hAnsi="Garamond"/>
              <w:color w:val="000000" w:themeColor="text1"/>
            </w:rPr>
          </w:pPr>
          <w:r w:rsidRPr="00BE673E">
            <w:rPr>
              <w:rFonts w:ascii="Garamond" w:hAnsi="Garamond"/>
              <w:color w:val="000000" w:themeColor="text1"/>
            </w:rPr>
            <w:fldChar w:fldCharType="end"/>
          </w:r>
        </w:p>
      </w:sdtContent>
    </w:sdt>
    <w:p w14:paraId="78FB83E1" w14:textId="77777777" w:rsidR="00EE487F" w:rsidRPr="00BE673E" w:rsidRDefault="007914FE">
      <w:pPr>
        <w:rPr>
          <w:rFonts w:ascii="Garamond" w:hAnsi="Garamond"/>
          <w:color w:val="000000" w:themeColor="text1"/>
        </w:rPr>
      </w:pPr>
      <w:r w:rsidRPr="00BE673E">
        <w:rPr>
          <w:rFonts w:ascii="Garamond" w:hAnsi="Garamond"/>
          <w:color w:val="000000" w:themeColor="text1"/>
        </w:rPr>
        <w:br w:type="page"/>
      </w:r>
    </w:p>
    <w:p w14:paraId="63FF4D4A" w14:textId="77777777" w:rsidR="00EE487F" w:rsidRPr="00BE673E" w:rsidRDefault="007914FE">
      <w:pPr>
        <w:pStyle w:val="Heading1"/>
        <w:rPr>
          <w:rFonts w:ascii="Garamond" w:hAnsi="Garamond"/>
          <w:color w:val="000000" w:themeColor="text1"/>
        </w:rPr>
      </w:pPr>
      <w:bookmarkStart w:id="0" w:name="the-preregistration"/>
      <w:bookmarkStart w:id="1" w:name="_Toc51753154"/>
      <w:r w:rsidRPr="00BE673E">
        <w:rPr>
          <w:rFonts w:ascii="Garamond" w:hAnsi="Garamond"/>
          <w:color w:val="000000" w:themeColor="text1"/>
        </w:rPr>
        <w:lastRenderedPageBreak/>
        <w:t>The Preregistration</w:t>
      </w:r>
      <w:bookmarkEnd w:id="0"/>
      <w:bookmarkEnd w:id="1"/>
    </w:p>
    <w:p w14:paraId="54450824" w14:textId="60201234"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 xml:space="preserve">We preregistered a series of analyses, </w:t>
      </w:r>
      <w:r w:rsidR="00BE673E" w:rsidRPr="00BE673E">
        <w:rPr>
          <w:rFonts w:ascii="Garamond" w:hAnsi="Garamond"/>
          <w:color w:val="000000" w:themeColor="text1"/>
        </w:rPr>
        <w:t>https://osf.io/kfasv</w:t>
      </w:r>
      <w:r w:rsidRPr="00BE673E">
        <w:rPr>
          <w:rFonts w:ascii="Garamond" w:hAnsi="Garamond"/>
          <w:color w:val="000000" w:themeColor="text1"/>
        </w:rPr>
        <w:t>. Here, we lay out models and model summaries for all of these analyses. Here’s what we preregistered:</w:t>
      </w:r>
    </w:p>
    <w:p w14:paraId="77563B5F" w14:textId="77777777" w:rsidR="00EE487F" w:rsidRPr="00BE673E" w:rsidRDefault="007914FE">
      <w:pPr>
        <w:pStyle w:val="BlockText"/>
        <w:rPr>
          <w:rFonts w:ascii="Garamond" w:hAnsi="Garamond"/>
          <w:color w:val="000000" w:themeColor="text1"/>
        </w:rPr>
      </w:pPr>
      <w:r w:rsidRPr="00BE673E">
        <w:rPr>
          <w:rFonts w:ascii="Garamond" w:hAnsi="Garamond"/>
          <w:color w:val="000000" w:themeColor="text1"/>
        </w:rPr>
        <w:t>“We will perform a series of 7 confirmatory tests on the full sample. Each model will be run twice: first with no covariates, then including age, gender,</w:t>
      </w:r>
      <w:r w:rsidRPr="00BE673E">
        <w:rPr>
          <w:rFonts w:ascii="Garamond" w:hAnsi="Garamond"/>
          <w:color w:val="000000" w:themeColor="text1"/>
        </w:rPr>
        <w:t xml:space="preserve"> politics, education, &amp; personality as covariates.”</w:t>
      </w:r>
    </w:p>
    <w:p w14:paraId="423093BD"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This entails a series of models:</w:t>
      </w:r>
    </w:p>
    <w:p w14:paraId="5CA0869C" w14:textId="77777777" w:rsidR="00EE487F" w:rsidRPr="00BE673E" w:rsidRDefault="007914FE">
      <w:pPr>
        <w:pStyle w:val="Compact"/>
        <w:numPr>
          <w:ilvl w:val="0"/>
          <w:numId w:val="2"/>
        </w:numPr>
        <w:rPr>
          <w:rFonts w:ascii="Garamond" w:hAnsi="Garamond"/>
          <w:color w:val="000000" w:themeColor="text1"/>
        </w:rPr>
      </w:pPr>
      <w:r w:rsidRPr="00BE673E">
        <w:rPr>
          <w:rFonts w:ascii="Garamond" w:hAnsi="Garamond"/>
          <w:color w:val="000000" w:themeColor="text1"/>
        </w:rPr>
        <w:t>Does each factor independently replicate?</w:t>
      </w:r>
    </w:p>
    <w:p w14:paraId="1558FD6B" w14:textId="77777777" w:rsidR="00EE487F" w:rsidRPr="00BE673E" w:rsidRDefault="007914FE">
      <w:pPr>
        <w:pStyle w:val="Compact"/>
        <w:numPr>
          <w:ilvl w:val="1"/>
          <w:numId w:val="3"/>
        </w:numPr>
        <w:rPr>
          <w:rFonts w:ascii="Garamond" w:hAnsi="Garamond"/>
          <w:color w:val="000000" w:themeColor="text1"/>
        </w:rPr>
      </w:pPr>
      <w:r w:rsidRPr="00BE673E">
        <w:rPr>
          <w:rFonts w:ascii="Garamond" w:hAnsi="Garamond"/>
          <w:color w:val="000000" w:themeColor="text1"/>
        </w:rPr>
        <w:t>We will replicate mentalizing in a model with mentalizing (linear and quadratic terms) predicting religion.</w:t>
      </w:r>
    </w:p>
    <w:p w14:paraId="11FEB72F" w14:textId="77777777" w:rsidR="00EE487F" w:rsidRPr="00BE673E" w:rsidRDefault="007914FE">
      <w:pPr>
        <w:pStyle w:val="Compact"/>
        <w:numPr>
          <w:ilvl w:val="1"/>
          <w:numId w:val="3"/>
        </w:numPr>
        <w:rPr>
          <w:rFonts w:ascii="Garamond" w:hAnsi="Garamond"/>
          <w:color w:val="000000" w:themeColor="text1"/>
        </w:rPr>
      </w:pPr>
      <w:r w:rsidRPr="00BE673E">
        <w:rPr>
          <w:rFonts w:ascii="Garamond" w:hAnsi="Garamond"/>
          <w:color w:val="000000" w:themeColor="text1"/>
        </w:rPr>
        <w:t>We will replicate mot</w:t>
      </w:r>
      <w:r w:rsidRPr="00BE673E">
        <w:rPr>
          <w:rFonts w:ascii="Garamond" w:hAnsi="Garamond"/>
          <w:color w:val="000000" w:themeColor="text1"/>
        </w:rPr>
        <w:t>ivation in a model with the motivation items predicting religion.</w:t>
      </w:r>
    </w:p>
    <w:p w14:paraId="73C63A39" w14:textId="77777777" w:rsidR="00EE487F" w:rsidRPr="00BE673E" w:rsidRDefault="007914FE">
      <w:pPr>
        <w:pStyle w:val="Compact"/>
        <w:numPr>
          <w:ilvl w:val="1"/>
          <w:numId w:val="3"/>
        </w:numPr>
        <w:rPr>
          <w:rFonts w:ascii="Garamond" w:hAnsi="Garamond"/>
          <w:color w:val="000000" w:themeColor="text1"/>
        </w:rPr>
      </w:pPr>
      <w:r w:rsidRPr="00BE673E">
        <w:rPr>
          <w:rFonts w:ascii="Garamond" w:hAnsi="Garamond"/>
          <w:color w:val="000000" w:themeColor="text1"/>
        </w:rPr>
        <w:t>We will replicate cultural learning in a model with CREDs predicting religion.</w:t>
      </w:r>
    </w:p>
    <w:p w14:paraId="16B486BC" w14:textId="77777777" w:rsidR="00EE487F" w:rsidRPr="00BE673E" w:rsidRDefault="007914FE">
      <w:pPr>
        <w:pStyle w:val="Compact"/>
        <w:numPr>
          <w:ilvl w:val="1"/>
          <w:numId w:val="3"/>
        </w:numPr>
        <w:rPr>
          <w:rFonts w:ascii="Garamond" w:hAnsi="Garamond"/>
          <w:color w:val="000000" w:themeColor="text1"/>
        </w:rPr>
      </w:pPr>
      <w:r w:rsidRPr="00BE673E">
        <w:rPr>
          <w:rFonts w:ascii="Garamond" w:hAnsi="Garamond"/>
          <w:color w:val="000000" w:themeColor="text1"/>
        </w:rPr>
        <w:t>We will replicate cognitive style in a model with the CRT predicting religion.</w:t>
      </w:r>
    </w:p>
    <w:p w14:paraId="26A18EAC" w14:textId="77777777" w:rsidR="00EE487F" w:rsidRPr="00BE673E" w:rsidRDefault="007914FE">
      <w:pPr>
        <w:pStyle w:val="Compact"/>
        <w:numPr>
          <w:ilvl w:val="0"/>
          <w:numId w:val="2"/>
        </w:numPr>
        <w:rPr>
          <w:rFonts w:ascii="Garamond" w:hAnsi="Garamond"/>
          <w:color w:val="000000" w:themeColor="text1"/>
        </w:rPr>
      </w:pPr>
      <w:r w:rsidRPr="00BE673E">
        <w:rPr>
          <w:rFonts w:ascii="Garamond" w:hAnsi="Garamond"/>
          <w:color w:val="000000" w:themeColor="text1"/>
        </w:rPr>
        <w:t>Relative contributions?</w:t>
      </w:r>
    </w:p>
    <w:p w14:paraId="1EEB350D" w14:textId="77777777" w:rsidR="00EE487F" w:rsidRPr="00BE673E" w:rsidRDefault="007914FE">
      <w:pPr>
        <w:pStyle w:val="Compact"/>
        <w:numPr>
          <w:ilvl w:val="1"/>
          <w:numId w:val="4"/>
        </w:numPr>
        <w:rPr>
          <w:rFonts w:ascii="Garamond" w:hAnsi="Garamond"/>
          <w:color w:val="000000" w:themeColor="text1"/>
        </w:rPr>
      </w:pPr>
      <w:r w:rsidRPr="00BE673E">
        <w:rPr>
          <w:rFonts w:ascii="Garamond" w:hAnsi="Garamond"/>
          <w:color w:val="000000" w:themeColor="text1"/>
        </w:rPr>
        <w:t xml:space="preserve">We will </w:t>
      </w:r>
      <w:r w:rsidRPr="00BE673E">
        <w:rPr>
          <w:rFonts w:ascii="Garamond" w:hAnsi="Garamond"/>
          <w:color w:val="000000" w:themeColor="text1"/>
        </w:rPr>
        <w:t>run a model with all four factors predicting religion.</w:t>
      </w:r>
    </w:p>
    <w:p w14:paraId="405F0206" w14:textId="77777777" w:rsidR="00EE487F" w:rsidRPr="00BE673E" w:rsidRDefault="007914FE">
      <w:pPr>
        <w:pStyle w:val="Compact"/>
        <w:numPr>
          <w:ilvl w:val="0"/>
          <w:numId w:val="2"/>
        </w:numPr>
        <w:rPr>
          <w:rFonts w:ascii="Garamond" w:hAnsi="Garamond"/>
          <w:color w:val="000000" w:themeColor="text1"/>
        </w:rPr>
      </w:pPr>
      <w:r w:rsidRPr="00BE673E">
        <w:rPr>
          <w:rFonts w:ascii="Garamond" w:hAnsi="Garamond"/>
          <w:color w:val="000000" w:themeColor="text1"/>
        </w:rPr>
        <w:t>Specific hypothesized interactions?</w:t>
      </w:r>
    </w:p>
    <w:p w14:paraId="17DD72E7" w14:textId="77777777" w:rsidR="00EE487F" w:rsidRPr="00BE673E" w:rsidRDefault="007914FE">
      <w:pPr>
        <w:pStyle w:val="Compact"/>
        <w:numPr>
          <w:ilvl w:val="1"/>
          <w:numId w:val="5"/>
        </w:numPr>
        <w:rPr>
          <w:rFonts w:ascii="Garamond" w:hAnsi="Garamond"/>
          <w:color w:val="000000" w:themeColor="text1"/>
        </w:rPr>
      </w:pPr>
      <w:r w:rsidRPr="00BE673E">
        <w:rPr>
          <w:rFonts w:ascii="Garamond" w:hAnsi="Garamond"/>
          <w:color w:val="000000" w:themeColor="text1"/>
        </w:rPr>
        <w:t>To test whether cognitive style’s effects differ across cultural learning, we will have a model in which CRT, CREDs, and their interaction predict religion.</w:t>
      </w:r>
    </w:p>
    <w:p w14:paraId="258DCFC7" w14:textId="77777777" w:rsidR="00EE487F" w:rsidRPr="00BE673E" w:rsidRDefault="007914FE">
      <w:pPr>
        <w:pStyle w:val="Compact"/>
        <w:numPr>
          <w:ilvl w:val="1"/>
          <w:numId w:val="5"/>
        </w:numPr>
        <w:rPr>
          <w:rFonts w:ascii="Garamond" w:hAnsi="Garamond"/>
          <w:color w:val="000000" w:themeColor="text1"/>
        </w:rPr>
      </w:pPr>
      <w:r w:rsidRPr="00BE673E">
        <w:rPr>
          <w:rFonts w:ascii="Garamond" w:hAnsi="Garamond"/>
          <w:color w:val="000000" w:themeColor="text1"/>
        </w:rPr>
        <w:t xml:space="preserve">To test </w:t>
      </w:r>
      <w:r w:rsidRPr="00BE673E">
        <w:rPr>
          <w:rFonts w:ascii="Garamond" w:hAnsi="Garamond"/>
          <w:color w:val="000000" w:themeColor="text1"/>
        </w:rPr>
        <w:t>the hypothesis that mentalizing is especially important in the context of cultural learning and motivation, we will have a model with mentalizing, CREDs, motivation and the mentalizing-by-CREDs and mentalizing-by-motivation interaction terms predicting rel</w:t>
      </w:r>
      <w:r w:rsidRPr="00BE673E">
        <w:rPr>
          <w:rFonts w:ascii="Garamond" w:hAnsi="Garamond"/>
          <w:color w:val="000000" w:themeColor="text1"/>
        </w:rPr>
        <w:t>igion.</w:t>
      </w:r>
    </w:p>
    <w:p w14:paraId="4C68C030"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The main manuscript summarizes: our full model (all four primary predictors plus covariates), a binary full model, and the cultural learning-by-cognitive reflection interaction with covariates. Here, we spell out preregistered analyses not already i</w:t>
      </w:r>
      <w:r w:rsidRPr="00BE673E">
        <w:rPr>
          <w:rFonts w:ascii="Garamond" w:hAnsi="Garamond"/>
          <w:color w:val="000000" w:themeColor="text1"/>
        </w:rPr>
        <w:t>ncluded.</w:t>
      </w:r>
    </w:p>
    <w:p w14:paraId="69A1C26F" w14:textId="77777777" w:rsidR="00EE487F" w:rsidRPr="00BE673E" w:rsidRDefault="007914FE">
      <w:pPr>
        <w:pStyle w:val="Heading1"/>
        <w:rPr>
          <w:rFonts w:ascii="Garamond" w:hAnsi="Garamond"/>
          <w:color w:val="000000" w:themeColor="text1"/>
        </w:rPr>
      </w:pPr>
      <w:bookmarkStart w:id="2" w:name="departure-from-preregistration"/>
      <w:bookmarkStart w:id="3" w:name="_Toc51753155"/>
      <w:r w:rsidRPr="00BE673E">
        <w:rPr>
          <w:rFonts w:ascii="Garamond" w:hAnsi="Garamond"/>
          <w:color w:val="000000" w:themeColor="text1"/>
        </w:rPr>
        <w:t>Departure from preregistration</w:t>
      </w:r>
      <w:bookmarkEnd w:id="2"/>
      <w:bookmarkEnd w:id="3"/>
    </w:p>
    <w:p w14:paraId="7DAD03B9"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We initially preregistered inclusion of quadratic terms for mentalizing to test for the possibility that mentalizing is a necessary-but-not-sufficient condition for belief in a god, and that the mindblind atheism pat</w:t>
      </w:r>
      <w:r w:rsidRPr="00BE673E">
        <w:rPr>
          <w:rFonts w:ascii="Garamond" w:hAnsi="Garamond"/>
          <w:color w:val="000000" w:themeColor="text1"/>
        </w:rPr>
        <w:t>tern might therefore be nonlinear in nature. Specifically, we speculated that advanced mentalizing might not generally be associated with disbelief across the entire range, but rather that people who score quite low on measures of advanced mentalizing migh</w:t>
      </w:r>
      <w:r w:rsidRPr="00BE673E">
        <w:rPr>
          <w:rFonts w:ascii="Garamond" w:hAnsi="Garamond"/>
          <w:color w:val="000000" w:themeColor="text1"/>
        </w:rPr>
        <w:t xml:space="preserve">t be especially likely to disbelieve. </w:t>
      </w:r>
      <w:proofErr w:type="gramStart"/>
      <w:r w:rsidRPr="00BE673E">
        <w:rPr>
          <w:rFonts w:ascii="Garamond" w:hAnsi="Garamond"/>
          <w:color w:val="000000" w:themeColor="text1"/>
        </w:rPr>
        <w:t>So</w:t>
      </w:r>
      <w:proofErr w:type="gramEnd"/>
      <w:r w:rsidRPr="00BE673E">
        <w:rPr>
          <w:rFonts w:ascii="Garamond" w:hAnsi="Garamond"/>
          <w:color w:val="000000" w:themeColor="text1"/>
        </w:rPr>
        <w:t xml:space="preserve"> we ginned up a polynomial prediction and preregistered a potential quadratic trend.</w:t>
      </w:r>
    </w:p>
    <w:p w14:paraId="7174C385" w14:textId="77777777" w:rsidR="00EE487F" w:rsidRPr="00BE673E" w:rsidRDefault="007914FE">
      <w:pPr>
        <w:pStyle w:val="BodyText"/>
        <w:rPr>
          <w:rFonts w:ascii="Garamond" w:hAnsi="Garamond"/>
          <w:color w:val="000000" w:themeColor="text1"/>
        </w:rPr>
      </w:pPr>
      <w:r w:rsidRPr="00BE673E">
        <w:rPr>
          <w:rFonts w:ascii="Garamond" w:hAnsi="Garamond"/>
          <w:color w:val="000000" w:themeColor="text1"/>
        </w:rPr>
        <w:t>After the preregistration but before data collection and analysis, we realized that the polynomial approach was a very poor test of</w:t>
      </w:r>
      <w:r w:rsidRPr="00BE673E">
        <w:rPr>
          <w:rFonts w:ascii="Garamond" w:hAnsi="Garamond"/>
          <w:color w:val="000000" w:themeColor="text1"/>
        </w:rPr>
        <w:t xml:space="preserve"> this idea and invites model overfitting among other ills.</w:t>
      </w:r>
      <w:r w:rsidRPr="00BE673E">
        <w:rPr>
          <w:rFonts w:ascii="Garamond" w:hAnsi="Garamond"/>
          <w:color w:val="000000" w:themeColor="text1"/>
          <w:vertAlign w:val="superscript"/>
        </w:rPr>
        <w:t>1</w:t>
      </w:r>
      <w:r w:rsidRPr="00BE673E">
        <w:rPr>
          <w:rFonts w:ascii="Garamond" w:hAnsi="Garamond"/>
          <w:color w:val="000000" w:themeColor="text1"/>
        </w:rPr>
        <w:t xml:space="preserve"> The preregistered models including a quadratic for mentalizing were theoretically dubious and statistically naive, so we left them out of main analyses. We checked a few of the primary models to s</w:t>
      </w:r>
      <w:r w:rsidRPr="00BE673E">
        <w:rPr>
          <w:rFonts w:ascii="Garamond" w:hAnsi="Garamond"/>
          <w:color w:val="000000" w:themeColor="text1"/>
        </w:rPr>
        <w:t xml:space="preserve">ee if inclusion of a quadratic did much. It did not. Information criteria (WAIC) suggested that models were always better without a quadratic term for mentalizing, and the quadratic term itself never predicted much. Additional exploration about a possible </w:t>
      </w:r>
      <w:r w:rsidRPr="00BE673E">
        <w:rPr>
          <w:rFonts w:ascii="Garamond" w:hAnsi="Garamond"/>
          <w:color w:val="000000" w:themeColor="text1"/>
        </w:rPr>
        <w:t>low-end mentalizing blip in atheism may warrant future research with a statistically appropriate model.</w:t>
      </w:r>
    </w:p>
    <w:p w14:paraId="277DB423" w14:textId="77777777" w:rsidR="00EE487F" w:rsidRPr="00BE673E" w:rsidRDefault="007914FE">
      <w:pPr>
        <w:pStyle w:val="Heading2"/>
        <w:rPr>
          <w:rFonts w:ascii="Garamond" w:hAnsi="Garamond"/>
          <w:color w:val="000000" w:themeColor="text1"/>
        </w:rPr>
      </w:pPr>
      <w:bookmarkStart w:id="4" w:name="exploration-and-machine-learning"/>
      <w:bookmarkStart w:id="5" w:name="_Toc51753156"/>
      <w:r w:rsidRPr="00BE673E">
        <w:rPr>
          <w:rFonts w:ascii="Garamond" w:hAnsi="Garamond"/>
          <w:color w:val="000000" w:themeColor="text1"/>
        </w:rPr>
        <w:lastRenderedPageBreak/>
        <w:t>Exploration and Machine Learning</w:t>
      </w:r>
      <w:bookmarkEnd w:id="4"/>
      <w:bookmarkEnd w:id="5"/>
    </w:p>
    <w:p w14:paraId="1C746F12"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Our preregistration also states that – beyond the focal preregistered analyses reported in our paper and supplement – w</w:t>
      </w:r>
      <w:r w:rsidRPr="00BE673E">
        <w:rPr>
          <w:rFonts w:ascii="Garamond" w:hAnsi="Garamond"/>
          <w:color w:val="000000" w:themeColor="text1"/>
        </w:rPr>
        <w:t>e would do additional exploration, in the form both 1) some machine learning, and 2) via split sample cross-validation. For the latter, the plan was to split the dataset in half and perform systematic exploration of one half, then preregister hypotheses an</w:t>
      </w:r>
      <w:r w:rsidRPr="00BE673E">
        <w:rPr>
          <w:rFonts w:ascii="Garamond" w:hAnsi="Garamond"/>
          <w:color w:val="000000" w:themeColor="text1"/>
        </w:rPr>
        <w:t>d analyses to confirm in our holdout set.</w:t>
      </w:r>
    </w:p>
    <w:p w14:paraId="39D5BC8A" w14:textId="77777777" w:rsidR="00EE487F" w:rsidRPr="00BE673E" w:rsidRDefault="007914FE">
      <w:pPr>
        <w:pStyle w:val="BodyText"/>
        <w:rPr>
          <w:rFonts w:ascii="Garamond" w:hAnsi="Garamond"/>
          <w:color w:val="000000" w:themeColor="text1"/>
        </w:rPr>
      </w:pPr>
      <w:r w:rsidRPr="00BE673E">
        <w:rPr>
          <w:rFonts w:ascii="Garamond" w:hAnsi="Garamond"/>
          <w:color w:val="000000" w:themeColor="text1"/>
        </w:rPr>
        <w:t>WG aplit the set and circulated the exploratory set to the full research team. Internal communications reflect a couple of observed trends, but no systematic exploration ensued. As months and years passed, we elected to write up and publish the focal analy</w:t>
      </w:r>
      <w:r w:rsidRPr="00BE673E">
        <w:rPr>
          <w:rFonts w:ascii="Garamond" w:hAnsi="Garamond"/>
          <w:color w:val="000000" w:themeColor="text1"/>
        </w:rPr>
        <w:t xml:space="preserve">ses and then make the datasets (full, as well as cross validation split samples) freely available for broader exploration. None of the light exploration we did conduct reflects on the inferences we draw from the full-sample preregistered analyses reported </w:t>
      </w:r>
      <w:r w:rsidRPr="00BE673E">
        <w:rPr>
          <w:rFonts w:ascii="Garamond" w:hAnsi="Garamond"/>
          <w:color w:val="000000" w:themeColor="text1"/>
        </w:rPr>
        <w:t xml:space="preserve">in this paper. We hope others find the data we collected </w:t>
      </w:r>
      <w:proofErr w:type="gramStart"/>
      <w:r w:rsidRPr="00BE673E">
        <w:rPr>
          <w:rFonts w:ascii="Garamond" w:hAnsi="Garamond"/>
          <w:color w:val="000000" w:themeColor="text1"/>
        </w:rPr>
        <w:t>useful, and</w:t>
      </w:r>
      <w:proofErr w:type="gramEnd"/>
      <w:r w:rsidRPr="00BE673E">
        <w:rPr>
          <w:rFonts w:ascii="Garamond" w:hAnsi="Garamond"/>
          <w:color w:val="000000" w:themeColor="text1"/>
        </w:rPr>
        <w:t xml:space="preserve"> explore it more fully than we have.</w:t>
      </w:r>
    </w:p>
    <w:p w14:paraId="57AEBA0C" w14:textId="77777777" w:rsidR="00EE487F" w:rsidRPr="00BE673E" w:rsidRDefault="007914FE">
      <w:pPr>
        <w:pStyle w:val="Heading1"/>
        <w:rPr>
          <w:rFonts w:ascii="Garamond" w:hAnsi="Garamond"/>
          <w:color w:val="000000" w:themeColor="text1"/>
        </w:rPr>
      </w:pPr>
      <w:bookmarkStart w:id="6" w:name="individual-replications"/>
      <w:bookmarkStart w:id="7" w:name="_Toc51753157"/>
      <w:r w:rsidRPr="00BE673E">
        <w:rPr>
          <w:rFonts w:ascii="Garamond" w:hAnsi="Garamond"/>
          <w:color w:val="000000" w:themeColor="text1"/>
        </w:rPr>
        <w:t>1. Individual Replications</w:t>
      </w:r>
      <w:bookmarkEnd w:id="6"/>
      <w:bookmarkEnd w:id="7"/>
    </w:p>
    <w:p w14:paraId="652435E0"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First, we tested each candidate factor in isolation, merely to replicate in a nationally representative sample previous work</w:t>
      </w:r>
      <w:r w:rsidRPr="00BE673E">
        <w:rPr>
          <w:rFonts w:ascii="Garamond" w:hAnsi="Garamond"/>
          <w:color w:val="000000" w:themeColor="text1"/>
        </w:rPr>
        <w:t xml:space="preserve"> that has independently correlated indices of mentalizing, existential security, religious CREDs, and cognitive style with various measures of religious belief. That is, previous work from distinct research trajectories has treated each factor in isolation</w:t>
      </w:r>
      <w:r w:rsidRPr="00BE673E">
        <w:rPr>
          <w:rFonts w:ascii="Garamond" w:hAnsi="Garamond"/>
          <w:color w:val="000000" w:themeColor="text1"/>
        </w:rPr>
        <w:t xml:space="preserve">. We are merely checking whether previously obtained bivariate patterns (largely stemming from convenience samples) are also evident in a nationally representative sample. This effort is more meta-scientifically than theoretically relevant: they are basic </w:t>
      </w:r>
      <w:r w:rsidRPr="00BE673E">
        <w:rPr>
          <w:rFonts w:ascii="Garamond" w:hAnsi="Garamond"/>
          <w:color w:val="000000" w:themeColor="text1"/>
        </w:rPr>
        <w:t>replication analyses.</w:t>
      </w:r>
    </w:p>
    <w:p w14:paraId="3933B236" w14:textId="77777777" w:rsidR="00EE487F" w:rsidRPr="00BE673E" w:rsidRDefault="007914FE">
      <w:pPr>
        <w:pStyle w:val="BodyText"/>
        <w:rPr>
          <w:rFonts w:ascii="Garamond" w:hAnsi="Garamond"/>
          <w:color w:val="000000" w:themeColor="text1"/>
        </w:rPr>
      </w:pPr>
      <w:r w:rsidRPr="00BE673E">
        <w:rPr>
          <w:rFonts w:ascii="Garamond" w:hAnsi="Garamond"/>
          <w:color w:val="000000" w:themeColor="text1"/>
        </w:rPr>
        <w:t>In individual zero-order replication analyses (Table 1), inCREDulous atheism, analytic atheism, and mindblind atheism largely replicated previous work. As with the full model in the main document, apatheism was again not evident in th</w:t>
      </w:r>
      <w:r w:rsidRPr="00BE673E">
        <w:rPr>
          <w:rFonts w:ascii="Garamond" w:hAnsi="Garamond"/>
          <w:color w:val="000000" w:themeColor="text1"/>
        </w:rPr>
        <w:t>is sample. That one of the candidate factors culled from existing literature did not appear as a robust predictor may suggest tempered enthusiasm for its utility as a predictor of individual differences in religiosity more broadly, although existential sec</w:t>
      </w:r>
      <w:r w:rsidRPr="00BE673E">
        <w:rPr>
          <w:rFonts w:ascii="Garamond" w:hAnsi="Garamond"/>
          <w:color w:val="000000" w:themeColor="text1"/>
        </w:rPr>
        <w:t>urity is still quite useful in analyzing larger-scale regional and international trends.</w:t>
      </w:r>
      <w:r w:rsidRPr="00BE673E">
        <w:rPr>
          <w:rFonts w:ascii="Garamond" w:hAnsi="Garamond"/>
          <w:color w:val="000000" w:themeColor="text1"/>
          <w:vertAlign w:val="superscript"/>
        </w:rPr>
        <w:t>2</w:t>
      </w:r>
    </w:p>
    <w:p w14:paraId="18BD337C" w14:textId="546A6C08" w:rsidR="00BE673E" w:rsidRDefault="00BE673E">
      <w:pPr>
        <w:pStyle w:val="BodyText"/>
        <w:rPr>
          <w:rFonts w:ascii="Garamond" w:hAnsi="Garamond"/>
          <w:color w:val="000000" w:themeColor="text1"/>
        </w:rPr>
      </w:pPr>
      <w:r w:rsidRPr="00BE673E">
        <w:rPr>
          <w:rFonts w:ascii="Garamond" w:hAnsi="Garamond"/>
          <w:color w:val="000000" w:themeColor="text1"/>
        </w:rPr>
        <w:drawing>
          <wp:inline distT="0" distB="0" distL="0" distR="0" wp14:anchorId="343DEFE9" wp14:editId="472981FB">
            <wp:extent cx="3924300" cy="1993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stretch>
                      <a:fillRect/>
                    </a:stretch>
                  </pic:blipFill>
                  <pic:spPr>
                    <a:xfrm>
                      <a:off x="0" y="0"/>
                      <a:ext cx="3924300" cy="1993900"/>
                    </a:xfrm>
                    <a:prstGeom prst="rect">
                      <a:avLst/>
                    </a:prstGeom>
                  </pic:spPr>
                </pic:pic>
              </a:graphicData>
            </a:graphic>
          </wp:inline>
        </w:drawing>
      </w:r>
    </w:p>
    <w:p w14:paraId="11BF40A8" w14:textId="6B6A2103" w:rsidR="00BE673E" w:rsidRDefault="00BE673E">
      <w:pPr>
        <w:pStyle w:val="BodyText"/>
        <w:rPr>
          <w:rFonts w:ascii="Garamond" w:hAnsi="Garamond"/>
          <w:color w:val="000000" w:themeColor="text1"/>
        </w:rPr>
      </w:pPr>
      <w:r w:rsidRPr="00BE673E">
        <w:rPr>
          <w:rFonts w:ascii="Garamond" w:hAnsi="Garamond"/>
          <w:color w:val="000000" w:themeColor="text1"/>
        </w:rPr>
        <w:lastRenderedPageBreak/>
        <w:drawing>
          <wp:inline distT="0" distB="0" distL="0" distR="0" wp14:anchorId="61816D5E" wp14:editId="070DCD17">
            <wp:extent cx="5943600" cy="45929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5943600" cy="4592955"/>
                    </a:xfrm>
                    <a:prstGeom prst="rect">
                      <a:avLst/>
                    </a:prstGeom>
                  </pic:spPr>
                </pic:pic>
              </a:graphicData>
            </a:graphic>
          </wp:inline>
        </w:drawing>
      </w:r>
    </w:p>
    <w:p w14:paraId="2AF85289" w14:textId="49673DDD" w:rsidR="00EE487F" w:rsidRPr="00BE673E" w:rsidRDefault="007914FE">
      <w:pPr>
        <w:pStyle w:val="BodyText"/>
        <w:rPr>
          <w:rFonts w:ascii="Garamond" w:hAnsi="Garamond"/>
          <w:color w:val="000000" w:themeColor="text1"/>
        </w:rPr>
      </w:pPr>
      <w:r w:rsidRPr="00BE673E">
        <w:rPr>
          <w:rFonts w:ascii="Garamond" w:hAnsi="Garamond"/>
          <w:color w:val="000000" w:themeColor="text1"/>
        </w:rPr>
        <w:t xml:space="preserve">We next performed the individual replication analyses in models including all covariates used in the main document full model. Table 2 includes the summary for each model including covariates. Nothing much changes from the main models reported in the main </w:t>
      </w:r>
      <w:r w:rsidRPr="00BE673E">
        <w:rPr>
          <w:rFonts w:ascii="Garamond" w:hAnsi="Garamond"/>
          <w:color w:val="000000" w:themeColor="text1"/>
        </w:rPr>
        <w:t>paper. inCREDulous atheism and analytic atheism still replicate soundly, and mindblind atheism is also fairly evident. Apatheism is still essentially absent.</w:t>
      </w:r>
    </w:p>
    <w:p w14:paraId="30FC26D4" w14:textId="10341530" w:rsidR="00BE673E" w:rsidRDefault="00BE673E">
      <w:pPr>
        <w:pStyle w:val="Heading1"/>
        <w:rPr>
          <w:rFonts w:ascii="Garamond" w:hAnsi="Garamond"/>
          <w:color w:val="000000" w:themeColor="text1"/>
        </w:rPr>
      </w:pPr>
      <w:bookmarkStart w:id="8" w:name="relative-contributions"/>
      <w:bookmarkStart w:id="9" w:name="_Toc51753158"/>
      <w:r w:rsidRPr="00BE673E">
        <w:rPr>
          <w:rFonts w:ascii="Garamond" w:hAnsi="Garamond"/>
          <w:color w:val="000000" w:themeColor="text1"/>
        </w:rPr>
        <w:drawing>
          <wp:inline distT="0" distB="0" distL="0" distR="0" wp14:anchorId="39645BD0" wp14:editId="18BA0460">
            <wp:extent cx="4137660" cy="179578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stretch>
                      <a:fillRect/>
                    </a:stretch>
                  </pic:blipFill>
                  <pic:spPr>
                    <a:xfrm>
                      <a:off x="0" y="0"/>
                      <a:ext cx="4143257" cy="1798215"/>
                    </a:xfrm>
                    <a:prstGeom prst="rect">
                      <a:avLst/>
                    </a:prstGeom>
                  </pic:spPr>
                </pic:pic>
              </a:graphicData>
            </a:graphic>
          </wp:inline>
        </w:drawing>
      </w:r>
    </w:p>
    <w:p w14:paraId="391D7D4C" w14:textId="77777777" w:rsidR="00BE673E" w:rsidRPr="00BE673E" w:rsidRDefault="00BE673E" w:rsidP="00BE673E">
      <w:pPr>
        <w:pStyle w:val="BodyText"/>
      </w:pPr>
    </w:p>
    <w:p w14:paraId="1841D943" w14:textId="3AE6529D" w:rsidR="00EE487F" w:rsidRPr="00BE673E" w:rsidRDefault="007914FE">
      <w:pPr>
        <w:pStyle w:val="Heading1"/>
        <w:rPr>
          <w:rFonts w:ascii="Garamond" w:hAnsi="Garamond"/>
          <w:color w:val="000000" w:themeColor="text1"/>
        </w:rPr>
      </w:pPr>
      <w:r w:rsidRPr="00BE673E">
        <w:rPr>
          <w:rFonts w:ascii="Garamond" w:hAnsi="Garamond"/>
          <w:color w:val="000000" w:themeColor="text1"/>
        </w:rPr>
        <w:lastRenderedPageBreak/>
        <w:t>2. Relative Contributions</w:t>
      </w:r>
      <w:bookmarkEnd w:id="8"/>
      <w:bookmarkEnd w:id="9"/>
    </w:p>
    <w:p w14:paraId="3138A819"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The main document includes a full model with all key predictors and covariates predicting disbelief. Here, we report the model without covariates for completeness with the preregistration. Again, not much changes. Table 3 summarizes this model.</w:t>
      </w:r>
    </w:p>
    <w:p w14:paraId="37302E19" w14:textId="699D5744" w:rsidR="00BE673E" w:rsidRDefault="00BE673E">
      <w:pPr>
        <w:pStyle w:val="Heading1"/>
        <w:rPr>
          <w:rFonts w:ascii="Garamond" w:hAnsi="Garamond"/>
          <w:color w:val="000000" w:themeColor="text1"/>
        </w:rPr>
      </w:pPr>
      <w:bookmarkStart w:id="10" w:name="interactions-mentalizing"/>
      <w:bookmarkStart w:id="11" w:name="_Toc51753159"/>
      <w:r w:rsidRPr="00BE673E">
        <w:rPr>
          <w:rFonts w:ascii="Garamond" w:hAnsi="Garamond"/>
          <w:color w:val="000000" w:themeColor="text1"/>
        </w:rPr>
        <w:drawing>
          <wp:inline distT="0" distB="0" distL="0" distR="0" wp14:anchorId="5429B042" wp14:editId="5E5BA4AC">
            <wp:extent cx="3695700" cy="2260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stretch>
                      <a:fillRect/>
                    </a:stretch>
                  </pic:blipFill>
                  <pic:spPr>
                    <a:xfrm>
                      <a:off x="0" y="0"/>
                      <a:ext cx="3695700" cy="2260600"/>
                    </a:xfrm>
                    <a:prstGeom prst="rect">
                      <a:avLst/>
                    </a:prstGeom>
                  </pic:spPr>
                </pic:pic>
              </a:graphicData>
            </a:graphic>
          </wp:inline>
        </w:drawing>
      </w:r>
    </w:p>
    <w:p w14:paraId="4AFAE552" w14:textId="33469E35" w:rsidR="00EE487F" w:rsidRPr="00BE673E" w:rsidRDefault="007914FE">
      <w:pPr>
        <w:pStyle w:val="Heading1"/>
        <w:rPr>
          <w:rFonts w:ascii="Garamond" w:hAnsi="Garamond"/>
          <w:color w:val="000000" w:themeColor="text1"/>
        </w:rPr>
      </w:pPr>
      <w:r w:rsidRPr="00BE673E">
        <w:rPr>
          <w:rFonts w:ascii="Garamond" w:hAnsi="Garamond"/>
          <w:color w:val="000000" w:themeColor="text1"/>
        </w:rPr>
        <w:t>3. Interactions: Mentalizing</w:t>
      </w:r>
      <w:bookmarkEnd w:id="10"/>
      <w:bookmarkEnd w:id="11"/>
    </w:p>
    <w:p w14:paraId="163C5E86" w14:textId="77777777" w:rsidR="00EE487F" w:rsidRPr="00BE673E" w:rsidRDefault="007914FE">
      <w:pPr>
        <w:pStyle w:val="FirstParagraph"/>
        <w:rPr>
          <w:rFonts w:ascii="Garamond" w:hAnsi="Garamond"/>
          <w:color w:val="000000" w:themeColor="text1"/>
        </w:rPr>
      </w:pPr>
      <w:r w:rsidRPr="00BE673E">
        <w:rPr>
          <w:rFonts w:ascii="Garamond" w:hAnsi="Garamond"/>
          <w:color w:val="000000" w:themeColor="text1"/>
        </w:rPr>
        <w:t>We pursued speculation that mindblind atheism might be especially pronounced in contexts in which other pathways to atheism are muted. If th</w:t>
      </w:r>
      <w:r w:rsidRPr="00BE673E">
        <w:rPr>
          <w:rFonts w:ascii="Garamond" w:hAnsi="Garamond"/>
          <w:color w:val="000000" w:themeColor="text1"/>
        </w:rPr>
        <w:t>is is the case, for example, then we might expect interactions between mentalizing and both cultural exposure to religion and existential security, such that mindblind atheism would be more evident among people relatively higher in religious CREDs or lower</w:t>
      </w:r>
      <w:r w:rsidRPr="00BE673E">
        <w:rPr>
          <w:rFonts w:ascii="Garamond" w:hAnsi="Garamond"/>
          <w:color w:val="000000" w:themeColor="text1"/>
        </w:rPr>
        <w:t xml:space="preserve"> in existential security. Alternatively, if mentalizing is a necessary precondition for belief, then other factors might matter little when mentalizing is sufficiently low. With this in mind, we re-ran a version of our full model, including mentalizing-by-</w:t>
      </w:r>
      <w:r w:rsidRPr="00BE673E">
        <w:rPr>
          <w:rFonts w:ascii="Garamond" w:hAnsi="Garamond"/>
          <w:color w:val="000000" w:themeColor="text1"/>
        </w:rPr>
        <w:t xml:space="preserve">CREDs and mentalizing-by-security interactions. Alas, we did’t find interactions between mentalizing and CREDs, </w:t>
      </w:r>
      <m:oMath>
        <m:r>
          <w:rPr>
            <w:rFonts w:ascii="Cambria Math" w:hAnsi="Cambria Math"/>
            <w:color w:val="000000" w:themeColor="text1"/>
          </w:rPr>
          <m:t>β</m:t>
        </m:r>
      </m:oMath>
      <w:r w:rsidRPr="00BE673E">
        <w:rPr>
          <w:rFonts w:ascii="Garamond" w:hAnsi="Garamond"/>
          <w:color w:val="000000" w:themeColor="text1"/>
        </w:rPr>
        <w:t xml:space="preserve"> = 0, [-0.05, 0.05], </w:t>
      </w:r>
      <m:oMath>
        <m:r>
          <m:rPr>
            <m:sty m:val="p"/>
          </m:rP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β</m:t>
        </m:r>
        <m:r>
          <w:rPr>
            <w:rFonts w:ascii="Cambria Math" w:hAnsi="Cambria Math"/>
            <w:color w:val="000000" w:themeColor="text1"/>
          </w:rPr>
          <m:t>&gt;0∣</m:t>
        </m:r>
        <m:r>
          <w:rPr>
            <w:rFonts w:ascii="Cambria Math" w:hAnsi="Cambria Math"/>
            <w:color w:val="000000" w:themeColor="text1"/>
          </w:rPr>
          <m:t>data</m:t>
        </m:r>
        <m:r>
          <w:rPr>
            <w:rFonts w:ascii="Cambria Math" w:hAnsi="Cambria Math"/>
            <w:color w:val="000000" w:themeColor="text1"/>
          </w:rPr>
          <m:t>)</m:t>
        </m:r>
      </m:oMath>
      <w:r w:rsidRPr="00BE673E">
        <w:rPr>
          <w:rFonts w:ascii="Garamond" w:hAnsi="Garamond"/>
          <w:color w:val="000000" w:themeColor="text1"/>
        </w:rPr>
        <w:t xml:space="preserve"> = 0.48 or with security, </w:t>
      </w:r>
      <m:oMath>
        <m:r>
          <w:rPr>
            <w:rFonts w:ascii="Cambria Math" w:hAnsi="Cambria Math"/>
            <w:color w:val="000000" w:themeColor="text1"/>
          </w:rPr>
          <m:t>β</m:t>
        </m:r>
      </m:oMath>
      <w:r w:rsidRPr="00BE673E">
        <w:rPr>
          <w:rFonts w:ascii="Garamond" w:hAnsi="Garamond"/>
          <w:color w:val="000000" w:themeColor="text1"/>
        </w:rPr>
        <w:t xml:space="preserve"> = 0.02, [-0.03, 0.07], </w:t>
      </w:r>
      <m:oMath>
        <m:r>
          <m:rPr>
            <m:sty m:val="p"/>
          </m:rPr>
          <w:rPr>
            <w:rFonts w:ascii="Cambria Math" w:hAnsi="Cambria Math"/>
            <w:color w:val="000000" w:themeColor="text1"/>
          </w:rPr>
          <m:t>P</m:t>
        </m:r>
        <m:r>
          <w:rPr>
            <w:rFonts w:ascii="Cambria Math" w:hAnsi="Cambria Math"/>
            <w:color w:val="000000" w:themeColor="text1"/>
          </w:rPr>
          <m:t>(</m:t>
        </m:r>
        <m:r>
          <w:rPr>
            <w:rFonts w:ascii="Cambria Math" w:hAnsi="Cambria Math"/>
            <w:color w:val="000000" w:themeColor="text1"/>
          </w:rPr>
          <m:t>β</m:t>
        </m:r>
        <m:r>
          <w:rPr>
            <w:rFonts w:ascii="Cambria Math" w:hAnsi="Cambria Math"/>
            <w:color w:val="000000" w:themeColor="text1"/>
          </w:rPr>
          <m:t>&gt;0∣</m:t>
        </m:r>
        <m:r>
          <w:rPr>
            <w:rFonts w:ascii="Cambria Math" w:hAnsi="Cambria Math"/>
            <w:color w:val="000000" w:themeColor="text1"/>
          </w:rPr>
          <m:t>data</m:t>
        </m:r>
        <m:r>
          <w:rPr>
            <w:rFonts w:ascii="Cambria Math" w:hAnsi="Cambria Math"/>
            <w:color w:val="000000" w:themeColor="text1"/>
          </w:rPr>
          <m:t>)</m:t>
        </m:r>
      </m:oMath>
      <w:r w:rsidRPr="00BE673E">
        <w:rPr>
          <w:rFonts w:ascii="Garamond" w:hAnsi="Garamond"/>
          <w:color w:val="000000" w:themeColor="text1"/>
        </w:rPr>
        <w:t xml:space="preserve"> = 0.84. The weak association between</w:t>
      </w:r>
      <w:r w:rsidRPr="00BE673E">
        <w:rPr>
          <w:rFonts w:ascii="Garamond" w:hAnsi="Garamond"/>
          <w:color w:val="000000" w:themeColor="text1"/>
        </w:rPr>
        <w:t xml:space="preserve"> lower advanced mentalizing and disbelief appeared largely independent of existential security or religious CREDs in this sample.</w:t>
      </w:r>
    </w:p>
    <w:p w14:paraId="2502E517" w14:textId="77777777" w:rsidR="00EE487F" w:rsidRPr="00BE673E" w:rsidRDefault="007914FE">
      <w:pPr>
        <w:rPr>
          <w:rFonts w:ascii="Garamond" w:hAnsi="Garamond"/>
          <w:color w:val="000000" w:themeColor="text1"/>
        </w:rPr>
      </w:pPr>
      <w:r w:rsidRPr="00BE673E">
        <w:rPr>
          <w:rFonts w:ascii="Garamond" w:hAnsi="Garamond"/>
          <w:color w:val="000000" w:themeColor="text1"/>
        </w:rPr>
        <w:br w:type="page"/>
      </w:r>
    </w:p>
    <w:p w14:paraId="7B1B75D9" w14:textId="77777777" w:rsidR="00EE487F" w:rsidRPr="00BE673E" w:rsidRDefault="007914FE">
      <w:pPr>
        <w:pStyle w:val="Heading1"/>
        <w:rPr>
          <w:rFonts w:ascii="Garamond" w:hAnsi="Garamond"/>
          <w:color w:val="000000" w:themeColor="text1"/>
        </w:rPr>
      </w:pPr>
      <w:bookmarkStart w:id="12" w:name="references"/>
      <w:bookmarkStart w:id="13" w:name="_Toc51753160"/>
      <w:r w:rsidRPr="00BE673E">
        <w:rPr>
          <w:rFonts w:ascii="Garamond" w:hAnsi="Garamond"/>
          <w:color w:val="000000" w:themeColor="text1"/>
        </w:rPr>
        <w:lastRenderedPageBreak/>
        <w:t>References</w:t>
      </w:r>
      <w:bookmarkEnd w:id="12"/>
      <w:bookmarkEnd w:id="13"/>
    </w:p>
    <w:p w14:paraId="67850582" w14:textId="77777777" w:rsidR="00EE487F" w:rsidRPr="00BE673E" w:rsidRDefault="007914FE">
      <w:pPr>
        <w:pStyle w:val="Bibliography"/>
        <w:rPr>
          <w:rFonts w:ascii="Garamond" w:hAnsi="Garamond"/>
          <w:color w:val="000000" w:themeColor="text1"/>
        </w:rPr>
      </w:pPr>
      <w:bookmarkStart w:id="14" w:name="X88fc160591971b3ca59f81382822b9f07680a7f"/>
      <w:bookmarkStart w:id="15" w:name="refs"/>
      <w:r w:rsidRPr="00BE673E">
        <w:rPr>
          <w:rFonts w:ascii="Garamond" w:hAnsi="Garamond"/>
          <w:color w:val="000000" w:themeColor="text1"/>
        </w:rPr>
        <w:t xml:space="preserve">1. McElreath, R. </w:t>
      </w:r>
      <w:r w:rsidRPr="00BE673E">
        <w:rPr>
          <w:rFonts w:ascii="Garamond" w:hAnsi="Garamond"/>
          <w:i/>
          <w:color w:val="000000" w:themeColor="text1"/>
        </w:rPr>
        <w:t>Statistical Rethinking: A Bayesian Course with Examples in R and Stan</w:t>
      </w:r>
      <w:r w:rsidRPr="00BE673E">
        <w:rPr>
          <w:rFonts w:ascii="Garamond" w:hAnsi="Garamond"/>
          <w:color w:val="000000" w:themeColor="text1"/>
        </w:rPr>
        <w:t>. vol. 122 (CRC Press, 2016</w:t>
      </w:r>
      <w:r w:rsidRPr="00BE673E">
        <w:rPr>
          <w:rFonts w:ascii="Garamond" w:hAnsi="Garamond"/>
          <w:color w:val="000000" w:themeColor="text1"/>
        </w:rPr>
        <w:t>).</w:t>
      </w:r>
    </w:p>
    <w:p w14:paraId="753139D8" w14:textId="77777777" w:rsidR="00EE487F" w:rsidRPr="00BE673E" w:rsidRDefault="007914FE">
      <w:pPr>
        <w:pStyle w:val="Bibliography"/>
        <w:rPr>
          <w:rFonts w:ascii="Garamond" w:hAnsi="Garamond"/>
          <w:color w:val="000000" w:themeColor="text1"/>
        </w:rPr>
      </w:pPr>
      <w:bookmarkStart w:id="16" w:name="ref-inglehartSacredSecularReligion2004"/>
      <w:bookmarkEnd w:id="14"/>
      <w:r w:rsidRPr="00BE673E">
        <w:rPr>
          <w:rFonts w:ascii="Garamond" w:hAnsi="Garamond"/>
          <w:color w:val="000000" w:themeColor="text1"/>
        </w:rPr>
        <w:t xml:space="preserve">2. Inglehart, R. &amp; Norris, P. </w:t>
      </w:r>
      <w:r w:rsidRPr="00BE673E">
        <w:rPr>
          <w:rFonts w:ascii="Garamond" w:hAnsi="Garamond"/>
          <w:i/>
          <w:color w:val="000000" w:themeColor="text1"/>
        </w:rPr>
        <w:t>Sacred and secular: Religion and politics worldwide</w:t>
      </w:r>
      <w:r w:rsidRPr="00BE673E">
        <w:rPr>
          <w:rFonts w:ascii="Garamond" w:hAnsi="Garamond"/>
          <w:color w:val="000000" w:themeColor="text1"/>
        </w:rPr>
        <w:t>. (Cambridge University Press, 2004).</w:t>
      </w:r>
      <w:bookmarkEnd w:id="15"/>
      <w:bookmarkEnd w:id="16"/>
    </w:p>
    <w:sectPr w:rsidR="00EE487F" w:rsidRPr="00BE67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C0AA6" w14:textId="77777777" w:rsidR="007914FE" w:rsidRDefault="007914FE">
      <w:pPr>
        <w:spacing w:after="0"/>
      </w:pPr>
      <w:r>
        <w:separator/>
      </w:r>
    </w:p>
  </w:endnote>
  <w:endnote w:type="continuationSeparator" w:id="0">
    <w:p w14:paraId="7D0FE308" w14:textId="77777777" w:rsidR="007914FE" w:rsidRDefault="00791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15D4E" w14:textId="77777777" w:rsidR="007914FE" w:rsidRDefault="007914FE">
      <w:r>
        <w:separator/>
      </w:r>
    </w:p>
  </w:footnote>
  <w:footnote w:type="continuationSeparator" w:id="0">
    <w:p w14:paraId="722699E1" w14:textId="77777777" w:rsidR="007914FE" w:rsidRDefault="00791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769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E744F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5CFC8F6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3" w15:restartNumberingAfterBreak="0">
    <w:nsid w:val="71315DCA"/>
    <w:multiLevelType w:val="multilevel"/>
    <w:tmpl w:val="F468F08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914FE"/>
    <w:rsid w:val="008D6863"/>
    <w:rsid w:val="00B86B75"/>
    <w:rsid w:val="00BC48D5"/>
    <w:rsid w:val="00BE673E"/>
    <w:rsid w:val="00C36279"/>
    <w:rsid w:val="00E315A3"/>
    <w:rsid w:val="00EE48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648AE"/>
  <w15:docId w15:val="{55112EC7-7364-FE46-88D6-FBA2F4CF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E673E"/>
    <w:pPr>
      <w:spacing w:after="100"/>
    </w:pPr>
  </w:style>
  <w:style w:type="paragraph" w:styleId="TOC2">
    <w:name w:val="toc 2"/>
    <w:basedOn w:val="Normal"/>
    <w:next w:val="Normal"/>
    <w:autoRedefine/>
    <w:uiPriority w:val="39"/>
    <w:unhideWhenUsed/>
    <w:rsid w:val="00BE673E"/>
    <w:pPr>
      <w:spacing w:after="100"/>
      <w:ind w:left="240"/>
    </w:pPr>
  </w:style>
  <w:style w:type="character" w:styleId="FollowedHyperlink">
    <w:name w:val="FollowedHyperlink"/>
    <w:basedOn w:val="DefaultParagraphFont"/>
    <w:semiHidden/>
    <w:unhideWhenUsed/>
    <w:rsid w:val="00BE67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Origins of Disbelief</dc:title>
  <dc:creator/>
  <cp:keywords/>
  <cp:lastModifiedBy>Gervais, Will M</cp:lastModifiedBy>
  <cp:revision>2</cp:revision>
  <dcterms:created xsi:type="dcterms:W3CDTF">2020-09-22T23:31:00Z</dcterms:created>
  <dcterms:modified xsi:type="dcterms:W3CDTF">2020-09-22T23:35:00Z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BAMLabLib.bib</vt:lpwstr>
  </property>
  <property fmtid="{D5CDD505-2E9C-101B-9397-08002B2CF9AE}" pid="4" name="csl">
    <vt:lpwstr>nature.csl</vt:lpwstr>
  </property>
  <property fmtid="{D5CDD505-2E9C-101B-9397-08002B2CF9AE}" pid="5" name="date">
    <vt:lpwstr>September 2020</vt:lpwstr>
  </property>
  <property fmtid="{D5CDD505-2E9C-101B-9397-08002B2CF9AE}" pid="6" name="header-includes">
    <vt:lpwstr/>
  </property>
  <property fmtid="{D5CDD505-2E9C-101B-9397-08002B2CF9AE}" pid="7" name="indent">
    <vt:lpwstr>True</vt:lpwstr>
  </property>
  <property fmtid="{D5CDD505-2E9C-101B-9397-08002B2CF9AE}" pid="8" name="output">
    <vt:lpwstr/>
  </property>
  <property fmtid="{D5CDD505-2E9C-101B-9397-08002B2CF9AE}" pid="9" name="toc">
    <vt:lpwstr>True</vt:lpwstr>
  </property>
</Properties>
</file>