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司空网WebGL开发规范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基本设定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基本单位(units)：参考autodesk等工程建模软件的设定，我们系统的基本单位为mm(毫米)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坐标方向：Y UP, -Z Forward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项目主体采用Typescript开发（JavaScript的超集，集成了很多ES6，ES7的特性可以视作未来的JavaScript），为了便于阅读和理解项目里的Typescript代码应遵循如下规范。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1.变量声明</w:t>
      </w:r>
    </w:p>
    <w:p>
      <w:pPr>
        <w:widowControl/>
        <w:spacing w:before="0" w:after="0"/>
      </w:pPr>
      <w:r>
        <w:rPr>
          <w:rFonts w:hint="eastAsia"/>
        </w:rPr>
        <w:t>变量必须在使用前用var</w:t>
      </w:r>
      <w:r>
        <w:rPr>
          <w:rFonts w:hint="eastAsia"/>
          <w:lang w:val="en-US" w:eastAsia="zh-CN"/>
        </w:rPr>
        <w:t>,let或const</w:t>
      </w:r>
      <w:r>
        <w:rPr>
          <w:rFonts w:hint="eastAsia"/>
        </w:rPr>
        <w:t>进行声明；</w:t>
      </w:r>
    </w:p>
    <w:p>
      <w:pPr>
        <w:widowControl/>
        <w:spacing w:before="0" w:after="0"/>
      </w:pPr>
      <w:r>
        <w:rPr>
          <w:rFonts w:hint="eastAsia"/>
        </w:rPr>
        <w:t>可在一行内声明多个变量， 但要考虑美观易读；</w:t>
      </w:r>
    </w:p>
    <w:p>
      <w:pPr>
        <w:widowControl/>
        <w:spacing w:before="0" w:after="0"/>
      </w:pPr>
      <w:r>
        <w:rPr>
          <w:rFonts w:hint="eastAsia"/>
        </w:rPr>
        <w:t xml:space="preserve">// 银行名称, 银行帐号 </w:t>
      </w:r>
    </w:p>
    <w:p>
      <w:pPr>
        <w:widowControl/>
        <w:spacing w:before="0" w:after="0"/>
      </w:pPr>
      <w:r>
        <w:t>var type, acc;</w:t>
      </w:r>
    </w:p>
    <w:p>
      <w:pPr>
        <w:widowControl/>
        <w:spacing w:before="0" w:after="0"/>
      </w:pPr>
    </w:p>
    <w:p>
      <w:pPr>
        <w:widowControl/>
        <w:spacing w:before="0" w:after="0"/>
      </w:pPr>
    </w:p>
    <w:p>
      <w:pPr>
        <w:widowControl/>
        <w:spacing w:before="0" w:after="0"/>
      </w:pPr>
      <w:r>
        <w:rPr>
          <w:rFonts w:hint="eastAsia"/>
        </w:rPr>
        <w:t>// 银行名称, 银行帐号</w:t>
      </w:r>
    </w:p>
    <w:p>
      <w:pPr>
        <w:widowControl/>
        <w:spacing w:before="0" w:after="0"/>
      </w:pPr>
      <w:r>
        <w:rPr>
          <w:rFonts w:hint="eastAsia"/>
        </w:rPr>
        <w:t>var type = "中国银行", acc = "xxxxxx";</w:t>
      </w:r>
    </w:p>
    <w:p>
      <w:pPr>
        <w:widowControl/>
        <w:spacing w:before="0" w:after="0"/>
      </w:pPr>
    </w:p>
    <w:p>
      <w:pPr>
        <w:widowControl/>
        <w:spacing w:before="0" w:after="0"/>
      </w:pPr>
      <w:r>
        <w:rPr>
          <w:rFonts w:hint="eastAsia"/>
        </w:rPr>
        <w:t>var type = "中国银行",   // 银行名称</w:t>
      </w:r>
    </w:p>
    <w:p>
      <w:pPr>
        <w:widowControl/>
        <w:spacing w:before="0" w:after="0"/>
      </w:pPr>
      <w:r>
        <w:rPr>
          <w:rFonts w:hint="eastAsia"/>
        </w:rPr>
        <w:t xml:space="preserve">    acc = "xxxxxx";      // 银行帐号</w:t>
      </w:r>
    </w:p>
    <w:p>
      <w:pPr>
        <w:widowControl/>
        <w:spacing w:before="0" w:after="0"/>
      </w:pPr>
      <w:r>
        <w:rPr>
          <w:rFonts w:hint="eastAsia"/>
        </w:rPr>
        <w:t>尽量使用易于理解的变量名，如：</w:t>
      </w:r>
    </w:p>
    <w:p>
      <w:pPr>
        <w:widowControl/>
        <w:spacing w:before="0" w:after="0"/>
      </w:pPr>
      <w:r>
        <w:rPr>
          <w:rFonts w:hint="eastAsia"/>
        </w:rPr>
        <w:t>var bankType = "中国银行",</w:t>
      </w:r>
    </w:p>
    <w:p>
      <w:pPr>
        <w:widowControl/>
        <w:spacing w:before="0" w:after="0"/>
      </w:pPr>
      <w:r>
        <w:t xml:space="preserve">    bankAccount = "xxxxxx";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类型声明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类声明需要遵循驼峰标示，如果类名中存在英文缩写该缩写可以全部使用大写 WonderVR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接口声明需要带有I前缀，如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IDynamic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update(delta?:number);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模块中使用的接口要求在该模块目录下放置type.ts文件，对模块所用的接口统一声明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文件与模块命名规范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模块应用应遵循 import xxx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单模块文件名应与模块名相同，并遵循 export default class ClassName语法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多模块文件文件名应使用小写字母，多个单词以下划线区分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可执行文件（非模块文件）应采用小写字母命名，如main.ts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类库引用规范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项目运行时引用的外部模块需放置在library目录下，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当引用外部模块时需同时在typings下添加该模块的.d.ts声明目录，并在typings/tsd.d.ts配置引入该声明，如：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 &lt;reference path="threejs/three.d.ts" /&gt;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所有美术资源文件均被放置在resource目录下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需要随项目发布的静态美术资源应被放置在resource/runtime下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</w:t>
      </w:r>
      <w:bookmarkStart w:id="0" w:name="_GoBack"/>
      <w:bookmarkEnd w:id="0"/>
      <w:r>
        <w:rPr>
          <w:rFonts w:hint="eastAsia"/>
          <w:lang w:val="en-US" w:eastAsia="zh-CN"/>
        </w:rPr>
        <w:t>中使用的美术源文件应被放置在resource/source目录下，如resource/source/school_furniture.blend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项目使用nodejs &amp; gulp为基本构建工具，以tsc和tsconfig.json为编译工具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为方便和IDE的集成，在项目跟目录下直接运行：tsc 命令应该就可以完成开发环境下所需要的编译工作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测试驱动开发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test目录下存放了项目开发中使用的单元测试模块，集成测试暂无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88024">
    <w:nsid w:val="566E9658"/>
    <w:multiLevelType w:val="singleLevel"/>
    <w:tmpl w:val="566E9658"/>
    <w:lvl w:ilvl="0" w:tentative="1">
      <w:start w:val="1"/>
      <w:numFmt w:val="decimal"/>
      <w:suff w:val="nothing"/>
      <w:lvlText w:val="%1."/>
      <w:lvlJc w:val="left"/>
    </w:lvl>
  </w:abstractNum>
  <w:abstractNum w:abstractNumId="1450087172">
    <w:nsid w:val="566E9304"/>
    <w:multiLevelType w:val="singleLevel"/>
    <w:tmpl w:val="566E9304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0088024"/>
  </w:num>
  <w:num w:numId="2">
    <w:abstractNumId w:val="1450087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97F68"/>
    <w:rsid w:val="07780B4E"/>
    <w:rsid w:val="08DE171A"/>
    <w:rsid w:val="0AF5210A"/>
    <w:rsid w:val="0EB01B25"/>
    <w:rsid w:val="0F4A7B25"/>
    <w:rsid w:val="0FBF1CE2"/>
    <w:rsid w:val="11AF0294"/>
    <w:rsid w:val="13F13CC6"/>
    <w:rsid w:val="15CC6A4F"/>
    <w:rsid w:val="163D0008"/>
    <w:rsid w:val="17124B68"/>
    <w:rsid w:val="181E3DA1"/>
    <w:rsid w:val="18E83469"/>
    <w:rsid w:val="190A4CA3"/>
    <w:rsid w:val="194E6691"/>
    <w:rsid w:val="19512E99"/>
    <w:rsid w:val="1D73135F"/>
    <w:rsid w:val="229F0FDC"/>
    <w:rsid w:val="22F619EB"/>
    <w:rsid w:val="23DF1969"/>
    <w:rsid w:val="244D419B"/>
    <w:rsid w:val="244E7A1E"/>
    <w:rsid w:val="25B7376D"/>
    <w:rsid w:val="267351A5"/>
    <w:rsid w:val="29C9741A"/>
    <w:rsid w:val="2B590E2A"/>
    <w:rsid w:val="2BD36576"/>
    <w:rsid w:val="2BDC5B80"/>
    <w:rsid w:val="2C952DB1"/>
    <w:rsid w:val="2CA455C9"/>
    <w:rsid w:val="2F00322A"/>
    <w:rsid w:val="2FCD70FB"/>
    <w:rsid w:val="2FDE1594"/>
    <w:rsid w:val="31200CA6"/>
    <w:rsid w:val="313E3AD9"/>
    <w:rsid w:val="352978C7"/>
    <w:rsid w:val="37C06287"/>
    <w:rsid w:val="39674039"/>
    <w:rsid w:val="3A96472B"/>
    <w:rsid w:val="3AB54FE0"/>
    <w:rsid w:val="3AF13B40"/>
    <w:rsid w:val="3B965952"/>
    <w:rsid w:val="3BA62369"/>
    <w:rsid w:val="3C2B5E46"/>
    <w:rsid w:val="3E116F60"/>
    <w:rsid w:val="3F536673"/>
    <w:rsid w:val="3FA376F7"/>
    <w:rsid w:val="3FAD5A88"/>
    <w:rsid w:val="43064505"/>
    <w:rsid w:val="46B77214"/>
    <w:rsid w:val="47C92554"/>
    <w:rsid w:val="4A1B4023"/>
    <w:rsid w:val="4AF15640"/>
    <w:rsid w:val="4B50661E"/>
    <w:rsid w:val="53A61FCB"/>
    <w:rsid w:val="540F6177"/>
    <w:rsid w:val="54227396"/>
    <w:rsid w:val="56A838BD"/>
    <w:rsid w:val="578F4AB4"/>
    <w:rsid w:val="58AB1D89"/>
    <w:rsid w:val="58DC2558"/>
    <w:rsid w:val="59342BE6"/>
    <w:rsid w:val="5A325088"/>
    <w:rsid w:val="5AAD0254"/>
    <w:rsid w:val="5B235C95"/>
    <w:rsid w:val="5B8F2DC6"/>
    <w:rsid w:val="5BB74E83"/>
    <w:rsid w:val="5C1874A6"/>
    <w:rsid w:val="5CF1718A"/>
    <w:rsid w:val="62441245"/>
    <w:rsid w:val="62AC31F3"/>
    <w:rsid w:val="6C760C80"/>
    <w:rsid w:val="6D697F68"/>
    <w:rsid w:val="6EFD2C28"/>
    <w:rsid w:val="6EFE06AA"/>
    <w:rsid w:val="721056AE"/>
    <w:rsid w:val="743E1546"/>
    <w:rsid w:val="75E605FD"/>
    <w:rsid w:val="76307777"/>
    <w:rsid w:val="77EA1FCC"/>
    <w:rsid w:val="7AD52994"/>
    <w:rsid w:val="7AFF705B"/>
    <w:rsid w:val="7B0434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2015-12-14T09:31:00Z</dcterms:created>
  <dc:creator>gastr</dc:creator>
  <cp:lastModifiedBy>gastr</cp:lastModifiedBy>
  <dcterms:modified xsi:type="dcterms:W3CDTF">2015-12-14T10:30:05Z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