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960"/>
        <w:jc w:val="center"/>
      </w:pPr>
      <w:r>
        <w:rPr>
          <w:rFonts w:ascii="Arial" w:cs="Arial" w:eastAsia="Arial" w:hAnsi="Arial"/>
          <w:b/>
          <w:bCs/>
          <w:color w:val="1F3864"/>
          <w:sz w:val="36"/>
          <w:szCs w:val="36"/>
        </w:rPr>
        <w:t xml:space="preserve">CASE NARRATIVE</w:t>
      </w:r>
    </w:p>
    <w:p>
      <w:pPr>
        <w:spacing w:after="120" w:before="0"/>
        <w:jc w:val="center"/>
      </w:pPr>
      <w:r>
        <w:rPr>
          <w:rFonts w:ascii="Arial" w:cs="Arial" w:eastAsia="Arial" w:hAnsi="Arial"/>
          <w:b/>
          <w:bCs/>
          <w:color w:val="1F3864"/>
          <w:sz w:val="28"/>
          <w:szCs w:val="28"/>
        </w:rPr>
        <w:t xml:space="preserve">Miller v. Professional Music Teachers of New Mexico</w:t>
      </w:r>
    </w:p>
    <w:p>
      <w:pPr>
        <w:spacing w:after="80" w:before="0"/>
        <w:jc w:val="center"/>
      </w:pPr>
      <w:r>
        <w:rPr>
          <w:rFonts w:ascii="Arial" w:cs="Arial" w:eastAsia="Arial" w:hAnsi="Arial"/>
          <w:color w:val="595959"/>
          <w:sz w:val="22"/>
          <w:szCs w:val="22"/>
        </w:rPr>
        <w:t xml:space="preserve">Case No. D-202-CV-202601296</w:t>
      </w:r>
    </w:p>
    <w:p>
      <w:pPr>
        <w:spacing w:after="80" w:before="0"/>
        <w:jc w:val="center"/>
      </w:pPr>
      <w:r>
        <w:rPr>
          <w:rFonts w:ascii="Arial" w:cs="Arial" w:eastAsia="Arial" w:hAnsi="Arial"/>
          <w:color w:val="595959"/>
          <w:sz w:val="22"/>
          <w:szCs w:val="22"/>
        </w:rPr>
        <w:t xml:space="preserve">2nd Judicial District Court, State of New Mexico</w:t>
      </w:r>
    </w:p>
    <w:p>
      <w:pPr>
        <w:spacing w:after="480" w:before="0"/>
        <w:jc w:val="center"/>
      </w:pPr>
      <w:r>
        <w:rPr>
          <w:rFonts w:ascii="Arial" w:cs="Arial" w:eastAsia="Arial" w:hAnsi="Arial"/>
          <w:color w:val="595959"/>
          <w:sz w:val="20"/>
          <w:szCs w:val="20"/>
        </w:rPr>
        <w:t xml:space="preserve">Prepared May 2026 — Attorney Work Product / Confidential</w:t>
      </w:r>
    </w:p>
    <w:p>
      <w:pPr>
        <w:pBdr>
          <w:bottom w:val="single" w:color="2E75B6" w:sz="6" w:space="1"/>
        </w:pBdr>
        <w:spacing w:after="240" w:before="240"/>
      </w:pPr>
      <w:r>
        <w:t xml:space="preserve"/>
      </w:r>
    </w:p>
    <w:p>
      <w:pPr>
        <w:spacing w:after="160" w:before="0"/>
      </w:pPr>
      <w:r>
        <w:rPr>
          <w:rFonts w:ascii="Arial" w:cs="Arial" w:eastAsia="Arial" w:hAnsi="Arial"/>
          <w:sz w:val="22"/>
          <w:szCs w:val="22"/>
        </w:rPr>
        <w:t xml:space="preserve">This document is a narrative account of the events underlying the petition filed January 27, 2026 in Miller v. PMTNM. It is written to be read alongside the PMTNM Violations Database, which catalogs 43 documented violations with supporting evidence and statutory citations. Where the database records </w:t>
      </w:r>
      <w:r>
        <w:rPr>
          <w:rFonts w:ascii="Arial" w:cs="Arial" w:eastAsia="Arial" w:hAnsi="Arial"/>
          <w:b/>
          <w:bCs/>
          <w:sz w:val="22"/>
          <w:szCs w:val="22"/>
        </w:rPr>
        <w:t xml:space="preserve">what</w:t>
      </w:r>
      <w:r>
        <w:rPr>
          <w:rFonts w:ascii="Arial" w:cs="Arial" w:eastAsia="Arial" w:hAnsi="Arial"/>
          <w:sz w:val="22"/>
          <w:szCs w:val="22"/>
        </w:rPr>
        <w:t xml:space="preserve"> happened, this narrative attempts to explain </w:t>
      </w:r>
      <w:r>
        <w:rPr>
          <w:rFonts w:ascii="Arial" w:cs="Arial" w:eastAsia="Arial" w:hAnsi="Arial"/>
          <w:b/>
          <w:bCs/>
          <w:sz w:val="22"/>
          <w:szCs w:val="22"/>
        </w:rPr>
        <w:t xml:space="preserve">why it matters</w:t>
      </w:r>
      <w:r>
        <w:rPr>
          <w:rFonts w:ascii="Arial" w:cs="Arial" w:eastAsia="Arial" w:hAnsi="Arial"/>
          <w:sz w:val="22"/>
          <w:szCs w:val="22"/>
        </w:rPr>
        <w:t xml:space="preserve"> — the pattern, the context, and the human texture of a governance failure two years in the making.</w:t>
      </w:r>
    </w:p>
    <w:p>
      <w:pPr>
        <w:spacing w:after="160" w:before="0"/>
      </w:pPr>
      <w:r>
        <w:rPr>
          <w:rFonts w:ascii="Arial" w:cs="Arial" w:eastAsia="Arial" w:hAnsi="Arial"/>
          <w:sz w:val="22"/>
          <w:szCs w:val="22"/>
        </w:rPr>
        <w:t xml:space="preserve">All quotations in this document are verbatim from audio recordings, email records, text messages, or official filings. Sources are identified by date and, where applicable, Gmail thread ID or audio timestamp for independent verification.</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I. The Organization and the Problem</w:t>
      </w:r>
    </w:p>
    <w:p>
      <w:pPr>
        <w:spacing w:after="160" w:before="0"/>
      </w:pPr>
      <w:r>
        <w:rPr>
          <w:rFonts w:ascii="Arial" w:cs="Arial" w:eastAsia="Arial" w:hAnsi="Arial"/>
          <w:sz w:val="22"/>
          <w:szCs w:val="22"/>
        </w:rPr>
        <w:t xml:space="preserve">The Professional Music Teachers of New Mexico (PMTNM) is a 501(c)(6) nonprofit professional association affiliated with the Music Teachers National Association (MTNA). Its stated purpose is to support music teachers and advance music education across New Mexico. It collects membership dues, holds an annual conference, administers a Teacher of the Year award, and distributes scholarship funds. Its annual revenue is approximately $15,000 to $20,000 — roughly the operating budget of a small household.</w:t>
      </w:r>
    </w:p>
    <w:p>
      <w:pPr>
        <w:spacing w:after="160" w:before="0"/>
      </w:pPr>
      <w:r>
        <w:rPr>
          <w:rFonts w:ascii="Arial" w:cs="Arial" w:eastAsia="Arial" w:hAnsi="Arial"/>
          <w:sz w:val="22"/>
          <w:szCs w:val="22"/>
        </w:rPr>
        <w:t xml:space="preserve">For at least the past decade, PMTNM has been governed by one person.</w:t>
      </w:r>
    </w:p>
    <w:p>
      <w:pPr>
        <w:spacing w:after="160" w:before="0"/>
      </w:pPr>
      <w:r>
        <w:rPr>
          <w:rFonts w:ascii="Arial" w:cs="Arial" w:eastAsia="Arial" w:hAnsi="Arial"/>
          <w:sz w:val="22"/>
          <w:szCs w:val="22"/>
        </w:rPr>
        <w:t xml:space="preserve">Jeanne Grealish has served as Executive Secretary-Treasurer (EST) for more than twenty years. She is the sole signatory on all seven of PMTNM’s bank accounts. She is PMTNM’s sole contact with its CPA. She maintains all financial records at her personal residence. Meeting minutes from past years are stored in a storage unit she controls — the same unit where she has admitted storing personal furniture. She has not permitted any independent audit of the books since the organization’s Auditing Committee — required by the PMTNM Handbook — was unilaterally disbanded.</w:t>
      </w:r>
    </w:p>
    <w:p>
      <w:pPr>
        <w:spacing w:after="160" w:before="0"/>
      </w:pPr>
      <w:r>
        <w:rPr>
          <w:rFonts w:ascii="Arial" w:cs="Arial" w:eastAsia="Arial" w:hAnsi="Arial"/>
          <w:sz w:val="22"/>
          <w:szCs w:val="22"/>
        </w:rPr>
        <w:t xml:space="preserve">In October 2025, when attorney Kathy Black formally demanded PMTNM’s financial records on behalf of the Vice President under NMSA §53-8-27, Grealish responded in writing: </w:t>
      </w:r>
      <w:r>
        <w:rPr>
          <w:rFonts w:ascii="Arial" w:cs="Arial" w:eastAsia="Arial" w:hAnsi="Arial"/>
          <w:color w:val="1F3864"/>
          <w:sz w:val="22"/>
          <w:szCs w:val="22"/>
        </w:rPr>
        <w:t xml:space="preserve">“It is not physically possible for me to bring the requested items to your office on Friday, October 31, 2025.”</w:t>
      </w:r>
      <w:r>
        <w:rPr>
          <w:rFonts w:ascii="Arial" w:cs="Arial" w:eastAsia="Arial" w:hAnsi="Arial"/>
          <w:sz w:val="22"/>
          <w:szCs w:val="22"/>
        </w:rPr>
        <w:t xml:space="preserve"> She added: </w:t>
      </w:r>
      <w:r>
        <w:rPr>
          <w:rFonts w:ascii="Arial" w:cs="Arial" w:eastAsia="Arial" w:hAnsi="Arial"/>
          <w:color w:val="1F3864"/>
          <w:sz w:val="22"/>
          <w:szCs w:val="22"/>
        </w:rPr>
        <w:t xml:space="preserve">“PMTNM does not do online banking.”</w:t>
      </w:r>
    </w:p>
    <w:p>
      <w:pPr>
        <w:spacing w:after="160" w:before="0"/>
      </w:pPr>
      <w:r>
        <w:rPr>
          <w:rFonts w:ascii="Arial" w:cs="Arial" w:eastAsia="Arial" w:hAnsi="Arial"/>
          <w:sz w:val="22"/>
          <w:szCs w:val="22"/>
        </w:rPr>
        <w:t xml:space="preserve">That same month, she wrote to the attorney: </w:t>
      </w:r>
      <w:r>
        <w:rPr>
          <w:rFonts w:ascii="Arial" w:cs="Arial" w:eastAsia="Arial" w:hAnsi="Arial"/>
          <w:color w:val="1F3864"/>
          <w:sz w:val="22"/>
          <w:szCs w:val="22"/>
        </w:rPr>
        <w:t xml:space="preserve">“PMTNM does not have a separate Finance Committee. It has not had an Auditing Comm. since hiring a CPA to double check all activity.”</w:t>
      </w:r>
      <w:r>
        <w:rPr>
          <w:rFonts w:ascii="Arial" w:cs="Arial" w:eastAsia="Arial" w:hAnsi="Arial"/>
          <w:sz w:val="22"/>
          <w:szCs w:val="22"/>
        </w:rPr>
        <w:t xml:space="preserve"> What Grealish describes as a reasonable substitution — hiring a CPA — is legally and functionally something different: a tax preparer who works from materials Grealish herself provides, performing no independent verification of ledgers, journals, or checkbook entries.</w:t>
      </w:r>
    </w:p>
    <w:p>
      <w:pPr>
        <w:spacing w:after="160" w:before="0"/>
      </w:pPr>
      <w:r>
        <w:rPr>
          <w:rFonts w:ascii="Arial" w:cs="Arial" w:eastAsia="Arial" w:hAnsi="Arial"/>
          <w:sz w:val="22"/>
          <w:szCs w:val="22"/>
        </w:rPr>
        <w:t xml:space="preserve">The petition filed January 27, 2026 does not ask the court to settle a personality dispute. It asks the court to remedy a structural governance failure: an organization whose finances are entirely controlled by one unaccountable officer, whose governing documents have been dismissed as irrelevant, and whose elected Vice President was systematically denied the information and authority his office required.</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II. A Man Who Read the Handbook</w:t>
      </w:r>
    </w:p>
    <w:p>
      <w:pPr>
        <w:spacing w:after="160" w:before="0"/>
      </w:pPr>
      <w:r>
        <w:rPr>
          <w:rFonts w:ascii="Arial" w:cs="Arial" w:eastAsia="Arial" w:hAnsi="Arial"/>
          <w:sz w:val="22"/>
          <w:szCs w:val="22"/>
        </w:rPr>
        <w:t xml:space="preserve">Willis Glen Miller III — Chip — came to New Mexico in 2021. He is a pianist, piano technician, and teacher with fifteen years of prior experience in the technology sector. He joined PMTNM as a member and, at the encouragement of Cheryl Pachak-Brooks (then the outgoing Vice President), agreed to stand for election to the Vice President position.</w:t>
      </w:r>
    </w:p>
    <w:p>
      <w:pPr>
        <w:spacing w:after="160" w:before="0"/>
      </w:pPr>
      <w:r>
        <w:rPr>
          <w:rFonts w:ascii="Arial" w:cs="Arial" w:eastAsia="Arial" w:hAnsi="Arial"/>
          <w:sz w:val="22"/>
          <w:szCs w:val="22"/>
        </w:rPr>
        <w:t xml:space="preserve">Before doing so, he read the handbook.</w:t>
      </w:r>
    </w:p>
    <w:p>
      <w:pPr>
        <w:spacing w:after="160" w:before="0"/>
      </w:pPr>
      <w:r>
        <w:rPr>
          <w:rFonts w:ascii="Arial" w:cs="Arial" w:eastAsia="Arial" w:hAnsi="Arial"/>
          <w:sz w:val="22"/>
          <w:szCs w:val="22"/>
        </w:rPr>
        <w:t xml:space="preserve">This is not a small detail. The PMTNM Handbook — a governing document that Grealish would later describe as “grossly out of date” and legally irrelevant — defines the Vice President’s role with specificity: VP is a member of the Budget Committee by right; the VP is to be allocated duties by the President and trained for succession; the VP is expected to attend the annual MTNA conference. Chip read these provisions before taking office and understood them as obligations, not suggestions.</w:t>
      </w:r>
    </w:p>
    <w:p>
      <w:pPr>
        <w:spacing w:after="160" w:before="0"/>
      </w:pPr>
      <w:r>
        <w:rPr>
          <w:rFonts w:ascii="Arial" w:cs="Arial" w:eastAsia="Arial" w:hAnsi="Arial"/>
          <w:sz w:val="22"/>
          <w:szCs w:val="22"/>
        </w:rPr>
        <w:t xml:space="preserve">He also understood what he was walking into. While teaching piano at the New Mexico School of Music (NMSM) in 2023, he identified a conflict of interest: the school’s director, Lawrence (Larry) Blind, was simultaneously serving as PMTNM’s Immediate Past President and would be chairing the Nominating Committee responsible for recommending the next VP candidate. Chip concluded that continuing to work for Larry’s school while serving in a PMTNM leadership role was ethically untenable. He left NMSM voluntarily — in his words, because he “decided that it was a conflict of interest to continue teaching at NMSM.” Larry Blind later confirmed this in writing.</w:t>
      </w:r>
    </w:p>
    <w:p>
      <w:pPr>
        <w:spacing w:after="160" w:before="0"/>
      </w:pPr>
      <w:r>
        <w:rPr>
          <w:rFonts w:ascii="Arial" w:cs="Arial" w:eastAsia="Arial" w:hAnsi="Arial"/>
          <w:sz w:val="22"/>
          <w:szCs w:val="22"/>
        </w:rPr>
        <w:t xml:space="preserve">That decision — to identify an ethical conflict and self-remove — is the first thing worth understanding about Chip Miller. The rest of the story follows from it: a man who took governance seriously, entering an organization where governance had been a formality for twenty years.</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III. The Prologue: NMSM and the 2023 TOTY</w:t>
      </w:r>
    </w:p>
    <w:p>
      <w:pPr>
        <w:spacing w:after="160" w:before="0"/>
      </w:pPr>
      <w:r>
        <w:rPr>
          <w:rFonts w:ascii="Arial" w:cs="Arial" w:eastAsia="Arial" w:hAnsi="Arial"/>
          <w:sz w:val="22"/>
          <w:szCs w:val="22"/>
        </w:rPr>
        <w:t xml:space="preserve">Before Chip became VP, he was present for an event that reveals the organizational culture he was entering.</w:t>
      </w:r>
    </w:p>
    <w:p>
      <w:pPr>
        <w:spacing w:after="160" w:before="0"/>
      </w:pPr>
      <w:r>
        <w:rPr>
          <w:rFonts w:ascii="Arial" w:cs="Arial" w:eastAsia="Arial" w:hAnsi="Arial"/>
          <w:sz w:val="22"/>
          <w:szCs w:val="22"/>
        </w:rPr>
        <w:t xml:space="preserve">In October 2023, Larry Blind administered the PMTNM Teacher of the Year (TOTY) vote. He sent the vote solicitation from his NMSM business email address (lblind@nmschoolofmusic.com) to PMTNM members — an immediate conflict: he was using his employer’s resources to conduct PMTNM business. The two nominees were Terri Reck, an independent community teacher with 47 years of experience, five AMTA committee leadership roles, and decades as Music Bowl Chair; and Tatiana Vetrinskaya, a teacher employed by Larry’s school and co-founder of NMSM.</w:t>
      </w:r>
    </w:p>
    <w:p>
      <w:pPr>
        <w:spacing w:after="160" w:before="0"/>
      </w:pPr>
      <w:r>
        <w:rPr>
          <w:rFonts w:ascii="Arial" w:cs="Arial" w:eastAsia="Arial" w:hAnsi="Arial"/>
          <w:sz w:val="22"/>
          <w:szCs w:val="22"/>
        </w:rPr>
        <w:t xml:space="preserve">Larry wrote Tatiana’s nomination himself. He submitted it from his personal email (lawrenceblind@msn.com). The nomination’s closing line — </w:t>
      </w:r>
      <w:r>
        <w:rPr>
          <w:rFonts w:ascii="Arial" w:cs="Arial" w:eastAsia="Arial" w:hAnsi="Arial"/>
          <w:color w:val="1F3864"/>
          <w:sz w:val="22"/>
          <w:szCs w:val="22"/>
        </w:rPr>
        <w:t xml:space="preserve">“business acumen… it is what I know she is most proud of”</w:t>
      </w:r>
      <w:r>
        <w:rPr>
          <w:rFonts w:ascii="Arial" w:cs="Arial" w:eastAsia="Arial" w:hAnsi="Arial"/>
          <w:sz w:val="22"/>
          <w:szCs w:val="22"/>
        </w:rPr>
        <w:t xml:space="preserve"> — is written from the first-person perspective of someone who knows the nominee personally, not a neutral description. “Business acumen” is not a PMTNM TOTY criterion. The nomination also lists as an achievement that Tatiana “will present a workshop at the 2023 PMTNM Conference” — a future event that had not yet occurred at the time of submission.</w:t>
      </w:r>
    </w:p>
    <w:p>
      <w:pPr>
        <w:spacing w:after="160" w:before="0"/>
      </w:pPr>
      <w:r>
        <w:rPr>
          <w:rFonts w:ascii="Arial" w:cs="Arial" w:eastAsia="Arial" w:hAnsi="Arial"/>
          <w:sz w:val="22"/>
          <w:szCs w:val="22"/>
        </w:rPr>
        <w:t xml:space="preserve">Tatiana won. Larry disclosed no conflict of interest.</w:t>
      </w:r>
    </w:p>
    <w:p>
      <w:pPr>
        <w:spacing w:after="160" w:before="0"/>
      </w:pPr>
      <w:r>
        <w:rPr>
          <w:rFonts w:ascii="Arial" w:cs="Arial" w:eastAsia="Arial" w:hAnsi="Arial"/>
          <w:sz w:val="22"/>
          <w:szCs w:val="22"/>
        </w:rPr>
        <w:t xml:space="preserve">The following year, PMTNM member Haewon Yang — who had voted in the contest — confirmed in writing: </w:t>
      </w:r>
      <w:r>
        <w:rPr>
          <w:rFonts w:ascii="Arial" w:cs="Arial" w:eastAsia="Arial" w:hAnsi="Arial"/>
          <w:color w:val="1F3864"/>
          <w:sz w:val="22"/>
          <w:szCs w:val="22"/>
        </w:rPr>
        <w:t xml:space="preserve">“I voted for the person who had a bio that sounded like they deserved the award.”</w:t>
      </w:r>
      <w:r>
        <w:rPr>
          <w:rFonts w:ascii="Arial" w:cs="Arial" w:eastAsia="Arial" w:hAnsi="Arial"/>
          <w:sz w:val="22"/>
          <w:szCs w:val="22"/>
        </w:rPr>
        <w:t xml:space="preserve"> She had not known who either nominee was. She voted on presentation. The presentation was written by the nominee’s employer and supervisor.</w:t>
      </w:r>
    </w:p>
    <w:p>
      <w:pPr>
        <w:spacing w:after="160" w:before="0"/>
      </w:pPr>
      <w:r>
        <w:rPr>
          <w:rFonts w:ascii="Arial" w:cs="Arial" w:eastAsia="Arial" w:hAnsi="Arial"/>
          <w:sz w:val="22"/>
          <w:szCs w:val="22"/>
        </w:rPr>
        <w:t xml:space="preserve">In 2025, Grealish made three separate attempts during a board meeting to nullify Terri Reck’s TOTY nomination, stating that Reck had “not contributed very much to community service.” This directly contradicts Reck’s 2023 submission — a document Grealish’s organization had received and retained — which documented 47 years of verifiable PMTNM community engagement. Reck had been the losing nominee in two consecutive TOTY cycles, targeted by different insiders each time.</w:t>
      </w:r>
    </w:p>
    <w:p>
      <w:pPr>
        <w:spacing w:after="160" w:before="0"/>
      </w:pPr>
      <w:r>
        <w:rPr>
          <w:rFonts w:ascii="Arial" w:cs="Arial" w:eastAsia="Arial" w:hAnsi="Arial"/>
          <w:sz w:val="22"/>
          <w:szCs w:val="22"/>
        </w:rPr>
        <w:t xml:space="preserve">This is the organization Chip Miller was elected to serve.</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IV. Taking Office, Finding a Closed Door</w:t>
      </w:r>
    </w:p>
    <w:p>
      <w:pPr>
        <w:spacing w:after="160" w:before="0"/>
      </w:pPr>
      <w:r>
        <w:rPr>
          <w:rFonts w:ascii="Arial" w:cs="Arial" w:eastAsia="Arial" w:hAnsi="Arial"/>
          <w:sz w:val="22"/>
          <w:szCs w:val="22"/>
        </w:rPr>
        <w:t xml:space="preserve">Chip was appointed VP on August 14, 2024. Sharon Kunitz, recently elevated to President after the elected President-elect withdrew, confirmed his appointment by email. His first act was to ask to review PMTNM’s financial records.</w:t>
      </w:r>
    </w:p>
    <w:p>
      <w:pPr>
        <w:spacing w:after="160" w:before="0"/>
      </w:pPr>
      <w:r>
        <w:rPr>
          <w:rFonts w:ascii="Arial" w:cs="Arial" w:eastAsia="Arial" w:hAnsi="Arial"/>
          <w:sz w:val="22"/>
          <w:szCs w:val="22"/>
        </w:rPr>
        <w:t xml:space="preserve">The refusal came within days. Grealish told him his duties were limited to “collecting funds for the MTNA Foundation and recruiting members.” Sharon reinforced the refusal, telling Chip his role did not extend to financial oversight. This characterization was false: the PMTNM Handbook explicitly places the VP on the Budget Committee and the MTNA national bylaws provide additional inspection rights.</w:t>
      </w:r>
    </w:p>
    <w:p>
      <w:pPr>
        <w:spacing w:after="160" w:before="0"/>
      </w:pPr>
      <w:r>
        <w:rPr>
          <w:rFonts w:ascii="Arial" w:cs="Arial" w:eastAsia="Arial" w:hAnsi="Arial"/>
          <w:sz w:val="22"/>
          <w:szCs w:val="22"/>
        </w:rPr>
        <w:t xml:space="preserve">It would be the first of two documented refusals.</w:t>
      </w:r>
    </w:p>
    <w:p>
      <w:pPr>
        <w:spacing w:after="160" w:before="0"/>
      </w:pPr>
      <w:r>
        <w:rPr>
          <w:rFonts w:ascii="Arial" w:cs="Arial" w:eastAsia="Arial" w:hAnsi="Arial"/>
          <w:sz w:val="22"/>
          <w:szCs w:val="22"/>
        </w:rPr>
        <w:t xml:space="preserve">The second came in October 2025, when attorney Kathy Black formally demanded financial records under NMSA §53-8-27. Grealish’s response — that production was “not physically possible” by the statutory deadline — was not an administrative inconvenience. It was a description of a structural reality: a nonprofit whose financial records exist in a single person’s home and a storage unit she controls, with no online access, no second signatory, and no independent verification of any kind.</w:t>
      </w:r>
    </w:p>
    <w:p>
      <w:pPr>
        <w:spacing w:after="160" w:before="0"/>
      </w:pPr>
      <w:r>
        <w:rPr>
          <w:rFonts w:ascii="Arial" w:cs="Arial" w:eastAsia="Arial" w:hAnsi="Arial"/>
          <w:sz w:val="22"/>
          <w:szCs w:val="22"/>
        </w:rPr>
        <w:t xml:space="preserve">In the same letter to Black, Grealish confirmed that all past meeting minutes are stored in that storage unit alongside her personal furniture.</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V. “PMTNM Does Not Function Under Any Legal Mandates”</w:t>
      </w:r>
    </w:p>
    <w:p>
      <w:pPr>
        <w:spacing w:after="160" w:before="0"/>
      </w:pPr>
      <w:r>
        <w:rPr>
          <w:rFonts w:ascii="Arial" w:cs="Arial" w:eastAsia="Arial" w:hAnsi="Arial"/>
          <w:sz w:val="22"/>
          <w:szCs w:val="22"/>
        </w:rPr>
        <w:t xml:space="preserve">On October 7, 2025, Chip sent an email requesting a Budget Committee meeting — a meeting explicitly required by the PMTNM Handbook’s Bylaws (Art. IX §2). Grealish’s response was sent to all five officers. It is the most important single document in the case.</w:t>
      </w:r>
    </w:p>
    <w:p>
      <w:pPr>
        <w:pBdr>
          <w:left w:val="single" w:color="2E75B6" w:sz="18" w:space="12"/>
        </w:pBdr>
        <w:spacing w:after="160" w:before="160"/>
        <w:ind w:left="720" w:right="720"/>
      </w:pPr>
      <w:r>
        <w:rPr>
          <w:rFonts w:ascii="Arial" w:cs="Arial" w:eastAsia="Arial" w:hAnsi="Arial"/>
          <w:color w:val="1F3864"/>
          <w:sz w:val="22"/>
          <w:szCs w:val="22"/>
        </w:rPr>
        <w:t xml:space="preserve">“As for any statements in the Handbook regarding the budget, committee, dates, etc. these would be grossly out of date since the Handbook itself is no longer current and requires serious revision. Thanks heaven, PMTNM does not function under any legal mandates!”</w:t>
      </w:r>
      <w:r>
        <w:rPr>
          <w:rFonts w:ascii="Arial" w:cs="Arial" w:eastAsia="Arial" w:hAnsi="Arial"/>
          <w:color w:val="595959"/>
          <w:sz w:val="20"/>
          <w:szCs w:val="20"/>
        </w:rPr>
        <w:t xml:space="preserve">  — Jeanne Grealish, October 7, 2025, to all five PMTNM officers</w:t>
      </w:r>
    </w:p>
    <w:p>
      <w:pPr>
        <w:spacing w:after="160" w:before="0"/>
      </w:pPr>
      <w:r>
        <w:rPr>
          <w:rFonts w:ascii="Arial" w:cs="Arial" w:eastAsia="Arial" w:hAnsi="Arial"/>
          <w:sz w:val="22"/>
          <w:szCs w:val="22"/>
        </w:rPr>
        <w:t xml:space="preserve">This statement was not a philosophical aside. It was a direct, specific rejection of the governing document Chip had cited — written in response to his request for a mandated committee meeting, sent to every officer, and preserved in email. Attorney Kathy Black reviewed it and concluded: “The organization is not following the handbook regarding committees.”</w:t>
      </w:r>
    </w:p>
    <w:p>
      <w:pPr>
        <w:spacing w:after="160" w:before="0"/>
      </w:pPr>
      <w:r>
        <w:rPr>
          <w:rFonts w:ascii="Arial" w:cs="Arial" w:eastAsia="Arial" w:hAnsi="Arial"/>
          <w:sz w:val="22"/>
          <w:szCs w:val="22"/>
        </w:rPr>
        <w:t xml:space="preserve">The Budget Committee met a formal end: “There probably will be no need for an actual meeting.” The budget for fiscal year 2025-2026 — a year that had begun July 1 — was not sent to committee members until October 29, four months into the fiscal year. During those four months, Grealish continued spending organizational funds, including $4,600 in storage costs (53% over budget), under no approved budget authority.</w:t>
      </w:r>
    </w:p>
    <w:p>
      <w:pPr>
        <w:spacing w:after="160" w:before="0"/>
      </w:pPr>
      <w:r>
        <w:rPr>
          <w:rFonts w:ascii="Arial" w:cs="Arial" w:eastAsia="Arial" w:hAnsi="Arial"/>
          <w:sz w:val="22"/>
          <w:szCs w:val="22"/>
        </w:rPr>
        <w:t xml:space="preserve">Attorney Black also discovered, within days of beginning her review, that PMTNM’s New Mexico Secretary of State annual report had been overdue since November 15, 2019 — more than six years. A PMTNM internal financial document had stated, as a matter of record: “All federal, state and local required documents and lists have been prepared and filed.” That statement was false.</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VI. The Architecture of Isolation</w:t>
      </w:r>
    </w:p>
    <w:p>
      <w:pPr>
        <w:spacing w:after="160" w:before="0"/>
      </w:pPr>
      <w:r>
        <w:rPr>
          <w:rFonts w:ascii="Arial" w:cs="Arial" w:eastAsia="Arial" w:hAnsi="Arial"/>
          <w:sz w:val="22"/>
          <w:szCs w:val="22"/>
        </w:rPr>
        <w:t xml:space="preserve">Understanding November 7, 2025 requires understanding what was built in the weeks before it.</w:t>
      </w:r>
    </w:p>
    <w:p>
      <w:pPr>
        <w:spacing w:after="160" w:before="0"/>
      </w:pPr>
      <w:r>
        <w:rPr>
          <w:rFonts w:ascii="Arial" w:cs="Arial" w:eastAsia="Arial" w:hAnsi="Arial"/>
          <w:sz w:val="22"/>
          <w:szCs w:val="22"/>
        </w:rPr>
        <w:t xml:space="preserve">Sharon Kunitz served as President. By the handbook’s own language, she was required to “keep a close liaison with all officers” and allocate duties to the Vice President. She did neither. What she had instead was a close advisory relationship with Larry Blind — the Immediate Past President — who simultaneously held three roles without disclosing any of them as conflicting: informal advisor to Sharon (an unconstrained, conventionally-defined role with no handbook boundaries), Chair of the Nominating Committee (which recommends VP candidates), and Parliamentarian for the November 7 meeting.</w:t>
      </w:r>
    </w:p>
    <w:p>
      <w:pPr>
        <w:spacing w:after="160" w:before="0"/>
      </w:pPr>
      <w:r>
        <w:rPr>
          <w:rFonts w:ascii="Arial" w:cs="Arial" w:eastAsia="Arial" w:hAnsi="Arial"/>
          <w:sz w:val="22"/>
          <w:szCs w:val="22"/>
        </w:rPr>
        <w:t xml:space="preserve">On October 14, Chip sent a formal five-item agenda request to Sharon, invoking Handbook Article VIII §5 and three New Mexico statutes. Her complete substantive response:</w:t>
      </w:r>
    </w:p>
    <w:p>
      <w:pPr>
        <w:pBdr>
          <w:left w:val="single" w:color="2E75B6" w:sz="18" w:space="12"/>
        </w:pBdr>
        <w:spacing w:after="160" w:before="160"/>
        <w:ind w:left="720" w:right="720"/>
      </w:pPr>
      <w:r>
        <w:rPr>
          <w:rFonts w:ascii="Arial" w:cs="Arial" w:eastAsia="Arial" w:hAnsi="Arial"/>
          <w:color w:val="1F3864"/>
          <w:sz w:val="22"/>
          <w:szCs w:val="22"/>
        </w:rPr>
        <w:t xml:space="preserve">“As I have said, there is more in my life than PMTNM… Will have more time for this tomorrow morning.”</w:t>
      </w:r>
      <w:r>
        <w:rPr>
          <w:rFonts w:ascii="Arial" w:cs="Arial" w:eastAsia="Arial" w:hAnsi="Arial"/>
          <w:color w:val="595959"/>
          <w:sz w:val="20"/>
          <w:szCs w:val="20"/>
        </w:rPr>
        <w:t xml:space="preserve">  — Sharon Kunitz, October 14, 2025</w:t>
      </w:r>
    </w:p>
    <w:p>
      <w:pPr>
        <w:spacing w:after="160" w:before="0"/>
      </w:pPr>
      <w:r>
        <w:rPr>
          <w:rFonts w:ascii="Arial" w:cs="Arial" w:eastAsia="Arial" w:hAnsi="Arial"/>
          <w:sz w:val="22"/>
          <w:szCs w:val="22"/>
        </w:rPr>
        <w:t xml:space="preserve">She did not follow up the next morning. She did not address any of the five items.</w:t>
      </w:r>
    </w:p>
    <w:p>
      <w:pPr>
        <w:spacing w:after="160" w:before="0"/>
      </w:pPr>
      <w:r>
        <w:rPr>
          <w:rFonts w:ascii="Arial" w:cs="Arial" w:eastAsia="Arial" w:hAnsi="Arial"/>
          <w:sz w:val="22"/>
          <w:szCs w:val="22"/>
        </w:rPr>
        <w:t xml:space="preserve">On November 4, Sharon met with Chip and attorney Kathy Black at a recorded meeting. After hearing Chip’s full report and Black’s legal recommendations, Sharon said — on the recording, at timestamp 1:14:51 — “I’ll put them on the agenda.” Black immediately confirmed on the same recording: “She’s going to put them on the agenda for Friday morning.” Black’s same-day email to Chip further confirmed: “Sharon agreed to tee up certain agenda items.”</w:t>
      </w:r>
    </w:p>
    <w:p>
      <w:pPr>
        <w:spacing w:after="160" w:before="0"/>
      </w:pPr>
      <w:r>
        <w:rPr>
          <w:rFonts w:ascii="Arial" w:cs="Arial" w:eastAsia="Arial" w:hAnsi="Arial"/>
          <w:sz w:val="22"/>
          <w:szCs w:val="22"/>
        </w:rPr>
        <w:t xml:space="preserve">Three days later, at the board meeting, Sharon said: “I did not have agenda items. So meeting is adjourned.”</w:t>
      </w:r>
    </w:p>
    <w:p>
      <w:pPr>
        <w:spacing w:after="160" w:before="0"/>
      </w:pPr>
      <w:r>
        <w:rPr>
          <w:rFonts w:ascii="Arial" w:cs="Arial" w:eastAsia="Arial" w:hAnsi="Arial"/>
          <w:sz w:val="22"/>
          <w:szCs w:val="22"/>
        </w:rPr>
        <w:t xml:space="preserve">When Chip objected — noting that the items he had submitted had not been addressed — a voice at the meeting said “You didn’t send that.” Sharon herself, in the same breath, responded: “two months ago, March 17, thank you” — inadvertently confirming that she had received his submissions two months earlier while another voice was denying they existed. The meeting minutes record: “Old Business: None. New Business: None.”</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VII. The Morning of November 7</w:t>
      </w:r>
    </w:p>
    <w:p>
      <w:pPr>
        <w:spacing w:after="160" w:before="0"/>
      </w:pPr>
      <w:r>
        <w:rPr>
          <w:rFonts w:ascii="Arial" w:cs="Arial" w:eastAsia="Arial" w:hAnsi="Arial"/>
          <w:sz w:val="22"/>
          <w:szCs w:val="22"/>
        </w:rPr>
        <w:t xml:space="preserve">The coordination against Chip did not begin at the meeting. It began at 7:07 AM.</w:t>
      </w:r>
    </w:p>
    <w:p>
      <w:pPr>
        <w:spacing w:after="160" w:before="0"/>
      </w:pPr>
      <w:r>
        <w:rPr>
          <w:rFonts w:ascii="Arial" w:cs="Arial" w:eastAsia="Arial" w:hAnsi="Arial"/>
          <w:sz w:val="22"/>
          <w:szCs w:val="22"/>
        </w:rPr>
        <w:t xml:space="preserve">Sharon sent an email at 7:07 AM — establishing a time limit for speakers. At 8:54 AM, Chip proposed using an anonymous digital voting platform for any sensitive votes, specifically citing Robert’s Rules of Order Newly Revised §§45:5–7 and 46:32–34, which require ballot votes to preserve anonymity. He offered to pre-load all fifteen board member emails into the system.</w:t>
      </w:r>
    </w:p>
    <w:p>
      <w:pPr>
        <w:spacing w:after="160" w:before="0"/>
      </w:pPr>
      <w:r>
        <w:rPr>
          <w:rFonts w:ascii="Arial" w:cs="Arial" w:eastAsia="Arial" w:hAnsi="Arial"/>
          <w:sz w:val="22"/>
          <w:szCs w:val="22"/>
        </w:rPr>
        <w:t xml:space="preserve">At 10:00 AM, Larry Blind replied — not to Chip, not to all recipients, but only to Sharon. He wrote:</w:t>
      </w:r>
    </w:p>
    <w:p>
      <w:pPr>
        <w:pBdr>
          <w:left w:val="single" w:color="2E75B6" w:sz="18" w:space="12"/>
        </w:pBdr>
        <w:spacing w:after="160" w:before="160"/>
        <w:ind w:left="720" w:right="720"/>
      </w:pPr>
      <w:r>
        <w:rPr>
          <w:rFonts w:ascii="Arial" w:cs="Arial" w:eastAsia="Arial" w:hAnsi="Arial"/>
          <w:color w:val="1F3864"/>
          <w:sz w:val="22"/>
          <w:szCs w:val="22"/>
        </w:rPr>
        <w:t xml:space="preserve">“There may be a lot of talking, but getting someone to the point of a motion can be challenging.”</w:t>
      </w:r>
      <w:r>
        <w:rPr>
          <w:rFonts w:ascii="Arial" w:cs="Arial" w:eastAsia="Arial" w:hAnsi="Arial"/>
          <w:color w:val="595959"/>
          <w:sz w:val="20"/>
          <w:szCs w:val="20"/>
        </w:rPr>
        <w:t xml:space="preserve">  — Larry Blind, 10:00 AM, November 7, 2025, to Sharon Kunitz only</w:t>
      </w:r>
    </w:p>
    <w:p>
      <w:pPr>
        <w:spacing w:after="160" w:before="0"/>
      </w:pPr>
      <w:r>
        <w:rPr>
          <w:rFonts w:ascii="Arial" w:cs="Arial" w:eastAsia="Arial" w:hAnsi="Arial"/>
          <w:sz w:val="22"/>
          <w:szCs w:val="22"/>
        </w:rPr>
        <w:t xml:space="preserve">This was not a procedural observation. It was written hours before the meeting, in a private message to the person who would preside over the meeting, ignoring the anonymous voting proposal entirely. Larry had already decided how the meeting would go.</w:t>
      </w:r>
    </w:p>
    <w:p>
      <w:pPr>
        <w:spacing w:after="160" w:before="0"/>
      </w:pPr>
      <w:r>
        <w:rPr>
          <w:rFonts w:ascii="Arial" w:cs="Arial" w:eastAsia="Arial" w:hAnsi="Arial"/>
          <w:sz w:val="22"/>
          <w:szCs w:val="22"/>
        </w:rPr>
        <w:t xml:space="preserve">At 10:11 AM, Larry counter-proposed that votes be sent by text to a single phone number — a method where one designated person would see all votes, explicitly defeating the anonymity that Robert’s Rules requires for ballot votes. Chip explained in writing why this failed the standard. At 10:55 AM, Chip confirmed: “ElectionChamp is set up. It is straightforward.” He had loaded all fifteen board member emails and sent a test election. The system was live and ready.</w:t>
      </w:r>
    </w:p>
    <w:p>
      <w:pPr>
        <w:spacing w:after="160" w:before="0"/>
      </w:pPr>
      <w:r>
        <w:rPr>
          <w:rFonts w:ascii="Arial" w:cs="Arial" w:eastAsia="Arial" w:hAnsi="Arial"/>
          <w:sz w:val="22"/>
          <w:szCs w:val="22"/>
        </w:rPr>
        <w:t xml:space="preserve">It was never used.</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VIII. The Meeting</w:t>
      </w:r>
    </w:p>
    <w:p>
      <w:pPr>
        <w:spacing w:after="160" w:before="0"/>
      </w:pPr>
      <w:r>
        <w:rPr>
          <w:rFonts w:ascii="Arial" w:cs="Arial" w:eastAsia="Arial" w:hAnsi="Arial"/>
          <w:sz w:val="22"/>
          <w:szCs w:val="22"/>
        </w:rPr>
        <w:t xml:space="preserve">Chip arrived without a board packet. He stated on the recording at timestamp 32:28: “I have no packet.” No one disputed this.</w:t>
      </w:r>
    </w:p>
    <w:p>
      <w:pPr>
        <w:spacing w:after="160" w:before="0"/>
      </w:pPr>
      <w:r>
        <w:rPr>
          <w:rFonts w:ascii="Arial" w:cs="Arial" w:eastAsia="Arial" w:hAnsi="Arial"/>
          <w:sz w:val="22"/>
          <w:szCs w:val="22"/>
        </w:rPr>
        <w:t xml:space="preserve">His VP report — submitted in advance to both Sharon and Grealish, physically handed to them before the meeting began — was declared by Grealish not to exist as a board record. At timestamp 33:18, after Chip confirmed he had handed copies to Sharon and Grealish, Grealish said: “It cannot be board reports, because I don’t have anything to include.” In the same sequence, Larry Blind went to the copy machine, reproduced the report for attendees, and upon returning questioned Chip’s authorship of his own document as a delay tactic. The meeting minutes would later record that the VP report “had not been submitted with other Board reports.”</w:t>
      </w:r>
    </w:p>
    <w:p>
      <w:pPr>
        <w:spacing w:after="160" w:before="0"/>
      </w:pPr>
      <w:r>
        <w:rPr>
          <w:rFonts w:ascii="Arial" w:cs="Arial" w:eastAsia="Arial" w:hAnsi="Arial"/>
          <w:sz w:val="22"/>
          <w:szCs w:val="22"/>
        </w:rPr>
        <w:t xml:space="preserve">The audio recording proves every part of that sentence false.</w:t>
      </w:r>
    </w:p>
    <w:p>
      <w:pPr>
        <w:spacing w:after="160" w:before="0"/>
      </w:pPr>
      <w:r>
        <w:rPr>
          <w:rFonts w:ascii="Arial" w:cs="Arial" w:eastAsia="Arial" w:hAnsi="Arial"/>
          <w:sz w:val="22"/>
          <w:szCs w:val="22"/>
        </w:rPr>
        <w:t xml:space="preserve">The financial report was characterized in the minutes as having been “approved as presented.” The audio recording contains no motion, no second, and no vote on the financial report. The minutes state the time limit for speakers was ten minutes. Sharon’s own 7:07 AM email, written the morning of the meeting, states fifteen minutes. The minutes attribute a “time call” to Larry as Parliamentarian. The audio recording contains no time call by Larry.</w:t>
      </w:r>
    </w:p>
    <w:p>
      <w:pPr>
        <w:spacing w:after="160" w:before="0"/>
      </w:pPr>
      <w:r>
        <w:rPr>
          <w:rFonts w:ascii="Arial" w:cs="Arial" w:eastAsia="Arial" w:hAnsi="Arial"/>
          <w:sz w:val="22"/>
          <w:szCs w:val="22"/>
        </w:rPr>
        <w:t xml:space="preserve">Five documented contradictions between the audio record and the written minutes. All five favor PMTNM’s incumbents over the VP.</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IX. The Motion That Died Without a Second</w:t>
      </w:r>
    </w:p>
    <w:p>
      <w:pPr>
        <w:spacing w:after="160" w:before="0"/>
      </w:pPr>
      <w:r>
        <w:rPr>
          <w:rFonts w:ascii="Arial" w:cs="Arial" w:eastAsia="Arial" w:hAnsi="Arial"/>
          <w:sz w:val="22"/>
          <w:szCs w:val="22"/>
        </w:rPr>
        <w:t xml:space="preserve">Chip made a formal motion of no confidence in Grealish’s financial management. The motion was in order. It was seconded by no one. Larry Blind — who had written, three hours earlier, that “getting someone to the point of a motion can be challenging” — controlled the second process. He called for the second as a public floor call, in a room where Grealish was physically present, with all in-person attendees fully visible to each other.</w:t>
      </w:r>
    </w:p>
    <w:p>
      <w:pPr>
        <w:spacing w:after="160" w:before="0"/>
      </w:pPr>
      <w:r>
        <w:rPr>
          <w:rFonts w:ascii="Arial" w:cs="Arial" w:eastAsia="Arial" w:hAnsi="Arial"/>
          <w:sz w:val="22"/>
          <w:szCs w:val="22"/>
        </w:rPr>
        <w:t xml:space="preserve">ElectionChamp — the anonymous voting system Chip had built and tested that morning — was not mentioned.</w:t>
      </w:r>
    </w:p>
    <w:p>
      <w:pPr>
        <w:spacing w:after="160" w:before="0"/>
      </w:pPr>
      <w:r>
        <w:rPr>
          <w:rFonts w:ascii="Arial" w:cs="Arial" w:eastAsia="Arial" w:hAnsi="Arial"/>
          <w:sz w:val="22"/>
          <w:szCs w:val="22"/>
        </w:rPr>
        <w:t xml:space="preserve">The motion died. Sharon adjourned the meeting.</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X. The Pattern</w:t>
      </w:r>
    </w:p>
    <w:p>
      <w:pPr>
        <w:spacing w:after="160" w:before="0"/>
      </w:pPr>
      <w:r>
        <w:rPr>
          <w:rFonts w:ascii="Arial" w:cs="Arial" w:eastAsia="Arial" w:hAnsi="Arial"/>
          <w:sz w:val="22"/>
          <w:szCs w:val="22"/>
        </w:rPr>
        <w:t xml:space="preserve">What makes this case significant is not any single event. It is the consistency of the pattern across two years and across multiple people.</w:t>
      </w:r>
    </w:p>
    <w:p>
      <w:pPr>
        <w:spacing w:after="160" w:before="0"/>
      </w:pPr>
      <w:r>
        <w:rPr>
          <w:rFonts w:ascii="Arial" w:cs="Arial" w:eastAsia="Arial" w:hAnsi="Arial"/>
          <w:sz w:val="22"/>
          <w:szCs w:val="22"/>
        </w:rPr>
        <w:t xml:space="preserve">In November 2023, Larry Blind sent Chip an accusatory text message about alleged inappropriate contact with a student’s family — a family that had called Chip, not the other way around. When Chip demanded to see the parent’s email so he could respond to the accusation, Larry refused, writing: “The email covered several topics and it was not meant to be shared or it would have included other recipients. I am not required by any ethics rules to share the email with you.” He then declared: “This will be my last communication with you about this matter.”</w:t>
      </w:r>
    </w:p>
    <w:p>
      <w:pPr>
        <w:spacing w:after="160" w:before="0"/>
      </w:pPr>
      <w:r>
        <w:rPr>
          <w:rFonts w:ascii="Arial" w:cs="Arial" w:eastAsia="Arial" w:hAnsi="Arial"/>
          <w:sz w:val="22"/>
          <w:szCs w:val="22"/>
        </w:rPr>
        <w:t xml:space="preserve">In November 2025, two years later, Larry sent Chip a hostile email the night before the board meeting, declaring his communications “offensive, disrespectful, and do not deserve a response” — then served as Parliamentarian at the meeting where Chip’s motion died without a second.</w:t>
      </w:r>
    </w:p>
    <w:p>
      <w:pPr>
        <w:spacing w:after="160" w:before="0"/>
      </w:pPr>
      <w:r>
        <w:rPr>
          <w:rFonts w:ascii="Arial" w:cs="Arial" w:eastAsia="Arial" w:hAnsi="Arial"/>
          <w:sz w:val="22"/>
          <w:szCs w:val="22"/>
        </w:rPr>
        <w:t xml:space="preserve">In October 2025, Grealish told Chip that the handbook was irrelevant and the organization operated without legal mandates. In December 2024, the Tax Year 2024 NM AG Charitable Organization Registration — submitted five weeks after Chip’s attorney confronted Grealish directly — for the first time correctly listed Sharon as President and Chip as Vice President. For ten consecutive years before that filing, across every NM AG registration from 2014 through 2023, PMTNM had reported “Solicited funds in NM: No” while simultaneously listing “Special Events” and “Personal Contact” as its solicitation methods — a direct internal contradiction in every filing.</w:t>
      </w:r>
    </w:p>
    <w:p>
      <w:pPr>
        <w:spacing w:after="160" w:before="0"/>
      </w:pPr>
      <w:r>
        <w:rPr>
          <w:rFonts w:ascii="Arial" w:cs="Arial" w:eastAsia="Arial" w:hAnsi="Arial"/>
          <w:sz w:val="22"/>
          <w:szCs w:val="22"/>
        </w:rPr>
        <w:t xml:space="preserve">In November 2025, the day before the board meeting, Cheryl Pachak-Brooks — the person who had encouraged Chip to become VP, who held no current board role — contacted him having been briefed by an undisclosed party. She told him she “regretted suggesting you get involved.” She characterized his conduct as “attacking” and “cruel.” She declined his offer to share his documentation or speak by phone. She had heard “several sides.” She had not heard his.</w:t>
      </w:r>
    </w:p>
    <w:p>
      <w:pPr>
        <w:spacing w:after="160" w:before="0"/>
      </w:pPr>
      <w:r>
        <w:rPr>
          <w:rFonts w:ascii="Arial" w:cs="Arial" w:eastAsia="Arial" w:hAnsi="Arial"/>
          <w:sz w:val="22"/>
          <w:szCs w:val="22"/>
        </w:rPr>
        <w:t xml:space="preserve">That evening, Chip sent her a list of nineteen things he said were “my heart”:</w:t>
      </w:r>
    </w:p>
    <w:p>
      <w:pPr>
        <w:pBdr>
          <w:left w:val="single" w:color="2E75B6" w:sz="18" w:space="12"/>
        </w:pBdr>
        <w:spacing w:after="160" w:before="160"/>
        <w:ind w:left="720" w:right="720"/>
      </w:pPr>
      <w:r>
        <w:rPr>
          <w:rFonts w:ascii="Arial" w:cs="Arial" w:eastAsia="Arial" w:hAnsi="Arial"/>
          <w:color w:val="1F3864"/>
          <w:sz w:val="22"/>
          <w:szCs w:val="22"/>
        </w:rPr>
        <w:t xml:space="preserve">“Diplomatic. Kind. A thriving organization. Avoidance of lawsuits. No meanness. No name calling. Respect. Dignity. Patience. The continuation of peace. The continuation of PMTNM. Friendship. Cooperation. Music making. Organization. Legal compliance. Responsibility with our money. Responsible with each others money. Open communication.”</w:t>
      </w:r>
      <w:r>
        <w:rPr>
          <w:rFonts w:ascii="Arial" w:cs="Arial" w:eastAsia="Arial" w:hAnsi="Arial"/>
          <w:color w:val="595959"/>
          <w:sz w:val="20"/>
          <w:szCs w:val="20"/>
        </w:rPr>
        <w:t xml:space="preserve">  — Chip Miller, November 6, 2025, 10:15 PM — the night before the meeting</w:t>
      </w:r>
    </w:p>
    <w:p>
      <w:pPr>
        <w:spacing w:after="160" w:before="0"/>
      </w:pPr>
      <w:r>
        <w:rPr>
          <w:rFonts w:ascii="Arial" w:cs="Arial" w:eastAsia="Arial" w:hAnsi="Arial"/>
          <w:sz w:val="22"/>
          <w:szCs w:val="22"/>
        </w:rPr>
        <w:t xml:space="preserve">He sent this to someone who had already decided he was the problem. He sent it the night before the meeting where the anonymous voting system he had built would go unused, where his report would be declared not to exist, where his motion would die without a second.</w:t>
      </w:r>
    </w:p>
    <w:p>
      <w:pPr>
        <w:spacing w:after="80" w:before="0"/>
      </w:pPr>
      <w:r>
        <w:t xml:space="preserve"/>
      </w:r>
    </w:p>
    <w:p>
      <w:pPr>
        <w:pStyle w:val="Heading1"/>
        <w:spacing w:after="120" w:before="360"/>
      </w:pPr>
      <w:r>
        <w:rPr>
          <w:rFonts w:ascii="Arial" w:cs="Arial" w:eastAsia="Arial" w:hAnsi="Arial"/>
          <w:b/>
          <w:bCs/>
          <w:color w:val="1F3864"/>
          <w:sz w:val="28"/>
          <w:szCs w:val="28"/>
        </w:rPr>
        <w:t xml:space="preserve">XI. What the Court Is Asked to See</w:t>
      </w:r>
    </w:p>
    <w:p>
      <w:pPr>
        <w:spacing w:after="160" w:before="0"/>
      </w:pPr>
      <w:r>
        <w:rPr>
          <w:rFonts w:ascii="Arial" w:cs="Arial" w:eastAsia="Arial" w:hAnsi="Arial"/>
          <w:sz w:val="22"/>
          <w:szCs w:val="22"/>
        </w:rPr>
        <w:t xml:space="preserve">The petition in Miller v. PMTNM asks the court to order inspection of PMTNM’s financial records under NMSA §53-8-26 and §53-8-27. That statutory right is the legal foundation of this action. But the court should understand what surrounds it.</w:t>
      </w:r>
    </w:p>
    <w:p>
      <w:pPr>
        <w:spacing w:after="160" w:before="0"/>
      </w:pPr>
      <w:r>
        <w:rPr>
          <w:rFonts w:ascii="Arial" w:cs="Arial" w:eastAsia="Arial" w:hAnsi="Arial"/>
          <w:sz w:val="22"/>
          <w:szCs w:val="22"/>
        </w:rPr>
        <w:t xml:space="preserve">The financial records refusal is not a misunderstanding about process. It is the visible surface of a governance structure in which one person controls all financial information, dismisses the organization’s own governing documents as irrelevant, operates without an approved budget for months at a time, stores the organization’s meeting minutes in a personal storage unit alongside her own furniture, and has publicly stated on the record — to all five officers — that the organization “does not function under any legal mandates.”</w:t>
      </w:r>
    </w:p>
    <w:p>
      <w:pPr>
        <w:spacing w:after="160" w:before="0"/>
      </w:pPr>
      <w:r>
        <w:rPr>
          <w:rFonts w:ascii="Arial" w:cs="Arial" w:eastAsia="Arial" w:hAnsi="Arial"/>
          <w:sz w:val="22"/>
          <w:szCs w:val="22"/>
        </w:rPr>
        <w:t xml:space="preserve">The Vice President who sought those records was not a disgruntled member making a political complaint. He was an officer with a handbook-defined right to the information, represented by an attorney who made a formal statutory demand, whose demand was refused as physically impossible to meet, whose agent's report was declared by the secretary-treasurer not to exist as a board record despite being physically present in the room and copied on the copy machine.</w:t>
      </w:r>
    </w:p>
    <w:p>
      <w:pPr>
        <w:spacing w:after="160" w:before="0"/>
      </w:pPr>
      <w:r>
        <w:rPr>
          <w:rFonts w:ascii="Arial" w:cs="Arial" w:eastAsia="Arial" w:hAnsi="Arial"/>
          <w:sz w:val="22"/>
          <w:szCs w:val="22"/>
        </w:rPr>
        <w:t xml:space="preserve">What PMTNM’s incumbents have described as a governance dispute is, in the documentary record, something more specific: a sustained effort to deny an elected officer the authority, information, and procedural standing his office required — using every instrument available, from informal advisory relationships to parliamentary procedure to the minutes themselves.</w:t>
      </w:r>
    </w:p>
    <w:p>
      <w:pPr>
        <w:spacing w:after="160" w:before="0"/>
      </w:pPr>
      <w:r>
        <w:rPr>
          <w:rFonts w:ascii="Arial" w:cs="Arial" w:eastAsia="Arial" w:hAnsi="Arial"/>
          <w:sz w:val="22"/>
          <w:szCs w:val="22"/>
        </w:rPr>
        <w:t xml:space="preserve">The evidence is audio-verified. It is email-verified. It is attorney-witnessed. It is in Grealish’s own handwriting, in her own letter to the attorney she did not expect to be forwarded.</w:t>
      </w:r>
    </w:p>
    <w:p>
      <w:pPr>
        <w:spacing w:after="80" w:before="0"/>
      </w:pPr>
      <w:r>
        <w:t xml:space="preserve"/>
      </w:r>
    </w:p>
    <w:p>
      <w:pPr>
        <w:pBdr>
          <w:bottom w:val="single" w:color="2E75B6" w:sz="6" w:space="1"/>
        </w:pBdr>
        <w:spacing w:after="240" w:before="240"/>
      </w:pPr>
      <w:r>
        <w:t xml:space="preserve"/>
      </w:r>
    </w:p>
    <w:p>
      <w:pPr>
        <w:spacing w:after="80" w:before="240"/>
      </w:pPr>
      <w:r>
        <w:rPr>
          <w:rFonts w:ascii="Arial" w:cs="Arial" w:eastAsia="Arial" w:hAnsi="Arial"/>
          <w:b/>
          <w:bCs/>
          <w:color w:val="1F3864"/>
          <w:sz w:val="22"/>
          <w:szCs w:val="22"/>
        </w:rPr>
        <w:t xml:space="preserve">Supporting Documents</w:t>
      </w:r>
    </w:p>
    <w:p>
      <w:pPr>
        <w:spacing w:after="160" w:before="0"/>
      </w:pPr>
      <w:r>
        <w:rPr>
          <w:rFonts w:ascii="Arial" w:cs="Arial" w:eastAsia="Arial" w:hAnsi="Arial"/>
          <w:sz w:val="22"/>
          <w:szCs w:val="22"/>
        </w:rPr>
        <w:t xml:space="preserve">This narrative is supported by the following documents, all preserved in the case record:</w:t>
      </w:r>
    </w:p>
    <w:p>
      <w:pPr>
        <w:spacing w:after="160" w:before="0"/>
      </w:pPr>
      <w:r>
        <w:rPr>
          <w:rFonts w:ascii="Arial" w:cs="Arial" w:eastAsia="Arial" w:hAnsi="Arial"/>
          <w:sz w:val="22"/>
          <w:szCs w:val="22"/>
        </w:rPr>
        <w:t xml:space="preserve">•  PMTNM Violations Database (43 violations, audio timestamps, Gmail thread IDs, statutory citations)</w:t>
      </w:r>
    </w:p>
    <w:p>
      <w:pPr>
        <w:spacing w:after="160" w:before="0"/>
      </w:pPr>
      <w:r>
        <w:rPr>
          <w:rFonts w:ascii="Arial" w:cs="Arial" w:eastAsia="Arial" w:hAnsi="Arial"/>
          <w:sz w:val="22"/>
          <w:szCs w:val="22"/>
        </w:rPr>
        <w:t xml:space="preserve">•  PMTNM Case Timeline — Miller v. PMTNM</w:t>
      </w:r>
    </w:p>
    <w:p>
      <w:pPr>
        <w:spacing w:after="160" w:before="0"/>
      </w:pPr>
      <w:r>
        <w:rPr>
          <w:rFonts w:ascii="Arial" w:cs="Arial" w:eastAsia="Arial" w:hAnsi="Arial"/>
          <w:sz w:val="22"/>
          <w:szCs w:val="22"/>
        </w:rPr>
        <w:t xml:space="preserve">•  PMTNM Email Reference by Topic</w:t>
      </w:r>
    </w:p>
    <w:p>
      <w:pPr>
        <w:spacing w:after="160" w:before="0"/>
      </w:pPr>
      <w:r>
        <w:rPr>
          <w:rFonts w:ascii="Arial" w:cs="Arial" w:eastAsia="Arial" w:hAnsi="Arial"/>
          <w:sz w:val="22"/>
          <w:szCs w:val="22"/>
        </w:rPr>
        <w:t xml:space="preserve">•  PMTNM TOTY 2023 Exhibit (physical nomination PDFs analyzed)</w:t>
      </w:r>
    </w:p>
    <w:p>
      <w:pPr>
        <w:spacing w:after="160" w:before="0"/>
      </w:pPr>
      <w:r>
        <w:rPr>
          <w:rFonts w:ascii="Arial" w:cs="Arial" w:eastAsia="Arial" w:hAnsi="Arial"/>
          <w:sz w:val="22"/>
          <w:szCs w:val="22"/>
        </w:rPr>
        <w:t xml:space="preserve">•  November 7, 2025 Board Meeting Audio Recording</w:t>
      </w:r>
    </w:p>
    <w:p>
      <w:pPr>
        <w:spacing w:after="160" w:before="0"/>
      </w:pPr>
      <w:r>
        <w:rPr>
          <w:rFonts w:ascii="Arial" w:cs="Arial" w:eastAsia="Arial" w:hAnsi="Arial"/>
          <w:sz w:val="22"/>
          <w:szCs w:val="22"/>
        </w:rPr>
        <w:t xml:space="preserve">•  November 4, 2025 Finance Meeting Audio Recording</w:t>
      </w:r>
    </w:p>
    <w:p>
      <w:pPr>
        <w:spacing w:after="160" w:before="0"/>
      </w:pPr>
      <w:r>
        <w:rPr>
          <w:rFonts w:ascii="Arial" w:cs="Arial" w:eastAsia="Arial" w:hAnsi="Arial"/>
          <w:sz w:val="22"/>
          <w:szCs w:val="22"/>
        </w:rPr>
        <w:t xml:space="preserve">•  Grealish private letter to Kathy Black, October 30, 2025</w:t>
      </w:r>
    </w:p>
    <w:p>
      <w:pPr>
        <w:spacing w:after="160" w:before="0"/>
      </w:pPr>
      <w:r>
        <w:rPr>
          <w:rFonts w:ascii="Arial" w:cs="Arial" w:eastAsia="Arial" w:hAnsi="Arial"/>
          <w:sz w:val="22"/>
          <w:szCs w:val="22"/>
        </w:rPr>
        <w:t xml:space="preserve">•  NM AG Charitable Organization Registrations, Tax Years 2014–2024 (FEIN 85-0284938)</w:t>
      </w:r>
    </w:p>
    <w:p>
      <w:pPr>
        <w:spacing w:after="160" w:before="0"/>
      </w:pPr>
      <w:r>
        <w:rPr>
          <w:rFonts w:ascii="Arial" w:cs="Arial" w:eastAsia="Arial" w:hAnsi="Arial"/>
          <w:sz w:val="22"/>
          <w:szCs w:val="22"/>
        </w:rPr>
        <w:t xml:space="preserve">•  Kathy Black formal demand letter, October 29, 2025 (NMSA §53-8-27)</w:t>
      </w:r>
    </w:p>
    <w:p>
      <w:pPr>
        <w:spacing w:after="160" w:before="0"/>
      </w:pPr>
      <w:r>
        <w:rPr>
          <w:rFonts w:ascii="Arial" w:cs="Arial" w:eastAsia="Arial" w:hAnsi="Arial"/>
          <w:sz w:val="22"/>
          <w:szCs w:val="22"/>
        </w:rPr>
        <w:t xml:space="preserve">•  VP Report submitted to President and EST (Google Drive ID: 1d-vg5v87N7DwF7EUisJ6M-HYiYrbuC3Z)</w:t>
      </w:r>
    </w:p>
    <w:p>
      <w:pPr>
        <w:spacing w:after="80" w:before="0"/>
      </w:pPr>
      <w:r>
        <w:t xml:space="preserve"/>
      </w:r>
    </w:p>
    <w:p>
      <w:pPr>
        <w:spacing w:after="0" w:before="80"/>
      </w:pPr>
      <w:r>
        <w:rPr>
          <w:rFonts w:ascii="Arial" w:cs="Arial" w:eastAsia="Arial" w:hAnsi="Arial"/>
          <w:color w:val="595959"/>
          <w:sz w:val="18"/>
          <w:szCs w:val="18"/>
        </w:rPr>
        <w:t xml:space="preserve">Prepared by Claude (AI assistant, Cowork mode) — May 2026</w:t>
      </w:r>
    </w:p>
    <w:p>
      <w:pPr>
        <w:spacing w:after="0" w:before="0"/>
      </w:pPr>
      <w:r>
        <w:rPr>
          <w:rFonts w:ascii="Arial" w:cs="Arial" w:eastAsia="Arial" w:hAnsi="Arial"/>
          <w:color w:val="595959"/>
          <w:sz w:val="18"/>
          <w:szCs w:val="18"/>
        </w:rPr>
        <w:t xml:space="preserve">Attorney: Kathy Black, Law 4 Small Business, Albuquerque NM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360"/>
      </w:tabs>
    </w:pPr>
    <w:r>
      <w:rPr>
        <w:rFonts w:ascii="Arial" w:cs="Arial" w:eastAsia="Arial" w:hAnsi="Arial"/>
        <w:color w:val="595959"/>
        <w:sz w:val="18"/>
        <w:szCs w:val="18"/>
      </w:rPr>
      <w:t xml:space="preserve">D-202-CV-202601296 — 2nd Judicial District, NM</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595959"/>
        <w:sz w:val="18"/>
        <w:szCs w:val="18"/>
      </w:rPr>
      <w:t xml:space="preserve">Miller v. PMTNM — Case Narrative</w:t>
    </w:r>
    <w:r>
      <w:rPr>
        <w:rFonts w:ascii="Arial" w:cs="Arial" w:eastAsia="Arial" w:hAnsi="Arial"/>
        <w:b/>
        <w:bCs/>
        <w:color w:val="595959"/>
        <w:sz w:val="18"/>
        <w:szCs w:val="18"/>
      </w:rPr>
      <w:t xml:space="preserve">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2026-05-15T14:19:03.260Z</dcterms:created>
  <dcterms:modified xsi:type="dcterms:W3CDTF">2026-05-15T14:19:03.269Z</dcterms:modified>
</cp:coreProperties>
</file>

<file path=docProps/custom.xml><?xml version="1.0" encoding="utf-8"?>
<Properties xmlns="http://schemas.openxmlformats.org/officeDocument/2006/custom-properties" xmlns:vt="http://schemas.openxmlformats.org/officeDocument/2006/docPropsVTypes"/>
</file>