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5E193" w14:textId="77777777" w:rsidR="00AC057A" w:rsidRDefault="0091660B" w:rsidP="00F2286A">
      <w:pPr>
        <w:spacing w:line="480" w:lineRule="auto"/>
        <w:contextualSpacing/>
      </w:pPr>
      <w:r>
        <w:t>Will Thacher</w:t>
      </w:r>
    </w:p>
    <w:p w14:paraId="050BC0F0" w14:textId="71B71A73" w:rsidR="0091660B" w:rsidRDefault="0091660B" w:rsidP="00F2286A">
      <w:pPr>
        <w:spacing w:line="480" w:lineRule="auto"/>
        <w:contextualSpacing/>
      </w:pPr>
      <w:r>
        <w:t>Professor Rothman</w:t>
      </w:r>
    </w:p>
    <w:p w14:paraId="2EF56652" w14:textId="77777777" w:rsidR="0091660B" w:rsidRDefault="0091660B" w:rsidP="00F2286A">
      <w:pPr>
        <w:spacing w:line="480" w:lineRule="auto"/>
        <w:contextualSpacing/>
      </w:pPr>
      <w:r>
        <w:t>Slavery in North America</w:t>
      </w:r>
    </w:p>
    <w:p w14:paraId="176314EF" w14:textId="77777777" w:rsidR="0091660B" w:rsidRDefault="0091660B" w:rsidP="00F2286A">
      <w:pPr>
        <w:spacing w:line="480" w:lineRule="auto"/>
        <w:contextualSpacing/>
      </w:pPr>
      <w:r>
        <w:t>8 May 2017</w:t>
      </w:r>
    </w:p>
    <w:p w14:paraId="4F26D0B1" w14:textId="77777777" w:rsidR="0091660B" w:rsidRDefault="0091660B" w:rsidP="00F2286A">
      <w:pPr>
        <w:spacing w:line="480" w:lineRule="auto"/>
        <w:contextualSpacing/>
        <w:jc w:val="center"/>
      </w:pPr>
      <w:r>
        <w:t>Virginians on the Missouri Compromise</w:t>
      </w:r>
    </w:p>
    <w:p w14:paraId="1F20F52A" w14:textId="7A8AC843" w:rsidR="00B21E68" w:rsidRDefault="00454769" w:rsidP="00F2286A">
      <w:pPr>
        <w:spacing w:line="480" w:lineRule="auto"/>
        <w:ind w:firstLine="720"/>
        <w:contextualSpacing/>
      </w:pPr>
      <w:r>
        <w:t>The Missouri Question was one of the most divisive issues of the early ninete</w:t>
      </w:r>
      <w:r w:rsidR="00830B6C">
        <w:t>enth century, with both</w:t>
      </w:r>
      <w:r w:rsidR="00BA162D">
        <w:t xml:space="preserve"> </w:t>
      </w:r>
      <w:r w:rsidR="00830B6C">
        <w:t xml:space="preserve">North and South </w:t>
      </w:r>
      <w:r w:rsidR="00177F55">
        <w:t xml:space="preserve">aware that the </w:t>
      </w:r>
      <w:r w:rsidR="00BA162D">
        <w:t>consequences</w:t>
      </w:r>
      <w:r w:rsidR="00177F55">
        <w:t xml:space="preserve"> of the decision went far beyond the admission of a single state</w:t>
      </w:r>
      <w:r w:rsidR="00BA162D">
        <w:t xml:space="preserve">. </w:t>
      </w:r>
      <w:r w:rsidR="002801BD">
        <w:t>T</w:t>
      </w:r>
      <w:r w:rsidR="009916B3">
        <w:t>he central issue regar</w:t>
      </w:r>
      <w:r w:rsidR="002801BD">
        <w:t>ding the admittance of Missouri,</w:t>
      </w:r>
      <w:r w:rsidR="009916B3">
        <w:t xml:space="preserve"> </w:t>
      </w:r>
      <w:r w:rsidR="002801BD">
        <w:t>whether it should</w:t>
      </w:r>
      <w:r w:rsidR="009916B3">
        <w:t xml:space="preserve"> come into the Union</w:t>
      </w:r>
      <w:r w:rsidR="002801BD">
        <w:t xml:space="preserve"> as a free state or slave state</w:t>
      </w:r>
      <w:r w:rsidR="00830B6C">
        <w:t>,</w:t>
      </w:r>
      <w:r w:rsidR="002801BD">
        <w:t xml:space="preserve"> had</w:t>
      </w:r>
      <w:r w:rsidR="000921C7">
        <w:t xml:space="preserve"> implications for the political</w:t>
      </w:r>
      <w:r w:rsidR="00DA5573">
        <w:t xml:space="preserve"> balance in the Congress</w:t>
      </w:r>
      <w:r w:rsidR="000921C7">
        <w:t xml:space="preserve"> and for the future of the extension of slavery. </w:t>
      </w:r>
      <w:r w:rsidR="00D973AA">
        <w:t xml:space="preserve">This paper focuses specifically on the views of Virginians regarding the Missouri Question, and finds that they are opposed </w:t>
      </w:r>
      <w:r w:rsidR="008135CA">
        <w:t xml:space="preserve">the admittance of </w:t>
      </w:r>
      <w:r w:rsidR="008135CA" w:rsidRPr="005D18DE">
        <w:rPr>
          <w:i/>
        </w:rPr>
        <w:t>a</w:t>
      </w:r>
      <w:r w:rsidR="005D18DE" w:rsidRPr="005D18DE">
        <w:rPr>
          <w:i/>
        </w:rPr>
        <w:t>ny</w:t>
      </w:r>
      <w:r w:rsidR="008135CA">
        <w:t xml:space="preserve"> state with the condition that slavery be prohibited</w:t>
      </w:r>
      <w:r w:rsidR="008135CA" w:rsidRPr="00BB2339">
        <w:rPr>
          <w:b/>
        </w:rPr>
        <w:t xml:space="preserve">. </w:t>
      </w:r>
      <w:r w:rsidR="008135CA" w:rsidRPr="00555265">
        <w:t>Their arguments can be grouped into three basic categories:</w:t>
      </w:r>
      <w:r w:rsidR="00AF5735" w:rsidRPr="00555265">
        <w:t xml:space="preserve"> constitutional</w:t>
      </w:r>
      <w:r w:rsidR="00BA162D" w:rsidRPr="00555265">
        <w:t xml:space="preserve"> issues</w:t>
      </w:r>
      <w:r w:rsidR="00AF5735" w:rsidRPr="00555265">
        <w:t>,</w:t>
      </w:r>
      <w:r w:rsidR="00B21E68" w:rsidRPr="00555265">
        <w:t xml:space="preserve"> unequal treatment of states, and a </w:t>
      </w:r>
      <w:r w:rsidR="00CD6299" w:rsidRPr="00555265">
        <w:t>fundamental view about slavery and the African race</w:t>
      </w:r>
      <w:r w:rsidR="00B21E68" w:rsidRPr="00555265">
        <w:t>.</w:t>
      </w:r>
      <w:r w:rsidR="00B21E68">
        <w:t xml:space="preserve"> </w:t>
      </w:r>
      <w:r w:rsidR="00A01D03">
        <w:t xml:space="preserve">This paper </w:t>
      </w:r>
      <w:r w:rsidR="007D4B1A">
        <w:t>analyzes</w:t>
      </w:r>
      <w:r w:rsidR="000D3561">
        <w:t xml:space="preserve"> three primary sources from Virginians; one being the resolutions of the Virginia Legislature, </w:t>
      </w:r>
      <w:r w:rsidR="00595752">
        <w:t xml:space="preserve">and two being the speeches of Representatives </w:t>
      </w:r>
      <w:r w:rsidR="00A15ADB">
        <w:t xml:space="preserve">Alexander </w:t>
      </w:r>
      <w:r w:rsidR="00BF5B7D">
        <w:t xml:space="preserve">Smyth and </w:t>
      </w:r>
      <w:r w:rsidR="00A15ADB" w:rsidRPr="007E49CF">
        <w:t>J</w:t>
      </w:r>
      <w:r w:rsidR="004A3A48" w:rsidRPr="007E49CF">
        <w:t>ames</w:t>
      </w:r>
      <w:r w:rsidR="00A15ADB">
        <w:t xml:space="preserve"> </w:t>
      </w:r>
      <w:r w:rsidR="00BF5B7D">
        <w:t xml:space="preserve">Barbour. </w:t>
      </w:r>
    </w:p>
    <w:p w14:paraId="3B89F75F" w14:textId="5D6A0809" w:rsidR="000B64E1" w:rsidRDefault="0017506B" w:rsidP="00F2286A">
      <w:pPr>
        <w:spacing w:line="480" w:lineRule="auto"/>
        <w:ind w:firstLine="720"/>
        <w:contextualSpacing/>
      </w:pPr>
      <w:r>
        <w:t>The Virginia Legislature and Mr. Barbour argue</w:t>
      </w:r>
      <w:r w:rsidR="00DD150E">
        <w:t>d</w:t>
      </w:r>
      <w:r>
        <w:t xml:space="preserve"> that the power of Congress to admit states does not give Congress the power to stipulate condit</w:t>
      </w:r>
      <w:r w:rsidR="006B69C2">
        <w:t xml:space="preserve">ions for the entrance of states. </w:t>
      </w:r>
      <w:r w:rsidR="008F1903">
        <w:t>Article 4</w:t>
      </w:r>
      <w:r w:rsidR="00C07CE1">
        <w:t>, s</w:t>
      </w:r>
      <w:r w:rsidR="006B69C2">
        <w:t>ection 3 of the U.S. Constitution reads “</w:t>
      </w:r>
      <w:r w:rsidR="006B69C2" w:rsidRPr="006B69C2">
        <w:t>New States may be admitted by the Congress into this Union</w:t>
      </w:r>
      <w:r w:rsidR="00AF68F8">
        <w:t>.”</w:t>
      </w:r>
      <w:r w:rsidR="006B69C2">
        <w:rPr>
          <w:rStyle w:val="FootnoteReference"/>
        </w:rPr>
        <w:footnoteReference w:id="1"/>
      </w:r>
      <w:r w:rsidR="00DD150E">
        <w:t xml:space="preserve"> The Legislature argued</w:t>
      </w:r>
      <w:r w:rsidR="00ED0093">
        <w:t xml:space="preserve"> that “the power to do that act, would not imply the power to do anything else</w:t>
      </w:r>
      <w:r w:rsidR="0079259F">
        <w:t xml:space="preserve">,” meaning that Congress would be overstepping its given powers if it were to </w:t>
      </w:r>
      <w:r w:rsidR="0079259F">
        <w:lastRenderedPageBreak/>
        <w:t>prescribe conditions.</w:t>
      </w:r>
      <w:r w:rsidR="00F776A3">
        <w:rPr>
          <w:rStyle w:val="FootnoteReference"/>
        </w:rPr>
        <w:footnoteReference w:id="2"/>
      </w:r>
      <w:r w:rsidR="0079259F">
        <w:t xml:space="preserve"> </w:t>
      </w:r>
      <w:r w:rsidR="00DD150E">
        <w:t>Mr. Barbour referenced</w:t>
      </w:r>
      <w:r w:rsidR="00517BB4">
        <w:t xml:space="preserve"> the Articles </w:t>
      </w:r>
      <w:r w:rsidR="00695099">
        <w:t>of Confederation, which guaranteed that powers not given to the Federal Government would be r</w:t>
      </w:r>
      <w:r w:rsidR="00220C1F">
        <w:t>eserved to the states. B</w:t>
      </w:r>
      <w:r w:rsidR="00695099">
        <w:t>ecause the men who wrote the Con</w:t>
      </w:r>
      <w:r w:rsidR="00220C1F">
        <w:t>stitution understood that maxim,</w:t>
      </w:r>
      <w:r w:rsidR="00695099">
        <w:t xml:space="preserve"> when they wrote “New States” in Article IV, section 3, they </w:t>
      </w:r>
      <w:r w:rsidR="00896F79">
        <w:t>had “no doubt as to the power which had been exercised and retained by the states</w:t>
      </w:r>
      <w:r w:rsidR="008F1903">
        <w:t>.</w:t>
      </w:r>
      <w:r w:rsidR="00896F79">
        <w:t>”</w:t>
      </w:r>
      <w:r w:rsidR="00896F79">
        <w:rPr>
          <w:rStyle w:val="FootnoteReference"/>
        </w:rPr>
        <w:footnoteReference w:id="3"/>
      </w:r>
      <w:r w:rsidR="00896F79">
        <w:t xml:space="preserve"> </w:t>
      </w:r>
      <w:r w:rsidR="00220C1F">
        <w:t xml:space="preserve">Mr. Barbour </w:t>
      </w:r>
      <w:r w:rsidR="00555265">
        <w:t>wa</w:t>
      </w:r>
      <w:r w:rsidR="00550F9A">
        <w:t xml:space="preserve">s trying to </w:t>
      </w:r>
      <w:r w:rsidR="00220C1F">
        <w:t>counter the notion that there existed</w:t>
      </w:r>
      <w:r w:rsidR="0002088E">
        <w:t xml:space="preserve"> some special distinc</w:t>
      </w:r>
      <w:r w:rsidR="00632B3F">
        <w:t>tion between the rights of people</w:t>
      </w:r>
      <w:r w:rsidR="0002088E">
        <w:t xml:space="preserve"> in existing states and those in new states. He concurs with the Legislature</w:t>
      </w:r>
      <w:r w:rsidR="006048FF">
        <w:t>, saying that “there is nothing to justify the exercise of such a power by implication</w:t>
      </w:r>
      <w:r w:rsidR="002B42C2">
        <w:t>, if implication were allowable</w:t>
      </w:r>
      <w:r w:rsidR="008F1903">
        <w:t>.</w:t>
      </w:r>
      <w:r w:rsidR="002B42C2">
        <w:t>”</w:t>
      </w:r>
      <w:r w:rsidR="00C32E22">
        <w:rPr>
          <w:rStyle w:val="FootnoteReference"/>
        </w:rPr>
        <w:footnoteReference w:id="4"/>
      </w:r>
      <w:r w:rsidR="00420886">
        <w:t xml:space="preserve"> T</w:t>
      </w:r>
      <w:r w:rsidR="00C32E22">
        <w:t>hey are on solid</w:t>
      </w:r>
      <w:r w:rsidR="00B12487">
        <w:t xml:space="preserve"> c</w:t>
      </w:r>
      <w:r w:rsidR="009C2CEA">
        <w:t xml:space="preserve">onstitutional footing, as Congress </w:t>
      </w:r>
      <w:r w:rsidR="007D4B1A">
        <w:t>h</w:t>
      </w:r>
      <w:r w:rsidR="00420886">
        <w:t>as neither explicit or implicit power in this case.</w:t>
      </w:r>
    </w:p>
    <w:p w14:paraId="75AEC24D" w14:textId="6AB3D783" w:rsidR="003423BA" w:rsidRDefault="003423BA" w:rsidP="00F2286A">
      <w:pPr>
        <w:spacing w:line="480" w:lineRule="auto"/>
        <w:ind w:firstLine="720"/>
        <w:contextualSpacing/>
      </w:pPr>
      <w:r>
        <w:t>Proponents of admitting Missouri with conditions argue</w:t>
      </w:r>
      <w:r w:rsidR="00810D86">
        <w:t>d</w:t>
      </w:r>
      <w:r>
        <w:t xml:space="preserve"> that the Commerce Clause gives Congress the power to </w:t>
      </w:r>
      <w:r w:rsidR="008F03AC">
        <w:t xml:space="preserve">regulate slavery, but all three sources </w:t>
      </w:r>
      <w:r w:rsidR="00005101">
        <w:t>refute</w:t>
      </w:r>
      <w:r w:rsidR="008F03AC">
        <w:t xml:space="preserve"> this claim.</w:t>
      </w:r>
      <w:r w:rsidR="00F40816">
        <w:t xml:space="preserve"> Article 1</w:t>
      </w:r>
      <w:r w:rsidR="00C07CE1">
        <w:t>, section 8 states that Congress can “</w:t>
      </w:r>
      <w:r w:rsidR="00C07CE1" w:rsidRPr="00C07CE1">
        <w:t>regulate Commerce with foreign Nations, and among the several States</w:t>
      </w:r>
      <w:r w:rsidR="00F40816">
        <w:t>.</w:t>
      </w:r>
      <w:r w:rsidR="00C07CE1">
        <w:t>”</w:t>
      </w:r>
      <w:r w:rsidR="00C07CE1">
        <w:rPr>
          <w:rStyle w:val="FootnoteReference"/>
        </w:rPr>
        <w:footnoteReference w:id="5"/>
      </w:r>
      <w:r w:rsidR="00C07CE1">
        <w:t xml:space="preserve"> </w:t>
      </w:r>
      <w:r w:rsidR="000A3BC8">
        <w:t>The Virginia Legislature countered</w:t>
      </w:r>
      <w:r w:rsidR="00767180">
        <w:t xml:space="preserve"> the idea that this could apply to regulating slavery in a single state, even under the pretenses of agriculture.</w:t>
      </w:r>
      <w:r w:rsidR="00537A66">
        <w:t xml:space="preserve"> The consequences of such logic</w:t>
      </w:r>
      <w:r w:rsidR="00220EAB">
        <w:t xml:space="preserve"> would </w:t>
      </w:r>
      <w:r w:rsidR="00DB6A38">
        <w:t xml:space="preserve">mean Congress could </w:t>
      </w:r>
      <w:r w:rsidR="00220EAB">
        <w:t>“</w:t>
      </w:r>
      <w:proofErr w:type="spellStart"/>
      <w:r w:rsidR="00220EAB">
        <w:t>authorise</w:t>
      </w:r>
      <w:proofErr w:type="spellEnd"/>
      <w:r w:rsidR="00220EAB">
        <w:t xml:space="preserve"> the sale of slaves, in the State of Massachusetts, against the laws of that State</w:t>
      </w:r>
      <w:r w:rsidR="006B7660">
        <w:t>.</w:t>
      </w:r>
      <w:r w:rsidR="00220EAB">
        <w:t>”</w:t>
      </w:r>
      <w:r w:rsidR="00220EAB">
        <w:rPr>
          <w:rStyle w:val="FootnoteReference"/>
        </w:rPr>
        <w:footnoteReference w:id="6"/>
      </w:r>
      <w:r w:rsidR="00767180">
        <w:t xml:space="preserve"> </w:t>
      </w:r>
      <w:r w:rsidR="00005101">
        <w:t xml:space="preserve">Even if Congress </w:t>
      </w:r>
      <w:r w:rsidR="00537A66">
        <w:t>could</w:t>
      </w:r>
      <w:r w:rsidR="00005101">
        <w:t xml:space="preserve"> regulate the sale of slaves in between states</w:t>
      </w:r>
      <w:r w:rsidR="00537A66">
        <w:t xml:space="preserve">, </w:t>
      </w:r>
      <w:r w:rsidR="000A3BC8">
        <w:t>a total prohibition</w:t>
      </w:r>
      <w:r w:rsidR="00537A66">
        <w:t xml:space="preserve"> wo</w:t>
      </w:r>
      <w:r w:rsidR="00CC00B5">
        <w:t>uld be an overreach</w:t>
      </w:r>
      <w:r w:rsidR="00537A66">
        <w:t>.</w:t>
      </w:r>
      <w:r w:rsidR="00E7279F">
        <w:t xml:space="preserve"> Mr. Barbour went</w:t>
      </w:r>
      <w:r w:rsidR="00AD3A85">
        <w:t xml:space="preserve"> even further, saying that slavery is not commerce at all</w:t>
      </w:r>
      <w:r w:rsidR="0096771F">
        <w:t>, because a man’s slaves are “a part of his family”</w:t>
      </w:r>
      <w:r w:rsidR="007F0B21">
        <w:t xml:space="preserve"> for whom he has an “affectionate regard</w:t>
      </w:r>
      <w:r w:rsidR="006B7660">
        <w:t>.</w:t>
      </w:r>
      <w:r w:rsidR="007F0B21">
        <w:t>”</w:t>
      </w:r>
      <w:r w:rsidR="0096771F">
        <w:rPr>
          <w:rStyle w:val="FootnoteReference"/>
        </w:rPr>
        <w:footnoteReference w:id="7"/>
      </w:r>
      <w:r w:rsidR="0096771F">
        <w:t xml:space="preserve"> </w:t>
      </w:r>
      <w:r w:rsidR="00BF5724">
        <w:t>Barbour again referenced</w:t>
      </w:r>
      <w:r w:rsidR="00837294">
        <w:t xml:space="preserve"> the Articles of Confederation, saying that the </w:t>
      </w:r>
      <w:r w:rsidR="00837294">
        <w:lastRenderedPageBreak/>
        <w:t xml:space="preserve">power to regulate commerce </w:t>
      </w:r>
      <w:r w:rsidR="00104DA2">
        <w:t xml:space="preserve">in the Constitution </w:t>
      </w:r>
      <w:r w:rsidR="00837294">
        <w:t xml:space="preserve">was intended to prevent </w:t>
      </w:r>
      <w:r w:rsidR="001F2B27">
        <w:t>unfair regulations between the states that occurred under the Articles</w:t>
      </w:r>
      <w:r w:rsidR="00DE08DB">
        <w:t>.</w:t>
      </w:r>
      <w:r w:rsidR="00DE08DB">
        <w:rPr>
          <w:rStyle w:val="FootnoteReference"/>
        </w:rPr>
        <w:footnoteReference w:id="8"/>
      </w:r>
      <w:r w:rsidR="00DB20B8">
        <w:t xml:space="preserve"> </w:t>
      </w:r>
      <w:r w:rsidR="00E469E2">
        <w:t xml:space="preserve">He believed that even if Congress could identify slavery as commerce, </w:t>
      </w:r>
      <w:r w:rsidR="008E67B4">
        <w:t xml:space="preserve">the total prohibition of it would go against the intention of the Constitution. </w:t>
      </w:r>
      <w:r w:rsidR="007775F4">
        <w:t>The th</w:t>
      </w:r>
      <w:r w:rsidR="00FF2551">
        <w:t>ird clause that Northerners employed</w:t>
      </w:r>
      <w:r w:rsidR="006B7660">
        <w:t xml:space="preserve"> lies in Article 4</w:t>
      </w:r>
      <w:r w:rsidR="000C6685">
        <w:t xml:space="preserve">, section 3, </w:t>
      </w:r>
      <w:r w:rsidR="00FA3BA3">
        <w:t xml:space="preserve">which </w:t>
      </w:r>
      <w:r w:rsidR="006F77E3">
        <w:t xml:space="preserve">instills </w:t>
      </w:r>
      <w:r w:rsidR="00FA3BA3">
        <w:t>“</w:t>
      </w:r>
      <w:r w:rsidR="00FA3BA3" w:rsidRPr="00FA3BA3">
        <w:t>Power to dispose of and make all needful Rules and Regulations respecting the Territory or other Property belonging to the United States</w:t>
      </w:r>
      <w:r w:rsidR="006B7660">
        <w:t>.”</w:t>
      </w:r>
      <w:r w:rsidR="006F77E3">
        <w:rPr>
          <w:rStyle w:val="FootnoteReference"/>
        </w:rPr>
        <w:footnoteReference w:id="9"/>
      </w:r>
    </w:p>
    <w:p w14:paraId="534563D0" w14:textId="5AF24389" w:rsidR="00BB2339" w:rsidRDefault="000C6685" w:rsidP="00F2286A">
      <w:pPr>
        <w:spacing w:line="480" w:lineRule="auto"/>
        <w:ind w:firstLine="720"/>
        <w:contextualSpacing/>
      </w:pPr>
      <w:r>
        <w:t>The Virginians contend</w:t>
      </w:r>
      <w:r w:rsidR="00FF2551">
        <w:t>ed</w:t>
      </w:r>
      <w:r>
        <w:t xml:space="preserve"> that the power of Congr</w:t>
      </w:r>
      <w:r w:rsidR="00FF2551">
        <w:t>ess to regulate territories did</w:t>
      </w:r>
      <w:r>
        <w:t xml:space="preserve"> not allow them to prevent slavery in Missouri. </w:t>
      </w:r>
      <w:r w:rsidR="005C463C">
        <w:t>The Le</w:t>
      </w:r>
      <w:r w:rsidR="00FF2551">
        <w:t>gislature argued</w:t>
      </w:r>
      <w:r w:rsidR="00FA3BA3">
        <w:t xml:space="preserve"> t</w:t>
      </w:r>
      <w:r w:rsidR="00FF2551">
        <w:t>hat such an action would</w:t>
      </w:r>
      <w:r w:rsidR="00FA3BA3">
        <w:t xml:space="preserve"> go against the spirit of the Constitution; to hold territories for an extended </w:t>
      </w:r>
      <w:r w:rsidR="006F77E3">
        <w:t>period</w:t>
      </w:r>
      <w:r w:rsidR="00FF2551">
        <w:t xml:space="preserve"> under different laws</w:t>
      </w:r>
      <w:r w:rsidR="00FA3BA3">
        <w:t xml:space="preserve"> than the states</w:t>
      </w:r>
      <w:r w:rsidR="006F77E3">
        <w:t xml:space="preserve"> would be the “colonial bondage against which they themselves had so lately revolted</w:t>
      </w:r>
      <w:r w:rsidR="006B7660">
        <w:t>.</w:t>
      </w:r>
      <w:r w:rsidR="006F77E3">
        <w:t>”</w:t>
      </w:r>
      <w:r w:rsidR="001B0B1D">
        <w:rPr>
          <w:rStyle w:val="FootnoteReference"/>
        </w:rPr>
        <w:footnoteReference w:id="10"/>
      </w:r>
      <w:r w:rsidR="001B0B1D">
        <w:t xml:space="preserve"> </w:t>
      </w:r>
      <w:r w:rsidR="008E67B4">
        <w:t>They argued that t</w:t>
      </w:r>
      <w:r w:rsidR="006060A2">
        <w:t>erritories</w:t>
      </w:r>
      <w:r w:rsidR="001B0B1D">
        <w:t xml:space="preserve"> should become states as soon as they reach </w:t>
      </w:r>
      <w:r w:rsidR="006060A2">
        <w:t>“maturity</w:t>
      </w:r>
      <w:r w:rsidR="00E21D54">
        <w:t xml:space="preserve">” and at that point they </w:t>
      </w:r>
      <w:r w:rsidR="006060A2">
        <w:t>become constitutionally equal to all other states, meaning Congress ceases to have the same authority it had when that state was formerly a territory.</w:t>
      </w:r>
      <w:r w:rsidR="006060A2">
        <w:rPr>
          <w:rStyle w:val="FootnoteReference"/>
        </w:rPr>
        <w:footnoteReference w:id="11"/>
      </w:r>
      <w:r w:rsidR="003147AE">
        <w:t xml:space="preserve"> </w:t>
      </w:r>
      <w:r w:rsidR="00BE557E">
        <w:t>Thus even if Congress</w:t>
      </w:r>
      <w:r w:rsidR="005B174D">
        <w:t xml:space="preserve"> could have </w:t>
      </w:r>
      <w:r w:rsidR="00C429D5">
        <w:t xml:space="preserve">prevented slavery in the territory of Missouri, </w:t>
      </w:r>
      <w:r w:rsidR="007779F9">
        <w:t>once it became a state, Missouri</w:t>
      </w:r>
      <w:r w:rsidR="002B63FF">
        <w:t xml:space="preserve"> could invalidate that condition</w:t>
      </w:r>
      <w:r w:rsidR="00E21D54">
        <w:t xml:space="preserve"> in</w:t>
      </w:r>
      <w:r w:rsidR="00A460BD">
        <w:t xml:space="preserve"> its own state constitution.</w:t>
      </w:r>
      <w:r w:rsidR="00A460BD">
        <w:rPr>
          <w:rStyle w:val="FootnoteReference"/>
        </w:rPr>
        <w:footnoteReference w:id="12"/>
      </w:r>
      <w:r w:rsidR="00A460BD">
        <w:t xml:space="preserve"> </w:t>
      </w:r>
      <w:r w:rsidR="007779F9">
        <w:t>Mr. Smyth strengthened</w:t>
      </w:r>
      <w:r w:rsidR="003147AE">
        <w:t xml:space="preserve"> this argument by </w:t>
      </w:r>
      <w:r w:rsidR="00D87D7A">
        <w:t>stating that the Constitution only allow</w:t>
      </w:r>
      <w:r w:rsidR="006B40B5">
        <w:t>s Congress to regulate territory</w:t>
      </w:r>
      <w:r w:rsidR="00D87D7A">
        <w:t xml:space="preserve"> belonging to the United States, but not the property of those who reside in the territories.</w:t>
      </w:r>
      <w:r w:rsidR="000C6D06">
        <w:rPr>
          <w:rStyle w:val="FootnoteReference"/>
        </w:rPr>
        <w:footnoteReference w:id="13"/>
      </w:r>
      <w:r w:rsidR="007779F9">
        <w:t xml:space="preserve"> </w:t>
      </w:r>
      <w:r w:rsidR="00E21D54">
        <w:t>The second clause of Article 4, section 3 is the Northerners strongest argument that Congress has jurisdiction over slavery in Missouri</w:t>
      </w:r>
      <w:r w:rsidR="00520117">
        <w:t>, but that jurisdiction would end if Missouri became a state.</w:t>
      </w:r>
    </w:p>
    <w:p w14:paraId="6427C096" w14:textId="4604403A" w:rsidR="000C6D06" w:rsidRDefault="000C6D06" w:rsidP="00F2286A">
      <w:pPr>
        <w:spacing w:line="480" w:lineRule="auto"/>
        <w:ind w:firstLine="720"/>
        <w:contextualSpacing/>
      </w:pPr>
      <w:r>
        <w:lastRenderedPageBreak/>
        <w:t>M</w:t>
      </w:r>
      <w:r w:rsidR="00306074">
        <w:t>r. Smyth</w:t>
      </w:r>
      <w:r w:rsidR="00B84C3A">
        <w:t xml:space="preserve"> holds that Congress has no power to regulate slave property. Firstly, because the Constitution never explicitly gives power over slavery to the Federal</w:t>
      </w:r>
      <w:r w:rsidR="00605BC2">
        <w:t xml:space="preserve"> government, it must be reserved to the states. </w:t>
      </w:r>
      <w:r w:rsidR="007779F9">
        <w:t>Secondly, he argued</w:t>
      </w:r>
      <w:r w:rsidR="00303BE7">
        <w:t xml:space="preserve"> that </w:t>
      </w:r>
      <w:r w:rsidR="007779F9">
        <w:t xml:space="preserve">the </w:t>
      </w:r>
      <w:r w:rsidR="00303BE7">
        <w:t>Constitution recognizes slave property in the three-fifths clause</w:t>
      </w:r>
      <w:r w:rsidR="00E01ED6">
        <w:t>.</w:t>
      </w:r>
      <w:r w:rsidR="00E01ED6">
        <w:rPr>
          <w:rStyle w:val="FootnoteReference"/>
        </w:rPr>
        <w:footnoteReference w:id="14"/>
      </w:r>
      <w:r w:rsidR="00E01ED6">
        <w:t xml:space="preserve"> Therefore the fifth Amendment’s guarantee of due process means that Congress “cannot force a proportion of the people to emancipate their slaves</w:t>
      </w:r>
      <w:r w:rsidR="006B7660">
        <w:t>.”</w:t>
      </w:r>
      <w:r w:rsidR="00E01ED6">
        <w:rPr>
          <w:rStyle w:val="FootnoteReference"/>
        </w:rPr>
        <w:footnoteReference w:id="15"/>
      </w:r>
      <w:r w:rsidR="00E01ED6">
        <w:t xml:space="preserve"> </w:t>
      </w:r>
      <w:r w:rsidR="009D7918">
        <w:t>Mr. Smyth was</w:t>
      </w:r>
      <w:r w:rsidR="00D37470">
        <w:t xml:space="preserve"> referring to a clause of the Missouri Bill which stipulated that the children of slaves already residing in Missouri would be freed at age 25. </w:t>
      </w:r>
    </w:p>
    <w:p w14:paraId="0CF2899F" w14:textId="5D13DC20" w:rsidR="00E519AC" w:rsidRDefault="00BC7A95" w:rsidP="00F2286A">
      <w:pPr>
        <w:spacing w:line="480" w:lineRule="auto"/>
        <w:ind w:firstLine="720"/>
        <w:contextualSpacing/>
      </w:pPr>
      <w:r>
        <w:t>Mr. Barbo</w:t>
      </w:r>
      <w:r w:rsidR="00520117">
        <w:t xml:space="preserve">ur disagreed with </w:t>
      </w:r>
      <w:r>
        <w:t xml:space="preserve">the argument </w:t>
      </w:r>
      <w:r w:rsidR="00520117">
        <w:t xml:space="preserve">of Northerners </w:t>
      </w:r>
      <w:r>
        <w:t>that the clause that prevented Congress from touching the slave trade before 1808 allowed them to r</w:t>
      </w:r>
      <w:r w:rsidR="00520117">
        <w:t>egulate slavery after 1808</w:t>
      </w:r>
      <w:proofErr w:type="gramStart"/>
      <w:r w:rsidR="00520117">
        <w:t xml:space="preserve">. </w:t>
      </w:r>
      <w:proofErr w:type="gramEnd"/>
      <w:r w:rsidR="00520117">
        <w:t>Mr. Barbour responded</w:t>
      </w:r>
      <w:r>
        <w:t>, “</w:t>
      </w:r>
      <w:r w:rsidR="00BD264B">
        <w:t>Do gentlemen mean to say that all power interdicted by the 9</w:t>
      </w:r>
      <w:r w:rsidR="00BD264B" w:rsidRPr="00BD264B">
        <w:rPr>
          <w:vertAlign w:val="superscript"/>
        </w:rPr>
        <w:t>th</w:t>
      </w:r>
      <w:r w:rsidR="00BD264B">
        <w:t xml:space="preserve"> section [Articl</w:t>
      </w:r>
      <w:r w:rsidR="00520117">
        <w:t>e 1</w:t>
      </w:r>
      <w:r w:rsidR="00BD264B">
        <w:t xml:space="preserve">] would belong to Congress, had not </w:t>
      </w:r>
      <w:r w:rsidR="008C7C39">
        <w:t>such restriction been inserted?”</w:t>
      </w:r>
      <w:r w:rsidR="008C7C39">
        <w:rPr>
          <w:rStyle w:val="FootnoteReference"/>
        </w:rPr>
        <w:footnoteReference w:id="16"/>
      </w:r>
      <w:r w:rsidR="00372E29">
        <w:t xml:space="preserve"> This logic would allow Congress any power not explicitly prohibited, directly contradicting the Tenth </w:t>
      </w:r>
      <w:r w:rsidR="00CA7348">
        <w:t xml:space="preserve">Amendment. </w:t>
      </w:r>
      <w:r w:rsidR="000A0C10">
        <w:t>Th</w:t>
      </w:r>
      <w:r w:rsidR="009D7918">
        <w:t>e Virginia Legislature described</w:t>
      </w:r>
      <w:r w:rsidR="000A0C10">
        <w:t xml:space="preserve"> the consequences of such logic: </w:t>
      </w:r>
      <w:r w:rsidR="00472D29">
        <w:t xml:space="preserve">“a House of Commons, a House of Lords, and </w:t>
      </w:r>
      <w:proofErr w:type="gramStart"/>
      <w:r w:rsidR="00472D29">
        <w:t>an</w:t>
      </w:r>
      <w:proofErr w:type="gramEnd"/>
      <w:r w:rsidR="00472D29">
        <w:t xml:space="preserve"> hereditary Monarch!”</w:t>
      </w:r>
      <w:r w:rsidR="00472D29">
        <w:rPr>
          <w:rStyle w:val="FootnoteReference"/>
        </w:rPr>
        <w:footnoteReference w:id="17"/>
      </w:r>
      <w:r w:rsidR="00B13D24">
        <w:t xml:space="preserve"> </w:t>
      </w:r>
    </w:p>
    <w:p w14:paraId="171A6E22" w14:textId="5AD8194B" w:rsidR="00E819FF" w:rsidRDefault="0042768A" w:rsidP="00F2286A">
      <w:pPr>
        <w:spacing w:line="480" w:lineRule="auto"/>
        <w:ind w:firstLine="720"/>
        <w:contextualSpacing/>
      </w:pPr>
      <w:r>
        <w:t>The proponents of banning slavery in Missouri</w:t>
      </w:r>
      <w:r w:rsidR="003173A6">
        <w:t xml:space="preserve"> argue</w:t>
      </w:r>
      <w:r w:rsidR="009D7918">
        <w:t>d</w:t>
      </w:r>
      <w:r w:rsidR="003173A6">
        <w:t xml:space="preserve"> that the Northwest Ordinance and th</w:t>
      </w:r>
      <w:r w:rsidR="009D7918">
        <w:t>e Declaration of Independence ga</w:t>
      </w:r>
      <w:r w:rsidR="003173A6">
        <w:t xml:space="preserve">ve them necessary precedent to </w:t>
      </w:r>
      <w:r w:rsidR="006C5718">
        <w:t xml:space="preserve">enact their proposed legislation. </w:t>
      </w:r>
      <w:r w:rsidR="00516E3B">
        <w:t>Mr. Smyth held</w:t>
      </w:r>
      <w:r w:rsidR="0074032F">
        <w:t xml:space="preserve"> that the Northwest Ordinance of 1887, which banned slavery in the territories to be settled</w:t>
      </w:r>
      <w:r w:rsidR="00C06D4B">
        <w:t xml:space="preserve"> was “an act of illegitimate power</w:t>
      </w:r>
      <w:r w:rsidR="006E0CEE">
        <w:t>,” and therefore Ohio, Illinois, and Indiana have no obligation to obey it.</w:t>
      </w:r>
      <w:r w:rsidR="006E0CEE">
        <w:rPr>
          <w:rStyle w:val="FootnoteReference"/>
        </w:rPr>
        <w:footnoteReference w:id="18"/>
      </w:r>
      <w:r w:rsidR="00516E3B">
        <w:t xml:space="preserve"> </w:t>
      </w:r>
      <w:r w:rsidR="003F2A88">
        <w:t>He believed that the Articles of Confederation never gave the Federal government the ability to impose that condition on the territories</w:t>
      </w:r>
      <w:r w:rsidR="00203F7A">
        <w:t xml:space="preserve">. </w:t>
      </w:r>
      <w:r w:rsidR="00516E3B">
        <w:t xml:space="preserve">Mr. Barbour </w:t>
      </w:r>
      <w:r w:rsidR="00203F7A">
        <w:t>added</w:t>
      </w:r>
      <w:r w:rsidR="008E0921">
        <w:t xml:space="preserve"> </w:t>
      </w:r>
      <w:r w:rsidR="008E0921">
        <w:lastRenderedPageBreak/>
        <w:t>that the people of those territories never wished to hold</w:t>
      </w:r>
      <w:r w:rsidR="00203F7A">
        <w:t xml:space="preserve"> slaves so there was no dispute, and therefore this case cannot be used as precedent.</w:t>
      </w:r>
      <w:r w:rsidR="00043CB2">
        <w:rPr>
          <w:rStyle w:val="FootnoteReference"/>
        </w:rPr>
        <w:footnoteReference w:id="19"/>
      </w:r>
      <w:r w:rsidR="008E0921">
        <w:t xml:space="preserve"> </w:t>
      </w:r>
      <w:r w:rsidR="00516E3B">
        <w:t xml:space="preserve"> He also countered</w:t>
      </w:r>
      <w:r w:rsidR="00A20DB5">
        <w:t xml:space="preserve"> the idea that the Declaration of Independence’s </w:t>
      </w:r>
      <w:r w:rsidR="003359D0">
        <w:t>proclamation</w:t>
      </w:r>
      <w:r w:rsidR="00A20DB5">
        <w:t xml:space="preserve"> that “all men are created equal” could ever have applied to slaves, because slav</w:t>
      </w:r>
      <w:r w:rsidR="003359D0">
        <w:t>ery existed in all of the signatories’ states.</w:t>
      </w:r>
      <w:r w:rsidR="009713AD">
        <w:rPr>
          <w:rStyle w:val="FootnoteReference"/>
        </w:rPr>
        <w:footnoteReference w:id="20"/>
      </w:r>
      <w:r w:rsidR="003359D0">
        <w:t xml:space="preserve"> </w:t>
      </w:r>
      <w:r w:rsidR="009713AD">
        <w:t>Smy</w:t>
      </w:r>
      <w:r w:rsidR="00516E3B">
        <w:t>th acknowledged</w:t>
      </w:r>
      <w:r w:rsidR="009713AD">
        <w:t xml:space="preserve"> the significanc</w:t>
      </w:r>
      <w:r w:rsidR="00E55EFC">
        <w:t>e of the Declaration, but denied that it carries</w:t>
      </w:r>
      <w:r w:rsidR="009713AD">
        <w:t xml:space="preserve"> legal power.</w:t>
      </w:r>
      <w:r w:rsidR="009713AD">
        <w:rPr>
          <w:rStyle w:val="FootnoteReference"/>
        </w:rPr>
        <w:footnoteReference w:id="21"/>
      </w:r>
    </w:p>
    <w:p w14:paraId="78B94DA1" w14:textId="6A4BF26A" w:rsidR="009E4ECD" w:rsidRDefault="00D156E0" w:rsidP="00F2286A">
      <w:pPr>
        <w:spacing w:line="480" w:lineRule="auto"/>
        <w:ind w:firstLine="720"/>
        <w:contextualSpacing/>
      </w:pPr>
      <w:r>
        <w:t>The men of Virginia repudiate</w:t>
      </w:r>
      <w:r w:rsidR="00516E3B">
        <w:t>d</w:t>
      </w:r>
      <w:r>
        <w:t xml:space="preserve"> </w:t>
      </w:r>
      <w:r w:rsidR="00ED6709">
        <w:t>the notion that</w:t>
      </w:r>
      <w:r>
        <w:t xml:space="preserve"> there could be any constitutional backing to </w:t>
      </w:r>
      <w:r w:rsidR="004746C0">
        <w:t xml:space="preserve">banning slavery in Missouri, </w:t>
      </w:r>
      <w:r w:rsidR="00ED6709">
        <w:t>and</w:t>
      </w:r>
      <w:r w:rsidR="001A5803">
        <w:t xml:space="preserve"> insist</w:t>
      </w:r>
      <w:r w:rsidR="00516E3B">
        <w:t>ed</w:t>
      </w:r>
      <w:r w:rsidR="001A5803">
        <w:t xml:space="preserve"> that such an action</w:t>
      </w:r>
      <w:r>
        <w:t xml:space="preserve"> would be fundamentally </w:t>
      </w:r>
      <w:r w:rsidR="00E55EFC">
        <w:t xml:space="preserve">unequal. </w:t>
      </w:r>
      <w:r w:rsidR="00516E3B">
        <w:t>Mr. Barbour claimed that when a new state i</w:t>
      </w:r>
      <w:r w:rsidR="006071CF">
        <w:t>s admitted, it is “placed on the most perfect equality</w:t>
      </w:r>
      <w:r w:rsidR="00440BFA">
        <w:t xml:space="preserve"> with the other states,” including having all of the responsibilities of the old states.</w:t>
      </w:r>
      <w:r w:rsidR="00440BFA">
        <w:rPr>
          <w:rStyle w:val="FootnoteReference"/>
        </w:rPr>
        <w:footnoteReference w:id="22"/>
      </w:r>
      <w:r w:rsidR="001A2F2B">
        <w:t xml:space="preserve"> One aspect of this equality is the “right to fashion her government according to the </w:t>
      </w:r>
      <w:r w:rsidR="0076370E">
        <w:t>will</w:t>
      </w:r>
      <w:r w:rsidR="004746C0">
        <w:t>”</w:t>
      </w:r>
      <w:r w:rsidR="0076370E">
        <w:t xml:space="preserve"> of the Missourians</w:t>
      </w:r>
      <w:r w:rsidR="004746C0">
        <w:t xml:space="preserve"> and the restriction on slavery would </w:t>
      </w:r>
      <w:r w:rsidR="0076370E">
        <w:t>deny Missouri that right</w:t>
      </w:r>
      <w:r w:rsidR="00981473">
        <w:t>.</w:t>
      </w:r>
      <w:r w:rsidR="00981473">
        <w:rPr>
          <w:rStyle w:val="FootnoteReference"/>
        </w:rPr>
        <w:footnoteReference w:id="23"/>
      </w:r>
      <w:r w:rsidR="00981473">
        <w:t xml:space="preserve"> </w:t>
      </w:r>
      <w:r w:rsidR="00422475">
        <w:t xml:space="preserve">This relates </w:t>
      </w:r>
      <w:r w:rsidR="000624AA">
        <w:t>to why the ban on slavery in</w:t>
      </w:r>
      <w:r w:rsidR="00E55EFC">
        <w:t xml:space="preserve"> Indiana or Ohio could not</w:t>
      </w:r>
      <w:r w:rsidR="00422475">
        <w:t xml:space="preserve"> count as precedent; the people of that state formed constitutions that barred slavery a</w:t>
      </w:r>
      <w:r w:rsidR="0076370E">
        <w:t>nyway, so it did not infringe upon</w:t>
      </w:r>
      <w:r w:rsidR="00422475">
        <w:t xml:space="preserve"> their rights.</w:t>
      </w:r>
      <w:r w:rsidR="00E55EFC">
        <w:t xml:space="preserve"> Mr. Smyth </w:t>
      </w:r>
      <w:r w:rsidR="00BD7C02">
        <w:t>concurred</w:t>
      </w:r>
      <w:r w:rsidR="00872B65">
        <w:t>, asking</w:t>
      </w:r>
      <w:r w:rsidR="000624AA">
        <w:t>, “</w:t>
      </w:r>
      <w:r w:rsidR="001C6A71">
        <w:t>will their</w:t>
      </w:r>
      <w:r w:rsidR="00872B65">
        <w:t xml:space="preserve"> [Indiana’s and Ohio’s]</w:t>
      </w:r>
      <w:r w:rsidR="001C6A71">
        <w:t xml:space="preserve"> representatives admit that those states are less free to decide on this q</w:t>
      </w:r>
      <w:r w:rsidR="00BD7C02">
        <w:t>uestion than other states?</w:t>
      </w:r>
      <w:r w:rsidR="001C6A71">
        <w:t>”</w:t>
      </w:r>
      <w:r w:rsidR="001C6A71">
        <w:rPr>
          <w:rStyle w:val="FootnoteReference"/>
        </w:rPr>
        <w:footnoteReference w:id="24"/>
      </w:r>
      <w:r w:rsidR="002F40F2">
        <w:t xml:space="preserve"> The quest</w:t>
      </w:r>
      <w:r w:rsidR="00BD7C02">
        <w:t>ion was</w:t>
      </w:r>
      <w:r w:rsidR="009E4ECD">
        <w:t xml:space="preserve"> obviously rhetorical, and</w:t>
      </w:r>
      <w:r w:rsidR="00BD7C02">
        <w:t xml:space="preserve"> he was c</w:t>
      </w:r>
      <w:r w:rsidR="002F40F2">
        <w:t>hallenging the other repr</w:t>
      </w:r>
      <w:r w:rsidR="00701DAA">
        <w:t>esentatives to accept thei</w:t>
      </w:r>
      <w:r w:rsidR="00BD7C02">
        <w:t>r own inequality before they could</w:t>
      </w:r>
      <w:r w:rsidR="00701DAA">
        <w:t xml:space="preserve"> impose it upon others.</w:t>
      </w:r>
      <w:r w:rsidR="00BD7C02">
        <w:t xml:space="preserve"> He added</w:t>
      </w:r>
      <w:r w:rsidR="001C0FB7">
        <w:t xml:space="preserve"> that the very definition of being in the Union is to be under the law of the Constitution, so any state admi</w:t>
      </w:r>
      <w:r w:rsidR="007D7E06">
        <w:t>tted is equal under law.</w:t>
      </w:r>
      <w:r w:rsidR="007D7E06">
        <w:rPr>
          <w:rStyle w:val="FootnoteReference"/>
        </w:rPr>
        <w:footnoteReference w:id="25"/>
      </w:r>
    </w:p>
    <w:p w14:paraId="7C6BFE02" w14:textId="12B0A44B" w:rsidR="006832E1" w:rsidRDefault="00AF5735" w:rsidP="00F2286A">
      <w:pPr>
        <w:spacing w:line="480" w:lineRule="auto"/>
        <w:ind w:firstLine="720"/>
        <w:contextualSpacing/>
      </w:pPr>
      <w:r>
        <w:t>In addition to the Constitution, the Louisi</w:t>
      </w:r>
      <w:r w:rsidR="007F5068">
        <w:t>ana Purchase Treaty necessitated</w:t>
      </w:r>
      <w:r>
        <w:t xml:space="preserve"> that new states be treated equally. </w:t>
      </w:r>
      <w:r w:rsidR="007F5068">
        <w:t>The Virginia Legislature cited</w:t>
      </w:r>
      <w:r w:rsidR="00B26B1D">
        <w:t xml:space="preserve"> the third article</w:t>
      </w:r>
      <w:r w:rsidR="007F5068">
        <w:t xml:space="preserve"> of the treaty, which stipulated</w:t>
      </w:r>
      <w:r w:rsidR="00B26B1D">
        <w:t xml:space="preserve"> </w:t>
      </w:r>
      <w:r w:rsidR="00B26B1D">
        <w:lastRenderedPageBreak/>
        <w:t>that the people of new states be given “the enjoyment of all the rights, advantages and immunities, of citizens of the United States.”</w:t>
      </w:r>
      <w:r w:rsidR="00B26B1D">
        <w:rPr>
          <w:rStyle w:val="FootnoteReference"/>
        </w:rPr>
        <w:footnoteReference w:id="26"/>
      </w:r>
      <w:r w:rsidR="0035603A">
        <w:t xml:space="preserve"> </w:t>
      </w:r>
      <w:r w:rsidR="00872B65">
        <w:t>Among</w:t>
      </w:r>
      <w:r w:rsidR="00E500A2">
        <w:t xml:space="preserve"> those rights are the ability to form a state constitution and r</w:t>
      </w:r>
      <w:r w:rsidR="007F5068">
        <w:t>egulate slavery. Mr. Smyth warned</w:t>
      </w:r>
      <w:r w:rsidR="00E500A2">
        <w:t xml:space="preserve"> that the breach of this treaty could lead to a conflict with France</w:t>
      </w:r>
      <w:r w:rsidR="00B97655">
        <w:t>, and would damage the honor of the U.S.</w:t>
      </w:r>
      <w:r w:rsidR="00B97655">
        <w:rPr>
          <w:rStyle w:val="FootnoteReference"/>
        </w:rPr>
        <w:footnoteReference w:id="27"/>
      </w:r>
      <w:r w:rsidR="00B26B1D">
        <w:t xml:space="preserve"> </w:t>
      </w:r>
      <w:r w:rsidR="007F5068">
        <w:t>He argued</w:t>
      </w:r>
      <w:r w:rsidR="0099631C">
        <w:t xml:space="preserve"> that the U.S. is bound by its own Constitution to obey t</w:t>
      </w:r>
      <w:r w:rsidR="007F5068">
        <w:t>reaties, and this one stipulated</w:t>
      </w:r>
      <w:r w:rsidR="0099631C">
        <w:t xml:space="preserve"> equal treatment of states created out of the Louisiana Purchase.</w:t>
      </w:r>
    </w:p>
    <w:p w14:paraId="717C6B78" w14:textId="1CD17A3B" w:rsidR="006C4DD6" w:rsidRDefault="007F5068" w:rsidP="00F2286A">
      <w:pPr>
        <w:spacing w:line="480" w:lineRule="auto"/>
        <w:ind w:firstLine="720"/>
        <w:contextualSpacing/>
      </w:pPr>
      <w:r>
        <w:t>Mr. Smyth and Mr. Barbour did</w:t>
      </w:r>
      <w:r w:rsidR="006A52E4">
        <w:t xml:space="preserve"> not ask</w:t>
      </w:r>
      <w:r w:rsidR="003D0612">
        <w:t xml:space="preserve"> </w:t>
      </w:r>
      <w:r w:rsidR="000016C1">
        <w:t xml:space="preserve">that </w:t>
      </w:r>
      <w:r w:rsidR="003D0612">
        <w:t>Missouri</w:t>
      </w:r>
      <w:r w:rsidR="00C22D08">
        <w:t xml:space="preserve"> </w:t>
      </w:r>
      <w:r w:rsidR="006A52E4">
        <w:t xml:space="preserve">enter as a slave state, </w:t>
      </w:r>
      <w:r w:rsidR="00372BA6">
        <w:t xml:space="preserve">but </w:t>
      </w:r>
      <w:r w:rsidR="00CC71FB">
        <w:t>instead suggested that</w:t>
      </w:r>
      <w:r w:rsidR="00372BA6">
        <w:t xml:space="preserve"> the people of </w:t>
      </w:r>
      <w:r w:rsidR="004E4408">
        <w:t>Missouri</w:t>
      </w:r>
      <w:r w:rsidR="00372BA6">
        <w:t xml:space="preserve"> be given the </w:t>
      </w:r>
      <w:r w:rsidR="004E4408">
        <w:t>choice</w:t>
      </w:r>
      <w:r w:rsidR="003D0612">
        <w:t>.</w:t>
      </w:r>
      <w:r w:rsidR="00213869">
        <w:t xml:space="preserve"> </w:t>
      </w:r>
      <w:r w:rsidR="00872B65">
        <w:t xml:space="preserve">Mr. Barbour </w:t>
      </w:r>
      <w:r w:rsidR="009D5847">
        <w:t>brought up the hypothetical situation that Missouri could accept the condition of banning slavery because of the desire to enjoy the other benefits of statehood</w:t>
      </w:r>
      <w:r w:rsidR="00CE2E81">
        <w:t>. He challenged</w:t>
      </w:r>
      <w:r w:rsidR="00FF710E">
        <w:t xml:space="preserve"> Northerners to “Send out </w:t>
      </w:r>
      <w:r w:rsidR="0068475D">
        <w:t>your go-carts of pamphlets…pronounce before them your long Jeremiads against slavery”</w:t>
      </w:r>
      <w:r w:rsidR="00557964">
        <w:t xml:space="preserve"> and then let the people of Missouri decide for themselves.</w:t>
      </w:r>
      <w:r w:rsidR="00557964">
        <w:rPr>
          <w:rStyle w:val="FootnoteReference"/>
        </w:rPr>
        <w:footnoteReference w:id="28"/>
      </w:r>
      <w:r w:rsidR="00CE2E81">
        <w:t xml:space="preserve"> He asked</w:t>
      </w:r>
      <w:r w:rsidR="00557964">
        <w:t>, “</w:t>
      </w:r>
      <w:r w:rsidR="002448CA">
        <w:t>What have you to fear from the good sense of the people of Missouri?”</w:t>
      </w:r>
      <w:r w:rsidR="002448CA">
        <w:rPr>
          <w:rStyle w:val="FootnoteReference"/>
        </w:rPr>
        <w:footnoteReference w:id="29"/>
      </w:r>
      <w:r w:rsidR="00CE2E81">
        <w:t xml:space="preserve"> Mr. Smyth concurred</w:t>
      </w:r>
      <w:r w:rsidR="006B29FB">
        <w:t>, saying that the people of Missouri may well come to the same conclusion that the North des</w:t>
      </w:r>
      <w:r w:rsidR="00CE2E81">
        <w:t>ired</w:t>
      </w:r>
      <w:r w:rsidR="006C4DD6">
        <w:t xml:space="preserve"> to impose.</w:t>
      </w:r>
      <w:r w:rsidR="006C4DD6">
        <w:rPr>
          <w:rStyle w:val="FootnoteReference"/>
        </w:rPr>
        <w:footnoteReference w:id="30"/>
      </w:r>
      <w:r w:rsidR="00617165">
        <w:t xml:space="preserve"> This led</w:t>
      </w:r>
      <w:r w:rsidR="006C4DD6">
        <w:t xml:space="preserve"> Barbour and S</w:t>
      </w:r>
      <w:r w:rsidR="00617165">
        <w:t>myth to suspect that the North wa</w:t>
      </w:r>
      <w:r w:rsidR="006C4DD6">
        <w:t>s not just seeking to curtail slavery but to enlarge their own political power.</w:t>
      </w:r>
    </w:p>
    <w:p w14:paraId="1AEAD3E3" w14:textId="254042D5" w:rsidR="006C4DD6" w:rsidRDefault="00617165" w:rsidP="00F2286A">
      <w:pPr>
        <w:spacing w:line="480" w:lineRule="auto"/>
        <w:ind w:firstLine="720"/>
        <w:contextualSpacing/>
      </w:pPr>
      <w:r>
        <w:t>Mr. Barbour and Mr. Smyth made</w:t>
      </w:r>
      <w:r w:rsidR="000F58A8">
        <w:t xml:space="preserve"> compelling a</w:t>
      </w:r>
      <w:r w:rsidR="003F663F">
        <w:t>rguments that the Northerners did</w:t>
      </w:r>
      <w:r w:rsidR="000F58A8">
        <w:t xml:space="preserve"> not</w:t>
      </w:r>
      <w:r w:rsidR="009D5847">
        <w:t xml:space="preserve"> truly</w:t>
      </w:r>
      <w:r w:rsidR="000F58A8">
        <w:t xml:space="preserve"> desire t</w:t>
      </w:r>
      <w:r w:rsidR="003F663F">
        <w:t>o help slaves become free, but we</w:t>
      </w:r>
      <w:r w:rsidR="000F58A8">
        <w:t>r</w:t>
      </w:r>
      <w:r w:rsidR="00E96516">
        <w:t xml:space="preserve">e </w:t>
      </w:r>
      <w:r w:rsidR="003F663F">
        <w:t xml:space="preserve">selfishly </w:t>
      </w:r>
      <w:r w:rsidR="00E96516">
        <w:t>pursuing a majority in Congress.</w:t>
      </w:r>
      <w:r w:rsidR="003F663F">
        <w:t xml:space="preserve"> Mr. Smyth said</w:t>
      </w:r>
      <w:r w:rsidR="0012145C">
        <w:t>, “if the future freedom of blacks is your real obje</w:t>
      </w:r>
      <w:r w:rsidR="00E74ACB">
        <w:t xml:space="preserve">ct, and not a mere </w:t>
      </w:r>
      <w:proofErr w:type="spellStart"/>
      <w:r w:rsidR="00E74ACB">
        <w:t>pretence</w:t>
      </w:r>
      <w:proofErr w:type="spellEnd"/>
      <w:r w:rsidR="00E74ACB">
        <w:t xml:space="preserve">” then why not free slaves in the District of Columbia, where Congress has “undoubted power to </w:t>
      </w:r>
      <w:r w:rsidR="00E74ACB">
        <w:lastRenderedPageBreak/>
        <w:t>exercise exclusive legislation</w:t>
      </w:r>
      <w:r w:rsidR="002D13E1">
        <w:t>?”</w:t>
      </w:r>
      <w:r w:rsidR="00C621F4">
        <w:rPr>
          <w:rStyle w:val="FootnoteReference"/>
        </w:rPr>
        <w:footnoteReference w:id="31"/>
      </w:r>
      <w:r w:rsidR="003F663F">
        <w:t xml:space="preserve"> Mr. Barbour even came close to threatening the North</w:t>
      </w:r>
      <w:r w:rsidR="00620134">
        <w:t xml:space="preserve"> by proclaiming</w:t>
      </w:r>
      <w:r w:rsidR="009B6DF6">
        <w:t xml:space="preserve"> “</w:t>
      </w:r>
      <w:r w:rsidR="00735F0E">
        <w:t>Sir, there is a point where submission becomes a crime, and resistance is a vir</w:t>
      </w:r>
      <w:r w:rsidR="00620134">
        <w:t>tue</w:t>
      </w:r>
      <w:r w:rsidR="00735F0E">
        <w:t>.</w:t>
      </w:r>
      <w:r w:rsidR="00620134">
        <w:t>”</w:t>
      </w:r>
      <w:r w:rsidR="00E95F58">
        <w:rPr>
          <w:rStyle w:val="FootnoteReference"/>
        </w:rPr>
        <w:footnoteReference w:id="32"/>
      </w:r>
      <w:r w:rsidR="00620134">
        <w:t xml:space="preserve"> </w:t>
      </w:r>
      <w:r w:rsidR="006E1C61">
        <w:t>He doubted the earnestness</w:t>
      </w:r>
      <w:r w:rsidR="00FE79AE">
        <w:t xml:space="preserve"> of Northerners’</w:t>
      </w:r>
      <w:r w:rsidR="006E1C61">
        <w:t xml:space="preserve"> charitable intentions, because Southerners would have to deal with the </w:t>
      </w:r>
      <w:r w:rsidR="00FE79AE">
        <w:t xml:space="preserve">repercussions of a highly concentrated slave population that was barred from expansion. </w:t>
      </w:r>
      <w:r w:rsidR="006E1C61">
        <w:t xml:space="preserve"> </w:t>
      </w:r>
      <w:r w:rsidR="00620134">
        <w:t>He contended that if slavery could not</w:t>
      </w:r>
      <w:r w:rsidR="00E95F58">
        <w:t xml:space="preserve"> spread</w:t>
      </w:r>
      <w:r w:rsidR="00716E8A">
        <w:t xml:space="preserve">, </w:t>
      </w:r>
      <w:r w:rsidR="00620134">
        <w:t>the concentration of blacks would</w:t>
      </w:r>
      <w:r w:rsidR="00716E8A">
        <w:t xml:space="preserve"> threaten the white population. </w:t>
      </w:r>
      <w:r w:rsidR="00405DA6">
        <w:t>The South</w:t>
      </w:r>
      <w:r w:rsidR="00620134">
        <w:t>, he claimed</w:t>
      </w:r>
      <w:r w:rsidR="00E1726D">
        <w:t>,</w:t>
      </w:r>
      <w:r w:rsidR="00620134">
        <w:t xml:space="preserve"> had</w:t>
      </w:r>
      <w:r w:rsidR="00405DA6">
        <w:t xml:space="preserve"> always “held our brothers of the East as ourselves,” sacrificing their own self-interest for the national good.</w:t>
      </w:r>
      <w:r w:rsidR="00E1726D">
        <w:rPr>
          <w:rStyle w:val="FootnoteReference"/>
        </w:rPr>
        <w:footnoteReference w:id="33"/>
      </w:r>
      <w:r w:rsidR="00E1726D">
        <w:t xml:space="preserve"> Mr. </w:t>
      </w:r>
      <w:r w:rsidR="00620134">
        <w:t>Barbour worried</w:t>
      </w:r>
      <w:r w:rsidR="00DE7989">
        <w:t xml:space="preserve"> that if the North and the South become</w:t>
      </w:r>
      <w:r w:rsidR="008F3436">
        <w:t xml:space="preserve"> une</w:t>
      </w:r>
      <w:r w:rsidR="00620134">
        <w:t>qual politically, the North would</w:t>
      </w:r>
      <w:r w:rsidR="008F3436">
        <w:t xml:space="preserve"> continue to impose laws hostile to the South.</w:t>
      </w:r>
    </w:p>
    <w:p w14:paraId="6F6179DF" w14:textId="6A4CDA7B" w:rsidR="00BD32F1" w:rsidRDefault="00081375" w:rsidP="00F2286A">
      <w:pPr>
        <w:spacing w:line="480" w:lineRule="auto"/>
        <w:ind w:firstLine="720"/>
        <w:contextualSpacing/>
      </w:pPr>
      <w:r>
        <w:t>The t</w:t>
      </w:r>
      <w:r w:rsidR="00620134">
        <w:t xml:space="preserve">wo </w:t>
      </w:r>
      <w:r w:rsidR="003C1063">
        <w:t>Representatives share their fundamental views about slavery and the African race</w:t>
      </w:r>
      <w:r w:rsidR="00BC091F">
        <w:t xml:space="preserve"> to bolster their position. Firstly, both men believe</w:t>
      </w:r>
      <w:r w:rsidR="005303BD">
        <w:t>d that slavery wa</w:t>
      </w:r>
      <w:r w:rsidR="00BC091F">
        <w:t>s natural, and so resent</w:t>
      </w:r>
      <w:r w:rsidR="005303BD">
        <w:t>ed</w:t>
      </w:r>
      <w:r w:rsidR="00BC091F">
        <w:t xml:space="preserve"> the Northern opposition to the institution.</w:t>
      </w:r>
      <w:r w:rsidR="008E1684">
        <w:t xml:space="preserve"> </w:t>
      </w:r>
      <w:r w:rsidR="00BD32F1">
        <w:t>Mr.</w:t>
      </w:r>
      <w:r w:rsidR="005303BD">
        <w:t xml:space="preserve"> Smyth </w:t>
      </w:r>
      <w:proofErr w:type="spellStart"/>
      <w:r w:rsidR="005303BD">
        <w:t>refered</w:t>
      </w:r>
      <w:proofErr w:type="spellEnd"/>
      <w:r w:rsidR="008E1684">
        <w:t xml:space="preserve"> to slaves as part of the family; “the nurse who has fed his children from her breast</w:t>
      </w:r>
      <w:r w:rsidR="00A51DDF">
        <w:t>, the faithful man who as long attended on his person…”</w:t>
      </w:r>
      <w:r w:rsidR="00A51DDF">
        <w:rPr>
          <w:rStyle w:val="FootnoteReference"/>
        </w:rPr>
        <w:footnoteReference w:id="34"/>
      </w:r>
      <w:r w:rsidR="00A51DDF">
        <w:t xml:space="preserve"> To deny a man the ability to take his family into Missouri would be unjust.</w:t>
      </w:r>
      <w:r w:rsidR="00BD32F1">
        <w:t xml:space="preserve"> </w:t>
      </w:r>
      <w:r w:rsidR="005303BD">
        <w:t>Mr. Barbour reminded</w:t>
      </w:r>
      <w:r w:rsidR="00B422E4">
        <w:t xml:space="preserve"> his fellow men that slavery in Ancient Greece and Rome was much worse than it was in the United States, </w:t>
      </w:r>
      <w:r w:rsidR="005303BD">
        <w:t xml:space="preserve">and </w:t>
      </w:r>
      <w:r w:rsidR="00B422E4">
        <w:t xml:space="preserve">yet that civilization </w:t>
      </w:r>
      <w:r w:rsidR="00E664A9">
        <w:t>achieved greatness.</w:t>
      </w:r>
      <w:r w:rsidR="00E664A9">
        <w:rPr>
          <w:rStyle w:val="FootnoteReference"/>
        </w:rPr>
        <w:footnoteReference w:id="35"/>
      </w:r>
      <w:r w:rsidR="005303BD">
        <w:t xml:space="preserve"> He did admit that there wa</w:t>
      </w:r>
      <w:r w:rsidR="00E664A9">
        <w:t>s a “preponderance” of evil in the institution of slavery, yet</w:t>
      </w:r>
      <w:r w:rsidR="00DA6AC0">
        <w:t xml:space="preserve"> “no remedy, even plausible</w:t>
      </w:r>
      <w:r w:rsidR="00211898">
        <w:t>, has been suggested” to mend it.</w:t>
      </w:r>
      <w:r w:rsidR="00211898">
        <w:rPr>
          <w:rStyle w:val="FootnoteReference"/>
        </w:rPr>
        <w:footnoteReference w:id="36"/>
      </w:r>
      <w:r w:rsidR="005303BD">
        <w:t xml:space="preserve"> He ended</w:t>
      </w:r>
      <w:r w:rsidR="00211898">
        <w:t xml:space="preserve"> his speech by proclaiming that God has allowed slavery to exist thus far, and until he “will raise up some Moses to b</w:t>
      </w:r>
      <w:r w:rsidR="005303BD">
        <w:t>e their deliverer,” slavery would</w:t>
      </w:r>
      <w:r w:rsidR="00211898">
        <w:t xml:space="preserve"> continue</w:t>
      </w:r>
      <w:r w:rsidR="00CE7EDE">
        <w:t>.</w:t>
      </w:r>
      <w:r w:rsidR="00CE7EDE">
        <w:rPr>
          <w:rStyle w:val="FootnoteReference"/>
        </w:rPr>
        <w:footnoteReference w:id="37"/>
      </w:r>
    </w:p>
    <w:p w14:paraId="1E50C6D1" w14:textId="5C37AFF8" w:rsidR="0073389B" w:rsidRDefault="00CE7EDE" w:rsidP="00F2286A">
      <w:pPr>
        <w:spacing w:line="480" w:lineRule="auto"/>
        <w:ind w:firstLine="720"/>
        <w:contextualSpacing/>
      </w:pPr>
      <w:r>
        <w:lastRenderedPageBreak/>
        <w:t>Both Virginians fear</w:t>
      </w:r>
      <w:r w:rsidR="005303BD">
        <w:t>ed</w:t>
      </w:r>
      <w:r>
        <w:t xml:space="preserve"> the consequences of an overly con</w:t>
      </w:r>
      <w:r w:rsidR="005303BD">
        <w:t>centrated slave population.</w:t>
      </w:r>
      <w:r w:rsidR="00AC3FC6">
        <w:t xml:space="preserve"> </w:t>
      </w:r>
      <w:r w:rsidR="00BD32F1">
        <w:t xml:space="preserve"> </w:t>
      </w:r>
      <w:r w:rsidR="00AC3FC6">
        <w:t xml:space="preserve">Mr. Smyth </w:t>
      </w:r>
      <w:r w:rsidR="005303BD">
        <w:t>asserted that masters we</w:t>
      </w:r>
      <w:r w:rsidR="00BD32F1">
        <w:t xml:space="preserve">re “desirous </w:t>
      </w:r>
      <w:r w:rsidR="00425492">
        <w:t>to</w:t>
      </w:r>
      <w:r w:rsidR="00BD32F1">
        <w:t xml:space="preserve"> improve the condition of their slaves, by removing them to the fertile and exten</w:t>
      </w:r>
      <w:r w:rsidR="002D6999">
        <w:t xml:space="preserve">sive plains of the west.” </w:t>
      </w:r>
      <w:r w:rsidR="00593390">
        <w:t>To</w:t>
      </w:r>
      <w:r w:rsidR="002D6999">
        <w:t xml:space="preserve"> prevent expansion would be “extreme cruelty to the </w:t>
      </w:r>
      <w:r w:rsidR="00593390">
        <w:t>blacks,” and would “cause their chains to be rendered more weighty” in order to protect the citizens.</w:t>
      </w:r>
      <w:r w:rsidR="00593390" w:rsidRPr="00593390">
        <w:rPr>
          <w:rStyle w:val="FootnoteReference"/>
        </w:rPr>
        <w:t xml:space="preserve"> </w:t>
      </w:r>
      <w:r w:rsidR="00DB2B1D">
        <w:t>He argued</w:t>
      </w:r>
      <w:r w:rsidR="00593390">
        <w:t xml:space="preserve"> that slave owners who own just a few slaves treat</w:t>
      </w:r>
      <w:r w:rsidR="00DB2B1D">
        <w:t>ed them better than did</w:t>
      </w:r>
      <w:r w:rsidR="003123E7">
        <w:t xml:space="preserve"> large </w:t>
      </w:r>
      <w:r w:rsidR="00593390">
        <w:t>owners, and the concentration of slaves would lead to larger plantations.</w:t>
      </w:r>
      <w:r w:rsidR="00593390" w:rsidRPr="00593390">
        <w:rPr>
          <w:rStyle w:val="FootnoteReference"/>
        </w:rPr>
        <w:t xml:space="preserve"> </w:t>
      </w:r>
      <w:r w:rsidR="00593390">
        <w:rPr>
          <w:rStyle w:val="FootnoteReference"/>
        </w:rPr>
        <w:footnoteReference w:id="38"/>
      </w:r>
      <w:r w:rsidR="00DB2B1D">
        <w:t xml:space="preserve"> Smyth said</w:t>
      </w:r>
      <w:r w:rsidR="00F07E70">
        <w:t xml:space="preserve"> that t</w:t>
      </w:r>
      <w:r w:rsidR="00062795">
        <w:t>he policy of dispersion worked for</w:t>
      </w:r>
      <w:r w:rsidR="00193597">
        <w:t xml:space="preserve"> Constantine and</w:t>
      </w:r>
      <w:bookmarkStart w:id="0" w:name="_GoBack"/>
      <w:bookmarkEnd w:id="0"/>
      <w:r w:rsidR="00743A92">
        <w:t xml:space="preserve"> the Jews</w:t>
      </w:r>
      <w:r w:rsidR="00DB2B1D">
        <w:t>, and would</w:t>
      </w:r>
      <w:r w:rsidR="00062795">
        <w:t xml:space="preserve"> work equally for the United States and the </w:t>
      </w:r>
      <w:r w:rsidR="00743A92">
        <w:t>dispersion of</w:t>
      </w:r>
      <w:r w:rsidR="003123E7">
        <w:t xml:space="preserve"> </w:t>
      </w:r>
      <w:r w:rsidR="00062795">
        <w:t>African slaves.</w:t>
      </w:r>
      <w:r w:rsidR="006C10C3">
        <w:rPr>
          <w:rStyle w:val="FootnoteReference"/>
        </w:rPr>
        <w:footnoteReference w:id="39"/>
      </w:r>
      <w:r w:rsidR="00DB2B1D">
        <w:t xml:space="preserve"> At the heart of this fear wa</w:t>
      </w:r>
      <w:r w:rsidR="006C10C3">
        <w:t>s the memory of the slave revolt in St. Domingo, Haiti</w:t>
      </w:r>
      <w:r w:rsidR="004E5A99">
        <w:t>, where slaves were “thirsting for human blood.”</w:t>
      </w:r>
      <w:r w:rsidR="004E5A99">
        <w:rPr>
          <w:rStyle w:val="FootnoteReference"/>
        </w:rPr>
        <w:footnoteReference w:id="40"/>
      </w:r>
      <w:r w:rsidR="00EF46A4">
        <w:t xml:space="preserve"> </w:t>
      </w:r>
      <w:r w:rsidR="0073389B">
        <w:t>Even if they were freed peacefully, slaves would be “savages in the midst of society…ignorant of the duties of life</w:t>
      </w:r>
      <w:r w:rsidR="00BD481A">
        <w:t>…without the benefits of subordination.”</w:t>
      </w:r>
      <w:r w:rsidR="00BD481A">
        <w:rPr>
          <w:rStyle w:val="FootnoteReference"/>
        </w:rPr>
        <w:footnoteReference w:id="41"/>
      </w:r>
      <w:r w:rsidR="00BD481A">
        <w:t xml:space="preserve"> To </w:t>
      </w:r>
      <w:r w:rsidR="00DB2B1D">
        <w:t>him, blacks and whites could not</w:t>
      </w:r>
      <w:r w:rsidR="003061DF">
        <w:t xml:space="preserve"> live peacefully to</w:t>
      </w:r>
      <w:r w:rsidR="003F0C17">
        <w:t>gether, so slavery was necessary</w:t>
      </w:r>
      <w:r w:rsidR="003061DF">
        <w:t>.</w:t>
      </w:r>
    </w:p>
    <w:p w14:paraId="66C845E0" w14:textId="073B65E9" w:rsidR="003061DF" w:rsidRDefault="00A950F6" w:rsidP="00C63700">
      <w:pPr>
        <w:spacing w:line="480" w:lineRule="auto"/>
        <w:ind w:firstLine="720"/>
        <w:contextualSpacing/>
      </w:pPr>
      <w:r>
        <w:t>While the arguments of the Virginians</w:t>
      </w:r>
      <w:r w:rsidR="0000523D">
        <w:t xml:space="preserve"> are quite convincing, they are not foolproof and </w:t>
      </w:r>
      <w:r w:rsidR="0059743F">
        <w:t xml:space="preserve">they </w:t>
      </w:r>
      <w:r w:rsidR="0000523D">
        <w:t xml:space="preserve">contain an obvious bias. </w:t>
      </w:r>
      <w:r w:rsidR="00C63700">
        <w:t>T</w:t>
      </w:r>
      <w:r w:rsidR="00D17D39">
        <w:t>he compromise that resulted from this debate revealed that both sides held political powe</w:t>
      </w:r>
      <w:r w:rsidR="00734399">
        <w:t>r above the Constitution or helping slaves:</w:t>
      </w:r>
      <w:r w:rsidR="0059743F">
        <w:t xml:space="preserve"> T</w:t>
      </w:r>
      <w:r w:rsidR="00734399">
        <w:t>he South acc</w:t>
      </w:r>
      <w:r w:rsidR="00A57A45">
        <w:t>epted the ban on</w:t>
      </w:r>
      <w:r w:rsidR="00734399">
        <w:t xml:space="preserve"> slavery above a certain latitude despite</w:t>
      </w:r>
      <w:r w:rsidR="00243195">
        <w:t xml:space="preserve"> arguing that the government had no right to do that, and the North accepted the existence of slavery in Missouri despite a professed hatred for the institution.</w:t>
      </w:r>
      <w:r w:rsidR="00D5657D">
        <w:rPr>
          <w:rStyle w:val="FootnoteReference"/>
        </w:rPr>
        <w:footnoteReference w:id="42"/>
      </w:r>
      <w:r w:rsidR="00C63700">
        <w:t xml:space="preserve"> </w:t>
      </w:r>
      <w:r w:rsidR="007F6A0E">
        <w:t>The Virginians’</w:t>
      </w:r>
      <w:r w:rsidR="006132EB">
        <w:t xml:space="preserve"> basic view that slavery was not mora</w:t>
      </w:r>
      <w:r w:rsidR="003264C9">
        <w:t>lly wrong allowed them to identify slaves as both property and family, and thus were free from government regulation.</w:t>
      </w:r>
      <w:r w:rsidR="001856A4">
        <w:t xml:space="preserve"> </w:t>
      </w:r>
      <w:r w:rsidR="003061DF">
        <w:t xml:space="preserve">Although the racial argument of these men has been disproved by the passage of time, their </w:t>
      </w:r>
      <w:r w:rsidR="003061DF">
        <w:lastRenderedPageBreak/>
        <w:t>co</w:t>
      </w:r>
      <w:r w:rsidR="00CB78D3">
        <w:t>nstitutional and legal grounds we</w:t>
      </w:r>
      <w:r w:rsidR="003061DF">
        <w:t>re quite strong.</w:t>
      </w:r>
      <w:r w:rsidR="003C63A3">
        <w:t xml:space="preserve"> It would be a Congressional overreach to impose conditions on Missouri’s entrance</w:t>
      </w:r>
      <w:r w:rsidR="00152EE9">
        <w:t>, and the Louisiana Purchase Trea</w:t>
      </w:r>
      <w:r w:rsidR="00CB78D3">
        <w:t>ty wa</w:t>
      </w:r>
      <w:r w:rsidR="00152EE9">
        <w:t>s binding. The legal structures protecting slavery were so deeply embedded that only a constitutional change</w:t>
      </w:r>
      <w:r w:rsidR="00B67BCE">
        <w:t xml:space="preserve"> could abolish it. That did not bode </w:t>
      </w:r>
      <w:r w:rsidR="005A66DA">
        <w:t>well for the future of a Union that would</w:t>
      </w:r>
      <w:r w:rsidR="0087533A">
        <w:t xml:space="preserve"> become increasingly divided on the issue of slavery and its expansion. </w:t>
      </w:r>
    </w:p>
    <w:p w14:paraId="54FC577A" w14:textId="77777777" w:rsidR="009E4ECD" w:rsidRDefault="009E4ECD" w:rsidP="00F2286A">
      <w:pPr>
        <w:spacing w:line="480" w:lineRule="auto"/>
        <w:ind w:firstLine="720"/>
      </w:pPr>
    </w:p>
    <w:sectPr w:rsidR="009E4EC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522788" w14:textId="77777777" w:rsidR="00413160" w:rsidRDefault="00413160" w:rsidP="006B69C2">
      <w:pPr>
        <w:spacing w:after="0" w:line="240" w:lineRule="auto"/>
      </w:pPr>
      <w:r>
        <w:separator/>
      </w:r>
    </w:p>
  </w:endnote>
  <w:endnote w:type="continuationSeparator" w:id="0">
    <w:p w14:paraId="700E6963" w14:textId="77777777" w:rsidR="00413160" w:rsidRDefault="00413160" w:rsidP="006B6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9FDBC3" w14:textId="77777777" w:rsidR="00413160" w:rsidRDefault="00413160" w:rsidP="006B69C2">
      <w:pPr>
        <w:spacing w:after="0" w:line="240" w:lineRule="auto"/>
      </w:pPr>
      <w:r>
        <w:separator/>
      </w:r>
    </w:p>
  </w:footnote>
  <w:footnote w:type="continuationSeparator" w:id="0">
    <w:p w14:paraId="239D8752" w14:textId="77777777" w:rsidR="00413160" w:rsidRDefault="00413160" w:rsidP="006B69C2">
      <w:pPr>
        <w:spacing w:after="0" w:line="240" w:lineRule="auto"/>
      </w:pPr>
      <w:r>
        <w:continuationSeparator/>
      </w:r>
    </w:p>
  </w:footnote>
  <w:footnote w:id="1">
    <w:p w14:paraId="6D7622ED" w14:textId="342C676E" w:rsidR="006B69C2" w:rsidRPr="006B7660" w:rsidRDefault="006B69C2">
      <w:pPr>
        <w:pStyle w:val="FootnoteText"/>
      </w:pPr>
      <w:r w:rsidRPr="006B7660">
        <w:rPr>
          <w:rStyle w:val="FootnoteReference"/>
        </w:rPr>
        <w:footnoteRef/>
      </w:r>
      <w:r w:rsidRPr="006B7660">
        <w:t xml:space="preserve"> </w:t>
      </w:r>
      <w:r w:rsidR="008F1903" w:rsidRPr="006B7660">
        <w:t>US Constitution, art. 4, sec. 3, cl. 1</w:t>
      </w:r>
    </w:p>
  </w:footnote>
  <w:footnote w:id="2">
    <w:p w14:paraId="611728A6" w14:textId="2EC00BAF" w:rsidR="00F776A3" w:rsidRPr="006B7660" w:rsidRDefault="00F776A3">
      <w:pPr>
        <w:pStyle w:val="FootnoteText"/>
      </w:pPr>
      <w:r w:rsidRPr="006B7660">
        <w:rPr>
          <w:rStyle w:val="FootnoteReference"/>
        </w:rPr>
        <w:footnoteRef/>
      </w:r>
      <w:r w:rsidR="00B3118D" w:rsidRPr="006B7660">
        <w:t xml:space="preserve"> Virginia Legislature, Preamble and Resolutions on the Missouri Question, </w:t>
      </w:r>
      <w:r w:rsidR="00DD37A8" w:rsidRPr="006B7660">
        <w:t xml:space="preserve">February 3, 1820, </w:t>
      </w:r>
      <w:r w:rsidR="00452E31" w:rsidRPr="006B7660">
        <w:t>America’s Historical Imprints,</w:t>
      </w:r>
      <w:r w:rsidRPr="006B7660">
        <w:t xml:space="preserve"> 8</w:t>
      </w:r>
    </w:p>
  </w:footnote>
  <w:footnote w:id="3">
    <w:p w14:paraId="0365FED5" w14:textId="6CFEAD4E" w:rsidR="00896F79" w:rsidRPr="006B7660" w:rsidRDefault="00896F79">
      <w:pPr>
        <w:pStyle w:val="FootnoteText"/>
      </w:pPr>
      <w:r w:rsidRPr="006B7660">
        <w:rPr>
          <w:rStyle w:val="FootnoteReference"/>
        </w:rPr>
        <w:footnoteRef/>
      </w:r>
      <w:r w:rsidR="00CB2C8A" w:rsidRPr="006B7660">
        <w:t xml:space="preserve"> Speech of Mr. J. Barbour, of Virginia, on the Restriction of Slavery in Missouri</w:t>
      </w:r>
      <w:r w:rsidR="00195880" w:rsidRPr="006B7660">
        <w:t>, 16</w:t>
      </w:r>
      <w:r w:rsidR="00195880" w:rsidRPr="006B7660">
        <w:rPr>
          <w:vertAlign w:val="superscript"/>
        </w:rPr>
        <w:t>th</w:t>
      </w:r>
      <w:r w:rsidR="00195880" w:rsidRPr="006B7660">
        <w:t xml:space="preserve"> Congress</w:t>
      </w:r>
      <w:r w:rsidR="00952D9B" w:rsidRPr="006B7660">
        <w:t>, 1</w:t>
      </w:r>
      <w:r w:rsidR="00952D9B" w:rsidRPr="006B7660">
        <w:rPr>
          <w:vertAlign w:val="superscript"/>
        </w:rPr>
        <w:t>st</w:t>
      </w:r>
      <w:r w:rsidR="00952D9B" w:rsidRPr="006B7660">
        <w:t xml:space="preserve"> sess.,</w:t>
      </w:r>
      <w:r w:rsidR="00F40816" w:rsidRPr="006B7660">
        <w:t xml:space="preserve"> January 31, 1820, S.,</w:t>
      </w:r>
      <w:r w:rsidRPr="006B7660">
        <w:t xml:space="preserve"> 9</w:t>
      </w:r>
    </w:p>
  </w:footnote>
  <w:footnote w:id="4">
    <w:p w14:paraId="338087AF" w14:textId="2DC0E073" w:rsidR="00C32E22" w:rsidRPr="006B7660" w:rsidRDefault="00C32E22">
      <w:pPr>
        <w:pStyle w:val="FootnoteText"/>
      </w:pPr>
      <w:r w:rsidRPr="006B7660">
        <w:rPr>
          <w:rStyle w:val="FootnoteReference"/>
        </w:rPr>
        <w:footnoteRef/>
      </w:r>
      <w:r w:rsidRPr="006B7660">
        <w:t xml:space="preserve"> Barbour</w:t>
      </w:r>
      <w:r w:rsidR="00F40816" w:rsidRPr="006B7660">
        <w:t>,</w:t>
      </w:r>
      <w:r w:rsidRPr="006B7660">
        <w:t xml:space="preserve"> 10</w:t>
      </w:r>
    </w:p>
  </w:footnote>
  <w:footnote w:id="5">
    <w:p w14:paraId="1F5AD96A" w14:textId="7169A206" w:rsidR="00C07CE1" w:rsidRPr="006B7660" w:rsidRDefault="00C07CE1">
      <w:pPr>
        <w:pStyle w:val="FootnoteText"/>
      </w:pPr>
      <w:r w:rsidRPr="006B7660">
        <w:rPr>
          <w:rStyle w:val="FootnoteReference"/>
        </w:rPr>
        <w:footnoteRef/>
      </w:r>
      <w:r w:rsidRPr="006B7660">
        <w:t xml:space="preserve"> </w:t>
      </w:r>
      <w:r w:rsidR="00F40816" w:rsidRPr="006B7660">
        <w:t>US Constitution, art. 1, sec. 8, cl. 3</w:t>
      </w:r>
    </w:p>
  </w:footnote>
  <w:footnote w:id="6">
    <w:p w14:paraId="64F6FCFD" w14:textId="670D6B72" w:rsidR="00220EAB" w:rsidRPr="006B7660" w:rsidRDefault="00220EAB">
      <w:pPr>
        <w:pStyle w:val="FootnoteText"/>
      </w:pPr>
      <w:r w:rsidRPr="006B7660">
        <w:rPr>
          <w:rStyle w:val="FootnoteReference"/>
        </w:rPr>
        <w:footnoteRef/>
      </w:r>
      <w:r w:rsidR="00F40816" w:rsidRPr="006B7660">
        <w:t xml:space="preserve"> Virginia Legislature,</w:t>
      </w:r>
      <w:r w:rsidRPr="006B7660">
        <w:t xml:space="preserve"> 22</w:t>
      </w:r>
    </w:p>
  </w:footnote>
  <w:footnote w:id="7">
    <w:p w14:paraId="649D58E8" w14:textId="25D039AC" w:rsidR="0096771F" w:rsidRPr="006B7660" w:rsidRDefault="0096771F">
      <w:pPr>
        <w:pStyle w:val="FootnoteText"/>
      </w:pPr>
      <w:r w:rsidRPr="006B7660">
        <w:rPr>
          <w:rStyle w:val="FootnoteReference"/>
        </w:rPr>
        <w:footnoteRef/>
      </w:r>
      <w:r w:rsidRPr="006B7660">
        <w:t xml:space="preserve"> Barbour</w:t>
      </w:r>
      <w:r w:rsidR="00F40816" w:rsidRPr="006B7660">
        <w:t>,</w:t>
      </w:r>
      <w:r w:rsidRPr="006B7660">
        <w:t xml:space="preserve"> 8</w:t>
      </w:r>
    </w:p>
  </w:footnote>
  <w:footnote w:id="8">
    <w:p w14:paraId="4FA4AF20" w14:textId="637D8B0D" w:rsidR="00DE08DB" w:rsidRPr="006B7660" w:rsidRDefault="00DE08DB">
      <w:pPr>
        <w:pStyle w:val="FootnoteText"/>
      </w:pPr>
      <w:r w:rsidRPr="006B7660">
        <w:rPr>
          <w:rStyle w:val="FootnoteReference"/>
        </w:rPr>
        <w:footnoteRef/>
      </w:r>
      <w:r w:rsidRPr="006B7660">
        <w:t xml:space="preserve"> Barbour</w:t>
      </w:r>
      <w:r w:rsidR="00F40816" w:rsidRPr="006B7660">
        <w:t>,</w:t>
      </w:r>
      <w:r w:rsidRPr="006B7660">
        <w:t xml:space="preserve"> 8</w:t>
      </w:r>
    </w:p>
  </w:footnote>
  <w:footnote w:id="9">
    <w:p w14:paraId="3937EC01" w14:textId="584A2515" w:rsidR="006F77E3" w:rsidRPr="006B7660" w:rsidRDefault="006F77E3">
      <w:pPr>
        <w:pStyle w:val="FootnoteText"/>
      </w:pPr>
      <w:r w:rsidRPr="006B7660">
        <w:rPr>
          <w:rStyle w:val="FootnoteReference"/>
        </w:rPr>
        <w:footnoteRef/>
      </w:r>
      <w:r w:rsidR="006B7660" w:rsidRPr="006B7660">
        <w:t xml:space="preserve"> US Constitution, art. 4, sec. 3, cl. 2</w:t>
      </w:r>
    </w:p>
  </w:footnote>
  <w:footnote w:id="10">
    <w:p w14:paraId="45A28CB3" w14:textId="501161E4" w:rsidR="001B0B1D" w:rsidRPr="006B7660" w:rsidRDefault="001B0B1D">
      <w:pPr>
        <w:pStyle w:val="FootnoteText"/>
      </w:pPr>
      <w:r w:rsidRPr="006B7660">
        <w:rPr>
          <w:rStyle w:val="FootnoteReference"/>
        </w:rPr>
        <w:footnoteRef/>
      </w:r>
      <w:r w:rsidR="006B7660" w:rsidRPr="006B7660">
        <w:t xml:space="preserve"> Virginia Legislature,</w:t>
      </w:r>
      <w:r w:rsidRPr="006B7660">
        <w:t xml:space="preserve"> 19</w:t>
      </w:r>
    </w:p>
  </w:footnote>
  <w:footnote w:id="11">
    <w:p w14:paraId="5B2B835D" w14:textId="1A5BAA96" w:rsidR="006060A2" w:rsidRPr="006B7660" w:rsidRDefault="006060A2">
      <w:pPr>
        <w:pStyle w:val="FootnoteText"/>
      </w:pPr>
      <w:r w:rsidRPr="006B7660">
        <w:rPr>
          <w:rStyle w:val="FootnoteReference"/>
        </w:rPr>
        <w:footnoteRef/>
      </w:r>
      <w:r w:rsidR="006B7660" w:rsidRPr="006B7660">
        <w:t xml:space="preserve"> Virginia Legislature</w:t>
      </w:r>
      <w:r w:rsidR="006B7660">
        <w:t>,</w:t>
      </w:r>
      <w:r w:rsidRPr="006B7660">
        <w:t xml:space="preserve"> 20</w:t>
      </w:r>
    </w:p>
  </w:footnote>
  <w:footnote w:id="12">
    <w:p w14:paraId="6D820FB2" w14:textId="1541EBD5" w:rsidR="00A460BD" w:rsidRPr="006B7660" w:rsidRDefault="00A460BD">
      <w:pPr>
        <w:pStyle w:val="FootnoteText"/>
      </w:pPr>
      <w:r w:rsidRPr="006B7660">
        <w:rPr>
          <w:rStyle w:val="FootnoteReference"/>
        </w:rPr>
        <w:footnoteRef/>
      </w:r>
      <w:r w:rsidR="006B7660" w:rsidRPr="006B7660">
        <w:t xml:space="preserve"> Virginia Legislature</w:t>
      </w:r>
      <w:r w:rsidR="006B7660">
        <w:t>,</w:t>
      </w:r>
      <w:r w:rsidRPr="006B7660">
        <w:t xml:space="preserve"> 22</w:t>
      </w:r>
    </w:p>
  </w:footnote>
  <w:footnote w:id="13">
    <w:p w14:paraId="7F515149" w14:textId="136FD5A7" w:rsidR="000C6D06" w:rsidRPr="006B7660" w:rsidRDefault="000C6D06">
      <w:pPr>
        <w:pStyle w:val="FootnoteText"/>
      </w:pPr>
      <w:r w:rsidRPr="006B7660">
        <w:rPr>
          <w:rStyle w:val="FootnoteReference"/>
        </w:rPr>
        <w:footnoteRef/>
      </w:r>
      <w:r w:rsidRPr="006B7660">
        <w:t xml:space="preserve"> Smyth</w:t>
      </w:r>
      <w:r w:rsidR="006B7660">
        <w:t>,</w:t>
      </w:r>
      <w:r w:rsidRPr="006B7660">
        <w:t xml:space="preserve"> 14</w:t>
      </w:r>
    </w:p>
  </w:footnote>
  <w:footnote w:id="14">
    <w:p w14:paraId="439F6ABE" w14:textId="26842EE6" w:rsidR="00E01ED6" w:rsidRPr="006B7660" w:rsidRDefault="00E01ED6">
      <w:pPr>
        <w:pStyle w:val="FootnoteText"/>
      </w:pPr>
      <w:r w:rsidRPr="006B7660">
        <w:rPr>
          <w:rStyle w:val="FootnoteReference"/>
        </w:rPr>
        <w:footnoteRef/>
      </w:r>
      <w:r w:rsidRPr="006B7660">
        <w:t xml:space="preserve"> Smyth</w:t>
      </w:r>
      <w:r w:rsidR="00EE56C2">
        <w:t>,</w:t>
      </w:r>
      <w:r w:rsidRPr="006B7660">
        <w:t xml:space="preserve"> 3</w:t>
      </w:r>
    </w:p>
  </w:footnote>
  <w:footnote w:id="15">
    <w:p w14:paraId="6FCDFC19" w14:textId="1532439C" w:rsidR="00E01ED6" w:rsidRPr="006B7660" w:rsidRDefault="00E01ED6">
      <w:pPr>
        <w:pStyle w:val="FootnoteText"/>
      </w:pPr>
      <w:r w:rsidRPr="006B7660">
        <w:rPr>
          <w:rStyle w:val="FootnoteReference"/>
        </w:rPr>
        <w:footnoteRef/>
      </w:r>
      <w:r w:rsidRPr="006B7660">
        <w:t xml:space="preserve"> Smyth</w:t>
      </w:r>
      <w:r w:rsidR="00EE56C2">
        <w:t>,</w:t>
      </w:r>
      <w:r w:rsidRPr="006B7660">
        <w:t xml:space="preserve"> 9</w:t>
      </w:r>
    </w:p>
  </w:footnote>
  <w:footnote w:id="16">
    <w:p w14:paraId="7CFD726F" w14:textId="3F188F20" w:rsidR="008C7C39" w:rsidRPr="006B7660" w:rsidRDefault="008C7C39">
      <w:pPr>
        <w:pStyle w:val="FootnoteText"/>
      </w:pPr>
      <w:r w:rsidRPr="006B7660">
        <w:rPr>
          <w:rStyle w:val="FootnoteReference"/>
        </w:rPr>
        <w:footnoteRef/>
      </w:r>
      <w:r w:rsidRPr="006B7660">
        <w:t xml:space="preserve"> Barbour</w:t>
      </w:r>
      <w:r w:rsidR="00EE56C2">
        <w:t>,</w:t>
      </w:r>
      <w:r w:rsidRPr="006B7660">
        <w:t xml:space="preserve"> 5-6</w:t>
      </w:r>
    </w:p>
  </w:footnote>
  <w:footnote w:id="17">
    <w:p w14:paraId="34C1ED50" w14:textId="468BCB38" w:rsidR="00472D29" w:rsidRPr="006B7660" w:rsidRDefault="00472D29">
      <w:pPr>
        <w:pStyle w:val="FootnoteText"/>
      </w:pPr>
      <w:r w:rsidRPr="006B7660">
        <w:rPr>
          <w:rStyle w:val="FootnoteReference"/>
        </w:rPr>
        <w:footnoteRef/>
      </w:r>
      <w:r w:rsidR="00EE56C2">
        <w:t xml:space="preserve"> Virginia Legislature,</w:t>
      </w:r>
      <w:r w:rsidRPr="006B7660">
        <w:t xml:space="preserve"> 17</w:t>
      </w:r>
    </w:p>
  </w:footnote>
  <w:footnote w:id="18">
    <w:p w14:paraId="768B06B8" w14:textId="7A4FC970" w:rsidR="006E0CEE" w:rsidRPr="006B7660" w:rsidRDefault="006E0CEE">
      <w:pPr>
        <w:pStyle w:val="FootnoteText"/>
      </w:pPr>
      <w:r w:rsidRPr="006B7660">
        <w:rPr>
          <w:rStyle w:val="FootnoteReference"/>
        </w:rPr>
        <w:footnoteRef/>
      </w:r>
      <w:r w:rsidRPr="006B7660">
        <w:t xml:space="preserve"> Smyth</w:t>
      </w:r>
      <w:r w:rsidR="00EE56C2">
        <w:t>,</w:t>
      </w:r>
      <w:r w:rsidRPr="006B7660">
        <w:t xml:space="preserve"> 14-15, </w:t>
      </w:r>
      <w:r w:rsidR="00EE56C2" w:rsidRPr="00EE56C2">
        <w:t>An Ordinance for the government of the Territory of the United Sta</w:t>
      </w:r>
      <w:r w:rsidR="00EE56C2">
        <w:t>tes northwest of the River Ohio, July 13, 1787,</w:t>
      </w:r>
      <w:r w:rsidR="002D13E1">
        <w:t xml:space="preserve"> </w:t>
      </w:r>
      <w:hyperlink r:id="rId1" w:history="1">
        <w:r w:rsidR="002D13E1" w:rsidRPr="00B166F9">
          <w:rPr>
            <w:rStyle w:val="Hyperlink"/>
          </w:rPr>
          <w:t>https://www.ourdocuments.gov/doc.php?doc=8&amp;page=transcript</w:t>
        </w:r>
      </w:hyperlink>
      <w:r w:rsidR="002D13E1">
        <w:t>, art. 6.</w:t>
      </w:r>
    </w:p>
  </w:footnote>
  <w:footnote w:id="19">
    <w:p w14:paraId="13E8C406" w14:textId="38360362" w:rsidR="00043CB2" w:rsidRPr="006B7660" w:rsidRDefault="00043CB2">
      <w:pPr>
        <w:pStyle w:val="FootnoteText"/>
      </w:pPr>
      <w:r w:rsidRPr="006B7660">
        <w:rPr>
          <w:rStyle w:val="FootnoteReference"/>
        </w:rPr>
        <w:footnoteRef/>
      </w:r>
      <w:r w:rsidRPr="006B7660">
        <w:t xml:space="preserve"> Barbour</w:t>
      </w:r>
      <w:r w:rsidR="00EE56C2">
        <w:t>,</w:t>
      </w:r>
      <w:r w:rsidRPr="006B7660">
        <w:t xml:space="preserve"> 11</w:t>
      </w:r>
    </w:p>
  </w:footnote>
  <w:footnote w:id="20">
    <w:p w14:paraId="1502034D" w14:textId="1CCAFCA8" w:rsidR="009713AD" w:rsidRPr="006B7660" w:rsidRDefault="009713AD">
      <w:pPr>
        <w:pStyle w:val="FootnoteText"/>
      </w:pPr>
      <w:r w:rsidRPr="006B7660">
        <w:rPr>
          <w:rStyle w:val="FootnoteReference"/>
        </w:rPr>
        <w:footnoteRef/>
      </w:r>
      <w:r w:rsidRPr="006B7660">
        <w:t xml:space="preserve"> Barbour</w:t>
      </w:r>
      <w:r w:rsidR="002D13E1">
        <w:t>,</w:t>
      </w:r>
      <w:r w:rsidRPr="006B7660">
        <w:t xml:space="preserve"> 14</w:t>
      </w:r>
    </w:p>
  </w:footnote>
  <w:footnote w:id="21">
    <w:p w14:paraId="6FDFE61F" w14:textId="4B0207D2" w:rsidR="009713AD" w:rsidRPr="006B7660" w:rsidRDefault="009713AD">
      <w:pPr>
        <w:pStyle w:val="FootnoteText"/>
      </w:pPr>
      <w:r w:rsidRPr="006B7660">
        <w:rPr>
          <w:rStyle w:val="FootnoteReference"/>
        </w:rPr>
        <w:footnoteRef/>
      </w:r>
      <w:r w:rsidRPr="006B7660">
        <w:t xml:space="preserve"> Smyth</w:t>
      </w:r>
      <w:r w:rsidR="002D13E1">
        <w:t>,</w:t>
      </w:r>
      <w:r w:rsidRPr="006B7660">
        <w:t xml:space="preserve"> 16</w:t>
      </w:r>
    </w:p>
  </w:footnote>
  <w:footnote w:id="22">
    <w:p w14:paraId="5CB9CD6C" w14:textId="731BCE4C" w:rsidR="00440BFA" w:rsidRPr="006B7660" w:rsidRDefault="00440BFA">
      <w:pPr>
        <w:pStyle w:val="FootnoteText"/>
      </w:pPr>
      <w:r w:rsidRPr="006B7660">
        <w:rPr>
          <w:rStyle w:val="FootnoteReference"/>
        </w:rPr>
        <w:footnoteRef/>
      </w:r>
      <w:r w:rsidRPr="006B7660">
        <w:t xml:space="preserve"> Barbour</w:t>
      </w:r>
      <w:r w:rsidR="002D13E1">
        <w:t>,</w:t>
      </w:r>
      <w:r w:rsidRPr="006B7660">
        <w:t xml:space="preserve"> 9</w:t>
      </w:r>
    </w:p>
  </w:footnote>
  <w:footnote w:id="23">
    <w:p w14:paraId="60B75057" w14:textId="4CD724BE" w:rsidR="00981473" w:rsidRPr="006B7660" w:rsidRDefault="00981473">
      <w:pPr>
        <w:pStyle w:val="FootnoteText"/>
      </w:pPr>
      <w:r w:rsidRPr="006B7660">
        <w:rPr>
          <w:rStyle w:val="FootnoteReference"/>
        </w:rPr>
        <w:footnoteRef/>
      </w:r>
      <w:r w:rsidRPr="006B7660">
        <w:t xml:space="preserve"> Barbour</w:t>
      </w:r>
      <w:r w:rsidR="002D13E1">
        <w:t>,</w:t>
      </w:r>
      <w:r w:rsidRPr="006B7660">
        <w:t xml:space="preserve"> 10</w:t>
      </w:r>
    </w:p>
  </w:footnote>
  <w:footnote w:id="24">
    <w:p w14:paraId="027459A9" w14:textId="17F30D31" w:rsidR="001C6A71" w:rsidRPr="006B7660" w:rsidRDefault="001C6A71">
      <w:pPr>
        <w:pStyle w:val="FootnoteText"/>
      </w:pPr>
      <w:r w:rsidRPr="006B7660">
        <w:rPr>
          <w:rStyle w:val="FootnoteReference"/>
        </w:rPr>
        <w:footnoteRef/>
      </w:r>
      <w:r w:rsidRPr="006B7660">
        <w:t xml:space="preserve"> Smyth</w:t>
      </w:r>
      <w:r w:rsidR="002D13E1">
        <w:t>,</w:t>
      </w:r>
      <w:r w:rsidRPr="006B7660">
        <w:t xml:space="preserve"> 15</w:t>
      </w:r>
    </w:p>
  </w:footnote>
  <w:footnote w:id="25">
    <w:p w14:paraId="529A1DD1" w14:textId="7C9B4EBD" w:rsidR="007D7E06" w:rsidRPr="006B7660" w:rsidRDefault="007D7E06">
      <w:pPr>
        <w:pStyle w:val="FootnoteText"/>
      </w:pPr>
      <w:r w:rsidRPr="006B7660">
        <w:rPr>
          <w:rStyle w:val="FootnoteReference"/>
        </w:rPr>
        <w:footnoteRef/>
      </w:r>
      <w:r w:rsidRPr="006B7660">
        <w:t xml:space="preserve"> Smyth</w:t>
      </w:r>
      <w:r w:rsidR="002D13E1">
        <w:t>,</w:t>
      </w:r>
      <w:r w:rsidRPr="006B7660">
        <w:t xml:space="preserve"> 21</w:t>
      </w:r>
    </w:p>
  </w:footnote>
  <w:footnote w:id="26">
    <w:p w14:paraId="4710AFF1" w14:textId="6124B626" w:rsidR="00B26B1D" w:rsidRPr="006B7660" w:rsidRDefault="00B26B1D">
      <w:pPr>
        <w:pStyle w:val="FootnoteText"/>
      </w:pPr>
      <w:r w:rsidRPr="006B7660">
        <w:rPr>
          <w:rStyle w:val="FootnoteReference"/>
        </w:rPr>
        <w:footnoteRef/>
      </w:r>
      <w:r w:rsidR="002D13E1">
        <w:t xml:space="preserve"> Virginia Legislature,</w:t>
      </w:r>
      <w:r w:rsidRPr="006B7660">
        <w:t xml:space="preserve"> 30</w:t>
      </w:r>
    </w:p>
  </w:footnote>
  <w:footnote w:id="27">
    <w:p w14:paraId="5CF6AA58" w14:textId="1EBA09B4" w:rsidR="00B97655" w:rsidRPr="006B7660" w:rsidRDefault="00B97655">
      <w:pPr>
        <w:pStyle w:val="FootnoteText"/>
      </w:pPr>
      <w:r w:rsidRPr="006B7660">
        <w:rPr>
          <w:rStyle w:val="FootnoteReference"/>
        </w:rPr>
        <w:footnoteRef/>
      </w:r>
      <w:r w:rsidRPr="006B7660">
        <w:t xml:space="preserve"> Smyth</w:t>
      </w:r>
      <w:r w:rsidR="002D13E1">
        <w:t>,</w:t>
      </w:r>
      <w:r w:rsidRPr="006B7660">
        <w:t xml:space="preserve"> 19</w:t>
      </w:r>
    </w:p>
  </w:footnote>
  <w:footnote w:id="28">
    <w:p w14:paraId="2169A3A2" w14:textId="07CB522B" w:rsidR="00557964" w:rsidRPr="006B7660" w:rsidRDefault="00557964">
      <w:pPr>
        <w:pStyle w:val="FootnoteText"/>
      </w:pPr>
      <w:r w:rsidRPr="006B7660">
        <w:rPr>
          <w:rStyle w:val="FootnoteReference"/>
        </w:rPr>
        <w:footnoteRef/>
      </w:r>
      <w:r w:rsidRPr="006B7660">
        <w:t xml:space="preserve"> Barbour</w:t>
      </w:r>
      <w:r w:rsidR="002D13E1">
        <w:t>,</w:t>
      </w:r>
      <w:r w:rsidRPr="006B7660">
        <w:t xml:space="preserve"> 13</w:t>
      </w:r>
    </w:p>
  </w:footnote>
  <w:footnote w:id="29">
    <w:p w14:paraId="14B4F25E" w14:textId="057A2738" w:rsidR="002448CA" w:rsidRPr="006B7660" w:rsidRDefault="002448CA">
      <w:pPr>
        <w:pStyle w:val="FootnoteText"/>
      </w:pPr>
      <w:r w:rsidRPr="006B7660">
        <w:rPr>
          <w:rStyle w:val="FootnoteReference"/>
        </w:rPr>
        <w:footnoteRef/>
      </w:r>
      <w:r w:rsidRPr="006B7660">
        <w:t xml:space="preserve"> Barbour</w:t>
      </w:r>
      <w:r w:rsidR="002D13E1">
        <w:t>,</w:t>
      </w:r>
      <w:r w:rsidRPr="006B7660">
        <w:t xml:space="preserve"> 13</w:t>
      </w:r>
    </w:p>
  </w:footnote>
  <w:footnote w:id="30">
    <w:p w14:paraId="7EA8AA9C" w14:textId="740E86DA" w:rsidR="006C4DD6" w:rsidRPr="006B7660" w:rsidRDefault="006C4DD6">
      <w:pPr>
        <w:pStyle w:val="FootnoteText"/>
      </w:pPr>
      <w:r w:rsidRPr="006B7660">
        <w:rPr>
          <w:rStyle w:val="FootnoteReference"/>
        </w:rPr>
        <w:footnoteRef/>
      </w:r>
      <w:r w:rsidRPr="006B7660">
        <w:t xml:space="preserve"> Smyth</w:t>
      </w:r>
      <w:r w:rsidR="002D13E1">
        <w:t>,</w:t>
      </w:r>
      <w:r w:rsidRPr="006B7660">
        <w:t xml:space="preserve"> 28</w:t>
      </w:r>
    </w:p>
  </w:footnote>
  <w:footnote w:id="31">
    <w:p w14:paraId="30C2FCEA" w14:textId="3FCA0934" w:rsidR="00C621F4" w:rsidRPr="006B7660" w:rsidRDefault="00C621F4">
      <w:pPr>
        <w:pStyle w:val="FootnoteText"/>
      </w:pPr>
      <w:r w:rsidRPr="006B7660">
        <w:rPr>
          <w:rStyle w:val="FootnoteReference"/>
        </w:rPr>
        <w:footnoteRef/>
      </w:r>
      <w:r w:rsidRPr="006B7660">
        <w:t xml:space="preserve"> Smyth</w:t>
      </w:r>
      <w:r w:rsidR="002D13E1">
        <w:t>,</w:t>
      </w:r>
      <w:r w:rsidRPr="006B7660">
        <w:t xml:space="preserve"> 9-10</w:t>
      </w:r>
    </w:p>
  </w:footnote>
  <w:footnote w:id="32">
    <w:p w14:paraId="72880419" w14:textId="3E8503AA" w:rsidR="00E95F58" w:rsidRPr="006B7660" w:rsidRDefault="00E95F58">
      <w:pPr>
        <w:pStyle w:val="FootnoteText"/>
      </w:pPr>
      <w:r w:rsidRPr="006B7660">
        <w:rPr>
          <w:rStyle w:val="FootnoteReference"/>
        </w:rPr>
        <w:footnoteRef/>
      </w:r>
      <w:r w:rsidRPr="006B7660">
        <w:t xml:space="preserve"> Barbour</w:t>
      </w:r>
      <w:r w:rsidR="002D13E1">
        <w:t>,</w:t>
      </w:r>
      <w:r w:rsidRPr="006B7660">
        <w:t xml:space="preserve"> 18</w:t>
      </w:r>
    </w:p>
  </w:footnote>
  <w:footnote w:id="33">
    <w:p w14:paraId="0A5B58E2" w14:textId="4DF39DA3" w:rsidR="00E1726D" w:rsidRPr="006B7660" w:rsidRDefault="00E1726D">
      <w:pPr>
        <w:pStyle w:val="FootnoteText"/>
      </w:pPr>
      <w:r w:rsidRPr="006B7660">
        <w:rPr>
          <w:rStyle w:val="FootnoteReference"/>
        </w:rPr>
        <w:footnoteRef/>
      </w:r>
      <w:r w:rsidRPr="006B7660">
        <w:t xml:space="preserve"> Barbour</w:t>
      </w:r>
      <w:r w:rsidR="006E64B4">
        <w:t>,</w:t>
      </w:r>
      <w:r w:rsidRPr="006B7660">
        <w:t xml:space="preserve"> 20-22</w:t>
      </w:r>
    </w:p>
  </w:footnote>
  <w:footnote w:id="34">
    <w:p w14:paraId="118CABCA" w14:textId="2DCEC8B9" w:rsidR="00A51DDF" w:rsidRPr="006B7660" w:rsidRDefault="00A51DDF">
      <w:pPr>
        <w:pStyle w:val="FootnoteText"/>
      </w:pPr>
      <w:r w:rsidRPr="006B7660">
        <w:rPr>
          <w:rStyle w:val="FootnoteReference"/>
        </w:rPr>
        <w:footnoteRef/>
      </w:r>
      <w:r w:rsidRPr="006B7660">
        <w:t xml:space="preserve"> </w:t>
      </w:r>
      <w:r w:rsidR="00AC3FC6" w:rsidRPr="006B7660">
        <w:t>Smyth</w:t>
      </w:r>
      <w:r w:rsidR="006E64B4">
        <w:t>,</w:t>
      </w:r>
      <w:r w:rsidRPr="006B7660">
        <w:t xml:space="preserve"> 23</w:t>
      </w:r>
    </w:p>
  </w:footnote>
  <w:footnote w:id="35">
    <w:p w14:paraId="7A933B4A" w14:textId="770E9BF4" w:rsidR="00D45E51" w:rsidRPr="006B7660" w:rsidRDefault="00E664A9">
      <w:pPr>
        <w:pStyle w:val="FootnoteText"/>
      </w:pPr>
      <w:r w:rsidRPr="006B7660">
        <w:rPr>
          <w:rStyle w:val="FootnoteReference"/>
        </w:rPr>
        <w:footnoteRef/>
      </w:r>
      <w:r w:rsidRPr="006B7660">
        <w:t xml:space="preserve"> Barbour</w:t>
      </w:r>
      <w:r w:rsidR="006E64B4">
        <w:t>,</w:t>
      </w:r>
      <w:r w:rsidRPr="006B7660">
        <w:t xml:space="preserve"> 23-24</w:t>
      </w:r>
    </w:p>
  </w:footnote>
  <w:footnote w:id="36">
    <w:p w14:paraId="72F6AD44" w14:textId="14E4F774" w:rsidR="00211898" w:rsidRPr="006B7660" w:rsidRDefault="00211898">
      <w:pPr>
        <w:pStyle w:val="FootnoteText"/>
      </w:pPr>
      <w:r w:rsidRPr="006B7660">
        <w:rPr>
          <w:rStyle w:val="FootnoteReference"/>
        </w:rPr>
        <w:footnoteRef/>
      </w:r>
      <w:r w:rsidRPr="006B7660">
        <w:t xml:space="preserve"> Barbour</w:t>
      </w:r>
      <w:r w:rsidR="006E64B4">
        <w:t>,</w:t>
      </w:r>
      <w:r w:rsidRPr="006B7660">
        <w:t xml:space="preserve"> 24-25</w:t>
      </w:r>
    </w:p>
  </w:footnote>
  <w:footnote w:id="37">
    <w:p w14:paraId="55C1D451" w14:textId="0839D9FC" w:rsidR="00CE7EDE" w:rsidRPr="006B7660" w:rsidRDefault="00CE7EDE">
      <w:pPr>
        <w:pStyle w:val="FootnoteText"/>
      </w:pPr>
      <w:r w:rsidRPr="006B7660">
        <w:rPr>
          <w:rStyle w:val="FootnoteReference"/>
        </w:rPr>
        <w:footnoteRef/>
      </w:r>
      <w:r w:rsidRPr="006B7660">
        <w:t xml:space="preserve"> Barbour</w:t>
      </w:r>
      <w:r w:rsidR="006E64B4">
        <w:t>,</w:t>
      </w:r>
      <w:r w:rsidRPr="006B7660">
        <w:t xml:space="preserve"> 25-26</w:t>
      </w:r>
    </w:p>
  </w:footnote>
  <w:footnote w:id="38">
    <w:p w14:paraId="55394911" w14:textId="548CFF6D" w:rsidR="00593390" w:rsidRPr="006B7660" w:rsidRDefault="00593390" w:rsidP="00593390">
      <w:pPr>
        <w:pStyle w:val="FootnoteText"/>
      </w:pPr>
      <w:r w:rsidRPr="006B7660">
        <w:rPr>
          <w:rStyle w:val="FootnoteReference"/>
        </w:rPr>
        <w:footnoteRef/>
      </w:r>
      <w:r w:rsidRPr="006B7660">
        <w:t xml:space="preserve"> Smyth</w:t>
      </w:r>
      <w:r w:rsidR="006E64B4">
        <w:t>,</w:t>
      </w:r>
      <w:r w:rsidRPr="006B7660">
        <w:t xml:space="preserve"> 24</w:t>
      </w:r>
    </w:p>
  </w:footnote>
  <w:footnote w:id="39">
    <w:p w14:paraId="7425D8A3" w14:textId="448D49C9" w:rsidR="006C10C3" w:rsidRPr="006B7660" w:rsidRDefault="006C10C3">
      <w:pPr>
        <w:pStyle w:val="FootnoteText"/>
      </w:pPr>
      <w:r w:rsidRPr="006B7660">
        <w:rPr>
          <w:rStyle w:val="FootnoteReference"/>
        </w:rPr>
        <w:footnoteRef/>
      </w:r>
      <w:r w:rsidRPr="006B7660">
        <w:t xml:space="preserve"> Smyth</w:t>
      </w:r>
      <w:r w:rsidR="006E64B4">
        <w:t>,</w:t>
      </w:r>
      <w:r w:rsidRPr="006B7660">
        <w:t xml:space="preserve"> 25</w:t>
      </w:r>
    </w:p>
  </w:footnote>
  <w:footnote w:id="40">
    <w:p w14:paraId="78BB0808" w14:textId="4BF5E18D" w:rsidR="004E5A99" w:rsidRPr="006B7660" w:rsidRDefault="004E5A99">
      <w:pPr>
        <w:pStyle w:val="FootnoteText"/>
      </w:pPr>
      <w:r w:rsidRPr="006B7660">
        <w:rPr>
          <w:rStyle w:val="FootnoteReference"/>
        </w:rPr>
        <w:footnoteRef/>
      </w:r>
      <w:r w:rsidRPr="006B7660">
        <w:t xml:space="preserve"> </w:t>
      </w:r>
      <w:r w:rsidR="00BD481A" w:rsidRPr="006B7660">
        <w:t>Smyth</w:t>
      </w:r>
      <w:r w:rsidR="006E64B4">
        <w:t>,</w:t>
      </w:r>
      <w:r w:rsidR="00BD481A" w:rsidRPr="006B7660">
        <w:t xml:space="preserve"> 32-3</w:t>
      </w:r>
      <w:r w:rsidRPr="006B7660">
        <w:t>4</w:t>
      </w:r>
    </w:p>
  </w:footnote>
  <w:footnote w:id="41">
    <w:p w14:paraId="63A54A32" w14:textId="1D914D0C" w:rsidR="00BD481A" w:rsidRPr="006B7660" w:rsidRDefault="00BD481A">
      <w:pPr>
        <w:pStyle w:val="FootnoteText"/>
      </w:pPr>
      <w:r w:rsidRPr="006B7660">
        <w:rPr>
          <w:rStyle w:val="FootnoteReference"/>
        </w:rPr>
        <w:footnoteRef/>
      </w:r>
      <w:r w:rsidRPr="006B7660">
        <w:t xml:space="preserve"> Smyth</w:t>
      </w:r>
      <w:r w:rsidR="006E64B4">
        <w:t>,</w:t>
      </w:r>
      <w:r w:rsidRPr="006B7660">
        <w:t xml:space="preserve"> 29-30</w:t>
      </w:r>
    </w:p>
  </w:footnote>
  <w:footnote w:id="42">
    <w:p w14:paraId="6DA1FE52" w14:textId="67AC0AE2" w:rsidR="00D5657D" w:rsidRDefault="00D5657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F2558">
        <w:rPr>
          <w:i/>
        </w:rPr>
        <w:t>Missouri Compromise</w:t>
      </w:r>
      <w:r w:rsidR="00DF2558">
        <w:t xml:space="preserve">. Primary Documents in American History, </w:t>
      </w:r>
      <w:hyperlink r:id="rId2" w:history="1">
        <w:r w:rsidR="00DF2558" w:rsidRPr="008C138F">
          <w:rPr>
            <w:rStyle w:val="Hyperlink"/>
          </w:rPr>
          <w:t>https://www.loc.gov/rr/program/bib/ourdocs/Missouri.html</w:t>
        </w:r>
      </w:hyperlink>
      <w:r w:rsidR="00DF2558">
        <w:t xml:space="preserve">. (Accessed </w:t>
      </w:r>
      <w:r w:rsidR="0059743F">
        <w:t>May 8, 2017)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17921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F07652" w14:textId="62B99A65" w:rsidR="00B51D84" w:rsidRDefault="00B51D84">
        <w:pPr>
          <w:pStyle w:val="Header"/>
          <w:jc w:val="right"/>
        </w:pPr>
        <w:r>
          <w:t xml:space="preserve">Thacher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1A9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2EC4E2B5" w14:textId="77777777" w:rsidR="00B51D84" w:rsidRDefault="00B51D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60B"/>
    <w:rsid w:val="000016C1"/>
    <w:rsid w:val="00005101"/>
    <w:rsid w:val="0000523D"/>
    <w:rsid w:val="0002088E"/>
    <w:rsid w:val="00023BC9"/>
    <w:rsid w:val="00043CB2"/>
    <w:rsid w:val="00045C90"/>
    <w:rsid w:val="000624AA"/>
    <w:rsid w:val="00062795"/>
    <w:rsid w:val="00081375"/>
    <w:rsid w:val="000921C7"/>
    <w:rsid w:val="000A01E5"/>
    <w:rsid w:val="000A0C10"/>
    <w:rsid w:val="000A3BC8"/>
    <w:rsid w:val="000B568A"/>
    <w:rsid w:val="000B64E1"/>
    <w:rsid w:val="000B7451"/>
    <w:rsid w:val="000C6685"/>
    <w:rsid w:val="000C6D06"/>
    <w:rsid w:val="000D07EF"/>
    <w:rsid w:val="000D3561"/>
    <w:rsid w:val="000F58A8"/>
    <w:rsid w:val="000F6E09"/>
    <w:rsid w:val="0010474C"/>
    <w:rsid w:val="00104DA2"/>
    <w:rsid w:val="0012145C"/>
    <w:rsid w:val="00152EE9"/>
    <w:rsid w:val="00172A3E"/>
    <w:rsid w:val="0017506B"/>
    <w:rsid w:val="00177F55"/>
    <w:rsid w:val="001856A4"/>
    <w:rsid w:val="00185DA4"/>
    <w:rsid w:val="00193597"/>
    <w:rsid w:val="00195880"/>
    <w:rsid w:val="001A2F2B"/>
    <w:rsid w:val="001A5803"/>
    <w:rsid w:val="001B0B1D"/>
    <w:rsid w:val="001C0FB7"/>
    <w:rsid w:val="001C6A71"/>
    <w:rsid w:val="001D34DE"/>
    <w:rsid w:val="001F2B27"/>
    <w:rsid w:val="00203F7A"/>
    <w:rsid w:val="00211898"/>
    <w:rsid w:val="00213869"/>
    <w:rsid w:val="00220C1F"/>
    <w:rsid w:val="00220EAB"/>
    <w:rsid w:val="00235F49"/>
    <w:rsid w:val="00235FC0"/>
    <w:rsid w:val="00243195"/>
    <w:rsid w:val="002448CA"/>
    <w:rsid w:val="002801BD"/>
    <w:rsid w:val="002B42C2"/>
    <w:rsid w:val="002B63FF"/>
    <w:rsid w:val="002D13E1"/>
    <w:rsid w:val="002D6999"/>
    <w:rsid w:val="002F40F2"/>
    <w:rsid w:val="00303BE7"/>
    <w:rsid w:val="00306074"/>
    <w:rsid w:val="003061DF"/>
    <w:rsid w:val="003123E7"/>
    <w:rsid w:val="003147AE"/>
    <w:rsid w:val="003173A6"/>
    <w:rsid w:val="003264C9"/>
    <w:rsid w:val="003359D0"/>
    <w:rsid w:val="003423BA"/>
    <w:rsid w:val="003433CA"/>
    <w:rsid w:val="0035603A"/>
    <w:rsid w:val="003705CB"/>
    <w:rsid w:val="00372BA6"/>
    <w:rsid w:val="00372E29"/>
    <w:rsid w:val="003C1063"/>
    <w:rsid w:val="003C63A3"/>
    <w:rsid w:val="003D0612"/>
    <w:rsid w:val="003E08E7"/>
    <w:rsid w:val="003F0C17"/>
    <w:rsid w:val="003F204B"/>
    <w:rsid w:val="003F2A88"/>
    <w:rsid w:val="003F663F"/>
    <w:rsid w:val="00405DA6"/>
    <w:rsid w:val="00413160"/>
    <w:rsid w:val="00420886"/>
    <w:rsid w:val="00422475"/>
    <w:rsid w:val="00422662"/>
    <w:rsid w:val="00425492"/>
    <w:rsid w:val="0042768A"/>
    <w:rsid w:val="00440BFA"/>
    <w:rsid w:val="00452E31"/>
    <w:rsid w:val="004530F7"/>
    <w:rsid w:val="00454769"/>
    <w:rsid w:val="00472D29"/>
    <w:rsid w:val="004746C0"/>
    <w:rsid w:val="00476D4A"/>
    <w:rsid w:val="004A3A48"/>
    <w:rsid w:val="004E4408"/>
    <w:rsid w:val="004E5A99"/>
    <w:rsid w:val="004E5D53"/>
    <w:rsid w:val="00516E3B"/>
    <w:rsid w:val="00517BB4"/>
    <w:rsid w:val="00520117"/>
    <w:rsid w:val="005303BD"/>
    <w:rsid w:val="00534158"/>
    <w:rsid w:val="00537A66"/>
    <w:rsid w:val="00550F9A"/>
    <w:rsid w:val="00555265"/>
    <w:rsid w:val="00557964"/>
    <w:rsid w:val="00593390"/>
    <w:rsid w:val="00595752"/>
    <w:rsid w:val="0059743F"/>
    <w:rsid w:val="005A66DA"/>
    <w:rsid w:val="005B174D"/>
    <w:rsid w:val="005B576F"/>
    <w:rsid w:val="005C463C"/>
    <w:rsid w:val="005D18DE"/>
    <w:rsid w:val="006048FF"/>
    <w:rsid w:val="00605BC2"/>
    <w:rsid w:val="006060A2"/>
    <w:rsid w:val="006071CF"/>
    <w:rsid w:val="006132EB"/>
    <w:rsid w:val="00617165"/>
    <w:rsid w:val="00620134"/>
    <w:rsid w:val="00632B3F"/>
    <w:rsid w:val="006832E1"/>
    <w:rsid w:val="0068475D"/>
    <w:rsid w:val="00695099"/>
    <w:rsid w:val="006A52E4"/>
    <w:rsid w:val="006B26DD"/>
    <w:rsid w:val="006B29FB"/>
    <w:rsid w:val="006B40B5"/>
    <w:rsid w:val="006B69C2"/>
    <w:rsid w:val="006B7660"/>
    <w:rsid w:val="006C10C3"/>
    <w:rsid w:val="006C4DD6"/>
    <w:rsid w:val="006C5718"/>
    <w:rsid w:val="006E0CEE"/>
    <w:rsid w:val="006E1C61"/>
    <w:rsid w:val="006E619A"/>
    <w:rsid w:val="006E64B4"/>
    <w:rsid w:val="006E684E"/>
    <w:rsid w:val="006F77E3"/>
    <w:rsid w:val="00701DAA"/>
    <w:rsid w:val="00705E12"/>
    <w:rsid w:val="00716E8A"/>
    <w:rsid w:val="00726553"/>
    <w:rsid w:val="0073389B"/>
    <w:rsid w:val="00734399"/>
    <w:rsid w:val="00735F0E"/>
    <w:rsid w:val="0074032F"/>
    <w:rsid w:val="00743A92"/>
    <w:rsid w:val="00760FED"/>
    <w:rsid w:val="0076370E"/>
    <w:rsid w:val="00767180"/>
    <w:rsid w:val="007775F4"/>
    <w:rsid w:val="007779F9"/>
    <w:rsid w:val="00784A88"/>
    <w:rsid w:val="0079259F"/>
    <w:rsid w:val="007C757E"/>
    <w:rsid w:val="007D4B1A"/>
    <w:rsid w:val="007D7E06"/>
    <w:rsid w:val="007E49CF"/>
    <w:rsid w:val="007F0B21"/>
    <w:rsid w:val="007F5068"/>
    <w:rsid w:val="007F535B"/>
    <w:rsid w:val="007F6A0E"/>
    <w:rsid w:val="00810D86"/>
    <w:rsid w:val="008135CA"/>
    <w:rsid w:val="00830B6C"/>
    <w:rsid w:val="00837294"/>
    <w:rsid w:val="00872B65"/>
    <w:rsid w:val="0087533A"/>
    <w:rsid w:val="00881279"/>
    <w:rsid w:val="00896F79"/>
    <w:rsid w:val="008A19C2"/>
    <w:rsid w:val="008C6C0A"/>
    <w:rsid w:val="008C7C39"/>
    <w:rsid w:val="008E0921"/>
    <w:rsid w:val="008E1684"/>
    <w:rsid w:val="008E468B"/>
    <w:rsid w:val="008E48B4"/>
    <w:rsid w:val="008E67B4"/>
    <w:rsid w:val="008F03AC"/>
    <w:rsid w:val="008F1903"/>
    <w:rsid w:val="008F3436"/>
    <w:rsid w:val="0091660B"/>
    <w:rsid w:val="00952D9B"/>
    <w:rsid w:val="0096771F"/>
    <w:rsid w:val="009713AD"/>
    <w:rsid w:val="00981473"/>
    <w:rsid w:val="009916B3"/>
    <w:rsid w:val="0099631C"/>
    <w:rsid w:val="009B6DF6"/>
    <w:rsid w:val="009C2CEA"/>
    <w:rsid w:val="009D5847"/>
    <w:rsid w:val="009D7918"/>
    <w:rsid w:val="009E4ECD"/>
    <w:rsid w:val="009E5431"/>
    <w:rsid w:val="00A01D03"/>
    <w:rsid w:val="00A11A9F"/>
    <w:rsid w:val="00A15ADB"/>
    <w:rsid w:val="00A20DB5"/>
    <w:rsid w:val="00A460BD"/>
    <w:rsid w:val="00A51DDF"/>
    <w:rsid w:val="00A57A45"/>
    <w:rsid w:val="00A950F6"/>
    <w:rsid w:val="00AC057A"/>
    <w:rsid w:val="00AC3FC6"/>
    <w:rsid w:val="00AD3A85"/>
    <w:rsid w:val="00AF0C2E"/>
    <w:rsid w:val="00AF5735"/>
    <w:rsid w:val="00AF68F8"/>
    <w:rsid w:val="00B12487"/>
    <w:rsid w:val="00B13D24"/>
    <w:rsid w:val="00B21E68"/>
    <w:rsid w:val="00B26B1D"/>
    <w:rsid w:val="00B3118D"/>
    <w:rsid w:val="00B422E4"/>
    <w:rsid w:val="00B51D84"/>
    <w:rsid w:val="00B62CF8"/>
    <w:rsid w:val="00B67BCE"/>
    <w:rsid w:val="00B84C3A"/>
    <w:rsid w:val="00B97655"/>
    <w:rsid w:val="00BA162D"/>
    <w:rsid w:val="00BB2339"/>
    <w:rsid w:val="00BC091F"/>
    <w:rsid w:val="00BC7A95"/>
    <w:rsid w:val="00BD264B"/>
    <w:rsid w:val="00BD32F1"/>
    <w:rsid w:val="00BD481A"/>
    <w:rsid w:val="00BD7C02"/>
    <w:rsid w:val="00BE078A"/>
    <w:rsid w:val="00BE557E"/>
    <w:rsid w:val="00BF5724"/>
    <w:rsid w:val="00BF5B7D"/>
    <w:rsid w:val="00C06D4B"/>
    <w:rsid w:val="00C07CE1"/>
    <w:rsid w:val="00C21A06"/>
    <w:rsid w:val="00C22D08"/>
    <w:rsid w:val="00C32E22"/>
    <w:rsid w:val="00C429D5"/>
    <w:rsid w:val="00C621F4"/>
    <w:rsid w:val="00C63700"/>
    <w:rsid w:val="00CA7348"/>
    <w:rsid w:val="00CB1F9B"/>
    <w:rsid w:val="00CB2C8A"/>
    <w:rsid w:val="00CB78D3"/>
    <w:rsid w:val="00CC00B5"/>
    <w:rsid w:val="00CC71FB"/>
    <w:rsid w:val="00CD6299"/>
    <w:rsid w:val="00CE2E81"/>
    <w:rsid w:val="00CE7EDE"/>
    <w:rsid w:val="00D0261C"/>
    <w:rsid w:val="00D02F89"/>
    <w:rsid w:val="00D156E0"/>
    <w:rsid w:val="00D17D39"/>
    <w:rsid w:val="00D37470"/>
    <w:rsid w:val="00D45E51"/>
    <w:rsid w:val="00D5657D"/>
    <w:rsid w:val="00D87D7A"/>
    <w:rsid w:val="00D973AA"/>
    <w:rsid w:val="00DA5573"/>
    <w:rsid w:val="00DA6AC0"/>
    <w:rsid w:val="00DB20B8"/>
    <w:rsid w:val="00DB2B1D"/>
    <w:rsid w:val="00DB6A38"/>
    <w:rsid w:val="00DD150E"/>
    <w:rsid w:val="00DD22C4"/>
    <w:rsid w:val="00DD37A8"/>
    <w:rsid w:val="00DE08DB"/>
    <w:rsid w:val="00DE7989"/>
    <w:rsid w:val="00DF2558"/>
    <w:rsid w:val="00E01ED6"/>
    <w:rsid w:val="00E11AED"/>
    <w:rsid w:val="00E1726D"/>
    <w:rsid w:val="00E21D54"/>
    <w:rsid w:val="00E469E2"/>
    <w:rsid w:val="00E500A2"/>
    <w:rsid w:val="00E519AC"/>
    <w:rsid w:val="00E55538"/>
    <w:rsid w:val="00E55EFC"/>
    <w:rsid w:val="00E664A9"/>
    <w:rsid w:val="00E7204A"/>
    <w:rsid w:val="00E7279F"/>
    <w:rsid w:val="00E74ACB"/>
    <w:rsid w:val="00E819FF"/>
    <w:rsid w:val="00E91FE2"/>
    <w:rsid w:val="00E95F58"/>
    <w:rsid w:val="00E96516"/>
    <w:rsid w:val="00ED0093"/>
    <w:rsid w:val="00ED5C83"/>
    <w:rsid w:val="00ED6709"/>
    <w:rsid w:val="00EE56C2"/>
    <w:rsid w:val="00EF46A4"/>
    <w:rsid w:val="00F07E70"/>
    <w:rsid w:val="00F2286A"/>
    <w:rsid w:val="00F40816"/>
    <w:rsid w:val="00F75C42"/>
    <w:rsid w:val="00F776A3"/>
    <w:rsid w:val="00FA3BA3"/>
    <w:rsid w:val="00FE3F76"/>
    <w:rsid w:val="00FE79AE"/>
    <w:rsid w:val="00FF2551"/>
    <w:rsid w:val="00FF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A8B05"/>
  <w15:chartTrackingRefBased/>
  <w15:docId w15:val="{8C09BE18-B9B3-4661-87AC-2E1FD1B3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65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5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5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5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5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5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553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69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69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69C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51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D84"/>
  </w:style>
  <w:style w:type="paragraph" w:styleId="Footer">
    <w:name w:val="footer"/>
    <w:basedOn w:val="Normal"/>
    <w:link w:val="FooterChar"/>
    <w:uiPriority w:val="99"/>
    <w:unhideWhenUsed/>
    <w:rsid w:val="00B51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D84"/>
  </w:style>
  <w:style w:type="character" w:styleId="Hyperlink">
    <w:name w:val="Hyperlink"/>
    <w:basedOn w:val="DefaultParagraphFont"/>
    <w:uiPriority w:val="99"/>
    <w:unhideWhenUsed/>
    <w:rsid w:val="002D13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oc.gov/rr/program/bib/ourdocs/Missouri.html" TargetMode="External"/><Relationship Id="rId1" Type="http://schemas.openxmlformats.org/officeDocument/2006/relationships/hyperlink" Target="https://www.ourdocuments.gov/doc.php?doc=8&amp;page=tran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62AEA2F-7171-453A-940A-F55E5462F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9</Pages>
  <Words>2158</Words>
  <Characters>12305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will.thacher@gmail.com</dc:creator>
  <cp:keywords/>
  <dc:description/>
  <cp:lastModifiedBy>will.thacher@gmail.com</cp:lastModifiedBy>
  <cp:revision>36</cp:revision>
  <cp:lastPrinted>2017-05-08T14:57:00Z</cp:lastPrinted>
  <dcterms:created xsi:type="dcterms:W3CDTF">2017-05-05T14:10:00Z</dcterms:created>
  <dcterms:modified xsi:type="dcterms:W3CDTF">2017-05-08T15:22:00Z</dcterms:modified>
</cp:coreProperties>
</file>