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56FE" w14:textId="6C696103" w:rsidR="00791A40" w:rsidRPr="00791A40" w:rsidRDefault="00791A40" w:rsidP="00791A4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  <w:r w:rsidRPr="00791A40">
        <w:rPr>
          <w:rFonts w:ascii="Trebuchet MS" w:hAnsi="Trebuchet MS" w:cs="Calibri"/>
          <w:b/>
          <w:bCs/>
          <w:sz w:val="20"/>
          <w:szCs w:val="20"/>
        </w:rPr>
        <w:t>CONTEXTUALIZAÇÃO DO DILEMA</w:t>
      </w:r>
    </w:p>
    <w:p w14:paraId="03B32C1E" w14:textId="77777777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752F62C2" w14:textId="77777777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791A40">
        <w:rPr>
          <w:rFonts w:ascii="Trebuchet MS" w:hAnsi="Trebuchet MS" w:cs="Calibri"/>
          <w:sz w:val="20"/>
          <w:szCs w:val="20"/>
        </w:rPr>
        <w:t>O presente parecer trata da divergência entre o anestesiologista e o cirurgião quanto à indicação de encaminhamento de paciente para Unidade de Terapia Intensiva (UTI) no pós-operatório imediato. A situação envolve um paciente particular submetido a cirurgia de médio ou grande porte, com critérios clínicos claros para internação intensiva. O anestesiologista indicou UTI por razões clínicas, enquanto o cirurgião recusou a indicação alegando impacto financeiro ao paciente.</w:t>
      </w:r>
    </w:p>
    <w:p w14:paraId="67F37B3A" w14:textId="77777777" w:rsidR="00116610" w:rsidRDefault="0011661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7C63C5F0" w14:textId="05051FE5" w:rsidR="00116610" w:rsidRPr="00116610" w:rsidRDefault="00116610" w:rsidP="0011661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  <w:r w:rsidRPr="00116610">
        <w:rPr>
          <w:rFonts w:ascii="Trebuchet MS" w:hAnsi="Trebuchet MS" w:cs="Calibri"/>
          <w:b/>
          <w:bCs/>
          <w:sz w:val="20"/>
          <w:szCs w:val="20"/>
        </w:rPr>
        <w:t>FUNDAMENTAÇÃO TÉCNICA E ÉTICA</w:t>
      </w:r>
    </w:p>
    <w:p w14:paraId="47AA4112" w14:textId="77777777" w:rsidR="00116610" w:rsidRDefault="0011661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4D205ACC" w14:textId="3B019B29" w:rsidR="00116610" w:rsidRDefault="0011661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16610">
        <w:rPr>
          <w:rFonts w:ascii="Trebuchet MS" w:hAnsi="Trebuchet MS" w:cs="Calibri"/>
          <w:sz w:val="20"/>
          <w:szCs w:val="20"/>
        </w:rPr>
        <w:t>A análise do caso baseou-se em diretrizes da Sociedade Brasileira de Anestesiologia (SBA), critérios da RDC nº 7 da Anvisa, normas do QMENTUM e evidências clínicas documentadas. A recusa do encaminhamento à UTI por motivos econômicos fere os princípios da beneficência, não maleficência e responsabilidade técnica, além de expor o profissional e a instituição a riscos éticos e jurídicos.</w:t>
      </w:r>
    </w:p>
    <w:p w14:paraId="50E08108" w14:textId="77777777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0850C51B" w14:textId="081BA0AB" w:rsidR="00791A40" w:rsidRPr="00791A40" w:rsidRDefault="00791A40" w:rsidP="00791A4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sz w:val="20"/>
          <w:szCs w:val="20"/>
        </w:rPr>
      </w:pPr>
      <w:r w:rsidRPr="00791A40">
        <w:rPr>
          <w:rFonts w:ascii="Trebuchet MS" w:hAnsi="Trebuchet MS" w:cs="Calibri"/>
          <w:b/>
          <w:bCs/>
          <w:sz w:val="20"/>
          <w:szCs w:val="20"/>
        </w:rPr>
        <w:t>RESUMO DOS FATOS RELEVANTES ENVOLVIDOS NA QUESTÃO</w:t>
      </w:r>
    </w:p>
    <w:p w14:paraId="5A52C6D5" w14:textId="77777777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14BB12C7" w14:textId="77777777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791A40">
        <w:rPr>
          <w:rFonts w:ascii="Trebuchet MS" w:hAnsi="Trebuchet MS" w:cs="Calibri"/>
          <w:sz w:val="20"/>
          <w:szCs w:val="20"/>
        </w:rPr>
        <w:t>O caso analisado refere-se a um paciente particular, submetido a cirurgia de médio ou grande porte, com risco anestésico elevado (ASA III/IV) e previsão de instabilidade clínica no pós-operatório imediato, o que justifica, segundo avaliação do anestesiologista, a transferência para Unidade de Terapia Intensiva (UTI). Apesar da disponibilidade de vaga, o cirurgião recusou a indicação alegando impacto financeiro ao paciente e optou por mantê-lo na Sala de Recuperação Pós-Anestésica (SRPA) sob vigilância prolongada, desconsiderando que a SRPA não possui estrutura compatível com cuidados intensivos contínuos, conforme estabelecido pela RDC nº 7 da Anvisa. O paciente, ainda inconsciente no período de recuperação anestésica, não teve participação ativa na decisão, e a equipe de enfermagem foi apenas informada. A conduta do anestesiologista baseou-se em critérios clínicos objetivos, respaldados por diretrizes da Sociedade Brasileira de Anestesiologia (SBA) e normas institucionais de segurança assistencial.</w:t>
      </w:r>
    </w:p>
    <w:p w14:paraId="65751F4D" w14:textId="77777777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39E54985" w14:textId="6594BF7B" w:rsidR="00791A40" w:rsidRPr="00791A40" w:rsidRDefault="00791A40" w:rsidP="00791A4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sz w:val="20"/>
          <w:szCs w:val="20"/>
        </w:rPr>
      </w:pPr>
      <w:r w:rsidRPr="00791A40">
        <w:rPr>
          <w:rFonts w:ascii="Trebuchet MS" w:hAnsi="Trebuchet MS" w:cs="Calibri"/>
          <w:b/>
          <w:bCs/>
          <w:sz w:val="20"/>
          <w:szCs w:val="20"/>
        </w:rPr>
        <w:t>VALORES E PRINCÍPIOS BIOÉTICOS/ÉTICOS ENVOLVIDOS E EM CONFLITO NA QUESTÃO</w:t>
      </w:r>
    </w:p>
    <w:p w14:paraId="26283EA7" w14:textId="77777777" w:rsidR="00791A40" w:rsidRDefault="00791A40" w:rsidP="00791A40">
      <w:pPr>
        <w:spacing w:after="0" w:line="360" w:lineRule="auto"/>
        <w:ind w:right="282"/>
        <w:jc w:val="both"/>
        <w:rPr>
          <w:rFonts w:ascii="Trebuchet MS" w:hAnsi="Trebuchet MS" w:cs="Calibri"/>
          <w:sz w:val="20"/>
          <w:szCs w:val="20"/>
        </w:rPr>
      </w:pPr>
    </w:p>
    <w:p w14:paraId="54BD3DC9" w14:textId="6963A81B" w:rsidR="00791A40" w:rsidRDefault="00791A4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791A40">
        <w:rPr>
          <w:rFonts w:ascii="Trebuchet MS" w:hAnsi="Trebuchet MS" w:cs="Calibri"/>
          <w:sz w:val="20"/>
          <w:szCs w:val="20"/>
        </w:rPr>
        <w:t>Os valores e princípios bioéticos envolvidos neste caso incluem, principalmente, a beneficência e a não maleficência, defendidos pelo anestesiologista ao priorizar a segurança clínica do paciente com base em critérios técnicos objetivos. Em contraposição, o cirurgião invoca a autonomia do paciente e o vínculo interpessoal, embora sua decisão esteja motivada por aspectos econômicos e não por fundamentos clínicos. O conflito expõe um embate entre a autonomia técnica do profissional e a interferência de fatores externos à boa prática médica, comprometendo também os princípios da justiça e da integridade assistencial</w:t>
      </w:r>
      <w:r>
        <w:rPr>
          <w:rFonts w:ascii="Trebuchet MS" w:hAnsi="Trebuchet MS" w:cs="Calibri"/>
          <w:sz w:val="20"/>
          <w:szCs w:val="20"/>
        </w:rPr>
        <w:t>.</w:t>
      </w:r>
    </w:p>
    <w:p w14:paraId="505649F9" w14:textId="77777777" w:rsidR="00116610" w:rsidRDefault="0011661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3165D952" w14:textId="77777777" w:rsidR="00116610" w:rsidRDefault="00116610" w:rsidP="00791A4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3105FC2F" w14:textId="4FF799D8" w:rsidR="00116610" w:rsidRPr="00116610" w:rsidRDefault="00116610" w:rsidP="0011661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  <w:r w:rsidRPr="00116610">
        <w:rPr>
          <w:rFonts w:ascii="Trebuchet MS" w:hAnsi="Trebuchet MS" w:cs="Calibri"/>
          <w:b/>
          <w:bCs/>
          <w:sz w:val="20"/>
          <w:szCs w:val="20"/>
        </w:rPr>
        <w:lastRenderedPageBreak/>
        <w:t>PARECER DO COMITÊ DE BIOÉTICA SOBRE A QUESTÃO LEVANTADA</w:t>
      </w:r>
    </w:p>
    <w:p w14:paraId="7E883D02" w14:textId="77777777" w:rsidR="00116610" w:rsidRDefault="00116610" w:rsidP="0011661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4A011A4F" w14:textId="02D9F492" w:rsidR="00116610" w:rsidRPr="00116610" w:rsidRDefault="00116610" w:rsidP="0011661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16610">
        <w:rPr>
          <w:rFonts w:ascii="Trebuchet MS" w:hAnsi="Trebuchet MS" w:cs="Calibri"/>
          <w:sz w:val="20"/>
          <w:szCs w:val="20"/>
        </w:rPr>
        <w:t xml:space="preserve">O Comitê de Bioética analisou detidamente a questão apresentada, considerando as três opções de conduta possíveis. A </w:t>
      </w:r>
      <w:r w:rsidRPr="00116610">
        <w:rPr>
          <w:rFonts w:ascii="Trebuchet MS" w:hAnsi="Trebuchet MS" w:cs="Calibri"/>
          <w:b/>
          <w:bCs/>
          <w:sz w:val="20"/>
          <w:szCs w:val="20"/>
        </w:rPr>
        <w:t>primeira opção</w:t>
      </w:r>
      <w:r w:rsidRPr="00116610">
        <w:rPr>
          <w:rFonts w:ascii="Trebuchet MS" w:hAnsi="Trebuchet MS" w:cs="Calibri"/>
          <w:sz w:val="20"/>
          <w:szCs w:val="20"/>
        </w:rPr>
        <w:t>, que consiste em encaminhar o paciente à UTI conforme a indicação clínica do anestesiologista, foi considerada a mais adequada sob os aspectos ético, técnico e legal. Essa conduta está em conformidade com diretrizes profissionais, normas sanitárias (como a RDC nº 7 da Anvisa) e os princípios fundamentais da prática médica, como a beneficência e a não maleficência. Ela assegura vigilância contínua, suporte adequado e minimiza riscos de complicações no pós-operatório, resguardando o paciente, o profissional e a instituição.</w:t>
      </w:r>
    </w:p>
    <w:p w14:paraId="275B2D08" w14:textId="577F4908" w:rsidR="00116610" w:rsidRPr="00116610" w:rsidRDefault="00116610" w:rsidP="0011661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16610">
        <w:rPr>
          <w:rFonts w:ascii="Trebuchet MS" w:hAnsi="Trebuchet MS" w:cs="Calibri"/>
          <w:sz w:val="20"/>
          <w:szCs w:val="20"/>
        </w:rPr>
        <w:t xml:space="preserve">A </w:t>
      </w:r>
      <w:r w:rsidRPr="00116610">
        <w:rPr>
          <w:rFonts w:ascii="Trebuchet MS" w:hAnsi="Trebuchet MS" w:cs="Calibri"/>
          <w:b/>
          <w:bCs/>
          <w:sz w:val="20"/>
          <w:szCs w:val="20"/>
        </w:rPr>
        <w:t>segunda opção</w:t>
      </w:r>
      <w:r w:rsidRPr="00116610">
        <w:rPr>
          <w:rFonts w:ascii="Trebuchet MS" w:hAnsi="Trebuchet MS" w:cs="Calibri"/>
          <w:sz w:val="20"/>
          <w:szCs w:val="20"/>
        </w:rPr>
        <w:t>, que propõe manter o paciente na SRPA contraindicação clínica, foi considerada eticamente inaceitável e juridicamente indefensável. A SRPA, apesar de equipada para monitoramento transitório, não é um ambiente apto para cuidados intensivos contínuos, e essa decisão comprometeria gravemente a segurança do paciente. Tal conduta pode configurar negligência, omissão de socorro e infração ética, expondo os profissionais envolvidos e a instituição a responsabilizações severas.</w:t>
      </w:r>
    </w:p>
    <w:p w14:paraId="6FDB47B2" w14:textId="77777777" w:rsidR="00116610" w:rsidRDefault="00116610" w:rsidP="0011661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16610">
        <w:rPr>
          <w:rFonts w:ascii="Trebuchet MS" w:hAnsi="Trebuchet MS" w:cs="Calibri"/>
          <w:sz w:val="20"/>
          <w:szCs w:val="20"/>
        </w:rPr>
        <w:t xml:space="preserve">Por fim, a </w:t>
      </w:r>
      <w:r w:rsidRPr="00116610">
        <w:rPr>
          <w:rFonts w:ascii="Trebuchet MS" w:hAnsi="Trebuchet MS" w:cs="Calibri"/>
          <w:b/>
          <w:bCs/>
          <w:sz w:val="20"/>
          <w:szCs w:val="20"/>
        </w:rPr>
        <w:t>terceira opção</w:t>
      </w:r>
      <w:r w:rsidRPr="00116610">
        <w:rPr>
          <w:rFonts w:ascii="Trebuchet MS" w:hAnsi="Trebuchet MS" w:cs="Calibri"/>
          <w:sz w:val="20"/>
          <w:szCs w:val="20"/>
        </w:rPr>
        <w:t xml:space="preserve"> — buscar uma reavaliação colegiada com instâncias superiores como a Direção Clínica, Comissão de Ética ou Núcleo de Segurança do Paciente — foi considerada válida e recomendável como instrumento de apoio institucional, especialmente em casos de impasse persistente. No entanto, o Comitê ressalta que essa via não substitui a urgência da decisão clínica baseada em evidência, especialmente quando há risco imediato ao paciente. Assim, deve ser utilizada de forma complementar, garantindo transparência e respaldo coletivo, mas nunca em detrimento da ação imediata necessária diante da instabilidade clínica.</w:t>
      </w:r>
    </w:p>
    <w:p w14:paraId="417668A1" w14:textId="77777777" w:rsidR="00116610" w:rsidRDefault="00116610" w:rsidP="00116610">
      <w:pPr>
        <w:spacing w:after="0" w:line="360" w:lineRule="auto"/>
        <w:ind w:right="282"/>
        <w:jc w:val="both"/>
        <w:rPr>
          <w:rFonts w:ascii="Trebuchet MS" w:hAnsi="Trebuchet MS" w:cs="Calibri"/>
          <w:sz w:val="20"/>
          <w:szCs w:val="20"/>
        </w:rPr>
      </w:pPr>
    </w:p>
    <w:p w14:paraId="29316EEE" w14:textId="5CFF46B6" w:rsidR="00116610" w:rsidRDefault="00116610" w:rsidP="0011661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  <w:r w:rsidRPr="00116610">
        <w:rPr>
          <w:rFonts w:ascii="Trebuchet MS" w:hAnsi="Trebuchet MS" w:cs="Calibri"/>
          <w:b/>
          <w:bCs/>
          <w:sz w:val="20"/>
          <w:szCs w:val="20"/>
        </w:rPr>
        <w:t>DECISÃO TÉCNICA DO GRUPO</w:t>
      </w:r>
    </w:p>
    <w:p w14:paraId="2A98C3C2" w14:textId="77777777" w:rsidR="00116610" w:rsidRPr="00116610" w:rsidRDefault="00116610" w:rsidP="00116610">
      <w:pPr>
        <w:pStyle w:val="PargrafodaLista"/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</w:p>
    <w:p w14:paraId="7F7C74B4" w14:textId="7D679A08" w:rsidR="00791A40" w:rsidRDefault="00116610" w:rsidP="0011661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16610">
        <w:rPr>
          <w:rFonts w:ascii="Trebuchet MS" w:hAnsi="Trebuchet MS" w:cs="Calibri"/>
          <w:sz w:val="20"/>
          <w:szCs w:val="20"/>
        </w:rPr>
        <w:t xml:space="preserve">O grupo técnico concluiu que </w:t>
      </w:r>
      <w:r w:rsidRPr="00116610">
        <w:rPr>
          <w:rFonts w:ascii="Trebuchet MS" w:hAnsi="Trebuchet MS" w:cs="Calibri"/>
          <w:b/>
          <w:bCs/>
          <w:sz w:val="20"/>
          <w:szCs w:val="20"/>
        </w:rPr>
        <w:t>a</w:t>
      </w:r>
      <w:r w:rsidRPr="00116610">
        <w:rPr>
          <w:rFonts w:ascii="Trebuchet MS" w:hAnsi="Trebuchet MS" w:cs="Calibri"/>
          <w:sz w:val="20"/>
          <w:szCs w:val="20"/>
        </w:rPr>
        <w:t xml:space="preserve"> </w:t>
      </w:r>
      <w:r w:rsidRPr="00116610">
        <w:rPr>
          <w:rFonts w:ascii="Trebuchet MS" w:hAnsi="Trebuchet MS" w:cs="Calibri"/>
          <w:b/>
          <w:bCs/>
          <w:sz w:val="20"/>
          <w:szCs w:val="20"/>
        </w:rPr>
        <w:t>decisão do anestesiologista deve prevalecer</w:t>
      </w:r>
      <w:r w:rsidRPr="00116610">
        <w:rPr>
          <w:rFonts w:ascii="Trebuchet MS" w:hAnsi="Trebuchet MS" w:cs="Calibri"/>
          <w:sz w:val="20"/>
          <w:szCs w:val="20"/>
        </w:rPr>
        <w:t xml:space="preserve"> quando fundamentada em critérios clínicos claros que indiquem necessidade de suporte intensivo. A SRPA não deve ser utilizada como alternativa de UTI para vigilância prolongada, uma vez que não possui estrutura nem equipe para garantir segurança contínua nesses casos.</w:t>
      </w:r>
    </w:p>
    <w:p w14:paraId="0B04740A" w14:textId="77777777" w:rsidR="00116610" w:rsidRDefault="00116610" w:rsidP="00116610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34B779F6" w14:textId="0A137AA3" w:rsidR="00116610" w:rsidRPr="00116610" w:rsidRDefault="00116610" w:rsidP="0011661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  <w:r w:rsidRPr="00116610">
        <w:rPr>
          <w:rFonts w:ascii="Trebuchet MS" w:hAnsi="Trebuchet MS" w:cs="Calibri"/>
          <w:b/>
          <w:bCs/>
          <w:sz w:val="20"/>
          <w:szCs w:val="20"/>
        </w:rPr>
        <w:t>ORIENTAÇÕES PRÁTICAS AO ANESTESIOLOGISTA</w:t>
      </w:r>
    </w:p>
    <w:p w14:paraId="0D696EAE" w14:textId="77777777" w:rsidR="00C217E3" w:rsidRDefault="00C217E3" w:rsidP="003029B8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1AB2192D" w14:textId="000C8A72" w:rsidR="00116610" w:rsidRDefault="00116610" w:rsidP="003029B8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16610">
        <w:rPr>
          <w:rFonts w:ascii="Trebuchet MS" w:hAnsi="Trebuchet MS" w:cs="Calibri"/>
          <w:sz w:val="20"/>
          <w:szCs w:val="20"/>
        </w:rPr>
        <w:t>Diante de situações semelhantes, o anestesiologista deve seguir firmemente sua avaliação clínica, priorizando a segurança do paciente e indicando a transferência imediata para a UTI quando houver critérios técnicos que a justifiquem. É fundamental documentar detalhadamente no prontuário a condição clínica do paciente, os riscos envolvidos, os motivos da indicação e qualquer discordância por parte de outros profissionais. A comunicação com a equipe da UTI, com os familiares (quando possível) e com instâncias institucionais como a Coordenação Médica, Comissão de Ética e Núcleo de Segurança do Paciente deve ser realizada de forma clara e tempestiva, assegurando respaldo ético, técnico e jurídico à conduta adotada.</w:t>
      </w:r>
    </w:p>
    <w:p w14:paraId="461E4F89" w14:textId="77777777" w:rsidR="00116610" w:rsidRDefault="00116610" w:rsidP="003029B8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4B4AA504" w14:textId="2D09B436" w:rsidR="00116610" w:rsidRPr="00116610" w:rsidRDefault="00116610" w:rsidP="00116610">
      <w:pPr>
        <w:pStyle w:val="PargrafodaLista"/>
        <w:numPr>
          <w:ilvl w:val="0"/>
          <w:numId w:val="11"/>
        </w:numPr>
        <w:spacing w:after="0" w:line="360" w:lineRule="auto"/>
        <w:ind w:right="282"/>
        <w:jc w:val="both"/>
        <w:rPr>
          <w:rFonts w:ascii="Trebuchet MS" w:hAnsi="Trebuchet MS" w:cs="Calibri"/>
          <w:b/>
          <w:bCs/>
          <w:sz w:val="20"/>
          <w:szCs w:val="20"/>
        </w:rPr>
      </w:pPr>
      <w:r w:rsidRPr="00116610">
        <w:rPr>
          <w:rFonts w:ascii="Trebuchet MS" w:hAnsi="Trebuchet MS" w:cs="Calibri"/>
          <w:b/>
          <w:bCs/>
          <w:sz w:val="20"/>
          <w:szCs w:val="20"/>
        </w:rPr>
        <w:lastRenderedPageBreak/>
        <w:t>CONCLUSÃO</w:t>
      </w:r>
    </w:p>
    <w:p w14:paraId="3291700C" w14:textId="16F7EDA8" w:rsidR="00116610" w:rsidRDefault="00143700" w:rsidP="003029B8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  <w:r w:rsidRPr="00143700">
        <w:rPr>
          <w:rFonts w:ascii="Trebuchet MS" w:hAnsi="Trebuchet MS" w:cs="Calibri"/>
          <w:sz w:val="20"/>
          <w:szCs w:val="20"/>
        </w:rPr>
        <w:t>Com base na análise clínica, ética e institucional do caso, conclui-se que a decisão médica deve ser pautada exclusivamente em critérios técnicos e na segurança do paciente, não podendo ser subordinada a interesses econômicos ou pessoais. A conduta recomendada é a de encaminhamento imediato à UTI sempre que houver indicação clínica fundamentada, cabendo ao anestesiologista agir com autonomia, respaldado pelas diretrizes da profissão e pelas normas da instituição. A gestão institucional reforça seu compromisso com a segurança assistencial e assegura suporte integral aos profissionais que atuarem conforme as boas práticas médicas. A preservação da vida, a prevenção de danos e o respeito aos princípios bioéticos devem nortear todas as decisões, especialmente em contextos de conflito entre especialidades. Assim, este parecer se consolida como diretriz técnica e ética para situações semelhantes, assegurando clareza, segurança jurídica e integridade na assistência ao paciente cirúrgico.</w:t>
      </w:r>
    </w:p>
    <w:p w14:paraId="01AA5250" w14:textId="77777777" w:rsidR="00143700" w:rsidRDefault="00143700" w:rsidP="003029B8">
      <w:pPr>
        <w:spacing w:after="0" w:line="360" w:lineRule="auto"/>
        <w:ind w:left="426" w:right="282" w:firstLine="425"/>
        <w:jc w:val="both"/>
        <w:rPr>
          <w:rFonts w:ascii="Trebuchet MS" w:hAnsi="Trebuchet MS" w:cs="Calibri"/>
          <w:sz w:val="20"/>
          <w:szCs w:val="20"/>
        </w:rPr>
      </w:pPr>
    </w:p>
    <w:p w14:paraId="0487716E" w14:textId="77777777" w:rsidR="00143700" w:rsidRDefault="00143700" w:rsidP="00143700">
      <w:pPr>
        <w:spacing w:after="0" w:line="360" w:lineRule="auto"/>
        <w:ind w:right="282"/>
        <w:jc w:val="both"/>
        <w:rPr>
          <w:rFonts w:ascii="Trebuchet MS" w:hAnsi="Trebuchet MS" w:cs="Calibri"/>
          <w:sz w:val="20"/>
          <w:szCs w:val="20"/>
        </w:rPr>
      </w:pPr>
    </w:p>
    <w:p w14:paraId="42CB8F62" w14:textId="605052DA" w:rsidR="003029B8" w:rsidRDefault="003029B8" w:rsidP="00143700">
      <w:pPr>
        <w:spacing w:after="0" w:line="360" w:lineRule="auto"/>
        <w:ind w:right="282"/>
        <w:jc w:val="both"/>
        <w:rPr>
          <w:rFonts w:ascii="Trebuchet MS" w:hAnsi="Trebuchet MS" w:cs="Calibri"/>
          <w:sz w:val="20"/>
          <w:szCs w:val="20"/>
        </w:rPr>
      </w:pPr>
      <w:r w:rsidRPr="003029B8">
        <w:rPr>
          <w:rFonts w:ascii="Trebuchet MS" w:hAnsi="Trebuchet MS" w:cs="Calibri"/>
          <w:sz w:val="20"/>
          <w:szCs w:val="20"/>
        </w:rPr>
        <w:t>Este é o nosso parecer, salvo melhor juízo.</w:t>
      </w:r>
    </w:p>
    <w:p w14:paraId="26621BC2" w14:textId="77777777" w:rsidR="00143700" w:rsidRDefault="00143700" w:rsidP="00143700">
      <w:pPr>
        <w:spacing w:after="0" w:line="360" w:lineRule="auto"/>
        <w:ind w:right="282"/>
        <w:rPr>
          <w:rFonts w:ascii="Trebuchet MS" w:hAnsi="Trebuchet MS" w:cs="Calibri"/>
          <w:sz w:val="20"/>
          <w:szCs w:val="20"/>
        </w:rPr>
      </w:pPr>
    </w:p>
    <w:p w14:paraId="639A9A6A" w14:textId="77777777" w:rsidR="00143700" w:rsidRDefault="00143700" w:rsidP="00143700">
      <w:pPr>
        <w:spacing w:after="0" w:line="360" w:lineRule="auto"/>
        <w:ind w:right="282"/>
        <w:rPr>
          <w:rFonts w:ascii="Trebuchet MS" w:hAnsi="Trebuchet MS" w:cs="Calibri"/>
          <w:sz w:val="20"/>
          <w:szCs w:val="20"/>
        </w:rPr>
      </w:pPr>
    </w:p>
    <w:p w14:paraId="74475377" w14:textId="1CCF9BD9" w:rsidR="00143700" w:rsidRDefault="00143700" w:rsidP="00143700">
      <w:pPr>
        <w:spacing w:after="0" w:line="360" w:lineRule="auto"/>
        <w:ind w:right="282"/>
        <w:rPr>
          <w:rFonts w:ascii="Trebuchet MS" w:hAnsi="Trebuchet MS" w:cs="Calibri"/>
          <w:b/>
          <w:bCs/>
          <w:sz w:val="20"/>
          <w:szCs w:val="20"/>
        </w:rPr>
      </w:pPr>
      <w:r w:rsidRPr="00143700">
        <w:rPr>
          <w:rFonts w:ascii="Trebuchet MS" w:hAnsi="Trebuchet MS" w:cs="Calibri"/>
          <w:b/>
          <w:bCs/>
          <w:sz w:val="20"/>
          <w:szCs w:val="20"/>
        </w:rPr>
        <w:t>Emitido por:</w:t>
      </w:r>
    </w:p>
    <w:p w14:paraId="59D9DA7A" w14:textId="6F6E4483" w:rsidR="003029B8" w:rsidRPr="00143700" w:rsidRDefault="00143700" w:rsidP="00143700">
      <w:pPr>
        <w:spacing w:after="0" w:line="360" w:lineRule="auto"/>
        <w:ind w:left="426" w:right="282"/>
        <w:rPr>
          <w:rFonts w:ascii="Trebuchet MS" w:hAnsi="Trebuchet MS" w:cs="Calibri"/>
          <w:sz w:val="20"/>
          <w:szCs w:val="20"/>
        </w:rPr>
      </w:pPr>
      <w:r w:rsidRPr="00143700">
        <w:rPr>
          <w:rFonts w:ascii="Trebuchet MS" w:hAnsi="Trebuchet MS" w:cs="Calibri"/>
          <w:b/>
          <w:bCs/>
          <w:sz w:val="20"/>
          <w:szCs w:val="20"/>
        </w:rPr>
        <w:br/>
      </w:r>
      <w:r w:rsidRPr="00143700">
        <w:rPr>
          <w:rFonts w:ascii="Trebuchet MS" w:hAnsi="Trebuchet MS" w:cs="Calibri"/>
          <w:sz w:val="20"/>
          <w:szCs w:val="20"/>
        </w:rPr>
        <w:t>Comissão Técnica de Anestesiologia</w:t>
      </w:r>
      <w:r w:rsidRPr="00143700">
        <w:rPr>
          <w:rFonts w:ascii="Trebuchet MS" w:hAnsi="Trebuchet MS" w:cs="Calibri"/>
          <w:sz w:val="20"/>
          <w:szCs w:val="20"/>
        </w:rPr>
        <w:br/>
        <w:t>Comitê de Bioética Médica</w:t>
      </w:r>
      <w:r w:rsidRPr="00143700">
        <w:rPr>
          <w:rFonts w:ascii="Trebuchet MS" w:hAnsi="Trebuchet MS" w:cs="Calibri"/>
          <w:sz w:val="20"/>
          <w:szCs w:val="20"/>
        </w:rPr>
        <w:br/>
        <w:t>Coordenação Geral de Anestesia</w:t>
      </w:r>
    </w:p>
    <w:p w14:paraId="09C53BD4" w14:textId="3FD04457" w:rsidR="00143700" w:rsidRDefault="00143700" w:rsidP="00143700">
      <w:pPr>
        <w:spacing w:after="0" w:line="360" w:lineRule="auto"/>
        <w:ind w:left="426" w:right="282"/>
        <w:rPr>
          <w:rFonts w:ascii="Trebuchet MS" w:hAnsi="Trebuchet MS" w:cs="Calibri"/>
          <w:sz w:val="20"/>
          <w:szCs w:val="20"/>
        </w:rPr>
      </w:pPr>
      <w:r w:rsidRPr="00143700">
        <w:rPr>
          <w:rFonts w:ascii="Trebuchet MS" w:hAnsi="Trebuchet MS" w:cs="Calibri"/>
          <w:sz w:val="20"/>
          <w:szCs w:val="20"/>
        </w:rPr>
        <w:t>Comitê de Qualidade</w:t>
      </w:r>
    </w:p>
    <w:p w14:paraId="7344750B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p w14:paraId="6F1244F7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p w14:paraId="554DC9AC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p w14:paraId="14503C32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p w14:paraId="652321B4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p w14:paraId="5C15B378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p w14:paraId="6C4F8FC1" w14:textId="77777777" w:rsidR="00143700" w:rsidRDefault="00143700" w:rsidP="00143700">
      <w:pPr>
        <w:rPr>
          <w:rFonts w:ascii="Trebuchet MS" w:hAnsi="Trebuchet MS" w:cs="Calibri"/>
          <w:sz w:val="20"/>
          <w:szCs w:val="20"/>
        </w:rPr>
      </w:pPr>
    </w:p>
    <w:p w14:paraId="45B61000" w14:textId="77777777" w:rsidR="00143700" w:rsidRPr="00143700" w:rsidRDefault="00143700" w:rsidP="00143700">
      <w:pPr>
        <w:rPr>
          <w:rFonts w:ascii="Trebuchet MS" w:hAnsi="Trebuchet MS" w:cs="Calibri"/>
          <w:sz w:val="20"/>
          <w:szCs w:val="20"/>
        </w:rPr>
      </w:pPr>
    </w:p>
    <w:p w14:paraId="0F719CCB" w14:textId="77777777" w:rsidR="00143700" w:rsidRPr="00143700" w:rsidRDefault="00143700" w:rsidP="00143700">
      <w:pPr>
        <w:rPr>
          <w:rFonts w:ascii="Trebuchet MS" w:hAnsi="Trebuchet MS" w:cs="Calibri"/>
          <w:sz w:val="20"/>
          <w:szCs w:val="20"/>
        </w:rPr>
      </w:pPr>
    </w:p>
    <w:p w14:paraId="749E066F" w14:textId="77777777" w:rsidR="00143700" w:rsidRPr="00143700" w:rsidRDefault="00143700" w:rsidP="00143700">
      <w:pPr>
        <w:rPr>
          <w:rFonts w:ascii="Trebuchet MS" w:hAnsi="Trebuchet MS" w:cs="Calibri"/>
          <w:sz w:val="20"/>
          <w:szCs w:val="20"/>
        </w:rPr>
      </w:pPr>
    </w:p>
    <w:p w14:paraId="5631DBA6" w14:textId="77777777" w:rsidR="00143700" w:rsidRPr="00143700" w:rsidRDefault="00143700" w:rsidP="00143700">
      <w:pPr>
        <w:rPr>
          <w:rFonts w:ascii="Trebuchet MS" w:hAnsi="Trebuchet MS" w:cs="Calibri"/>
          <w:sz w:val="20"/>
          <w:szCs w:val="20"/>
        </w:rPr>
      </w:pPr>
    </w:p>
    <w:p w14:paraId="29F01D8D" w14:textId="77777777" w:rsidR="00143700" w:rsidRPr="00143700" w:rsidRDefault="00143700" w:rsidP="00143700">
      <w:pPr>
        <w:rPr>
          <w:rFonts w:ascii="Trebuchet MS" w:hAnsi="Trebuchet MS"/>
          <w:sz w:val="20"/>
          <w:szCs w:val="20"/>
        </w:rPr>
      </w:pPr>
    </w:p>
    <w:sectPr w:rsidR="00143700" w:rsidRPr="00143700" w:rsidSect="00184269">
      <w:headerReference w:type="default" r:id="rId8"/>
      <w:footerReference w:type="default" r:id="rId9"/>
      <w:pgSz w:w="11906" w:h="16838"/>
      <w:pgMar w:top="567" w:right="567" w:bottom="567" w:left="567" w:header="709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398E3" w14:textId="77777777" w:rsidR="00CA77E2" w:rsidRDefault="00CA77E2" w:rsidP="00AE25D6">
      <w:pPr>
        <w:spacing w:after="0" w:line="240" w:lineRule="auto"/>
      </w:pPr>
      <w:r>
        <w:separator/>
      </w:r>
    </w:p>
  </w:endnote>
  <w:endnote w:type="continuationSeparator" w:id="0">
    <w:p w14:paraId="2CE396C5" w14:textId="77777777" w:rsidR="00CA77E2" w:rsidRDefault="00CA77E2" w:rsidP="00AE2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86"/>
      <w:gridCol w:w="3260"/>
      <w:gridCol w:w="4082"/>
    </w:tblGrid>
    <w:tr w:rsidR="00184269" w:rsidRPr="00AE7E7D" w14:paraId="7001A2A6" w14:textId="77777777" w:rsidTr="00FC61A5">
      <w:trPr>
        <w:trHeight w:val="697"/>
      </w:trPr>
      <w:tc>
        <w:tcPr>
          <w:tcW w:w="36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A028A9" w14:textId="77777777" w:rsidR="00184269" w:rsidRDefault="00184269" w:rsidP="00184269">
          <w:pPr>
            <w:snapToGrid w:val="0"/>
            <w:spacing w:after="0" w:line="240" w:lineRule="auto"/>
            <w:rPr>
              <w:rFonts w:ascii="Trebuchet MS" w:hAnsi="Trebuchet MS" w:cs="Calibri"/>
              <w:b/>
              <w:sz w:val="18"/>
              <w:szCs w:val="18"/>
            </w:rPr>
          </w:pPr>
          <w:r w:rsidRPr="00AE7E7D">
            <w:rPr>
              <w:rFonts w:ascii="Trebuchet MS" w:hAnsi="Trebuchet MS" w:cs="Calibri"/>
              <w:b/>
              <w:sz w:val="18"/>
              <w:szCs w:val="18"/>
            </w:rPr>
            <w:t>Elaborado:</w:t>
          </w:r>
        </w:p>
        <w:p w14:paraId="0182A0E5" w14:textId="77777777" w:rsidR="00184269" w:rsidRDefault="00143700" w:rsidP="00184269">
          <w:pPr>
            <w:snapToGrid w:val="0"/>
            <w:spacing w:after="0" w:line="240" w:lineRule="auto"/>
            <w:rPr>
              <w:rFonts w:ascii="Trebuchet MS" w:hAnsi="Trebuchet MS" w:cs="Calibri"/>
              <w:sz w:val="20"/>
              <w:szCs w:val="20"/>
            </w:rPr>
          </w:pPr>
          <w:r w:rsidRPr="00143700">
            <w:rPr>
              <w:rFonts w:ascii="Trebuchet MS" w:hAnsi="Trebuchet MS" w:cs="Calibri"/>
              <w:sz w:val="20"/>
              <w:szCs w:val="20"/>
            </w:rPr>
            <w:t>Comissão Técnica de Anestesiologia</w:t>
          </w:r>
        </w:p>
        <w:p w14:paraId="0B632C2A" w14:textId="77777777" w:rsidR="00143700" w:rsidRPr="00143700" w:rsidRDefault="00143700" w:rsidP="00143700">
          <w:pPr>
            <w:spacing w:after="0" w:line="360" w:lineRule="auto"/>
            <w:ind w:right="282"/>
            <w:rPr>
              <w:rFonts w:ascii="Trebuchet MS" w:hAnsi="Trebuchet MS"/>
              <w:sz w:val="20"/>
              <w:szCs w:val="20"/>
            </w:rPr>
          </w:pPr>
          <w:r w:rsidRPr="00143700">
            <w:rPr>
              <w:rFonts w:ascii="Trebuchet MS" w:hAnsi="Trebuchet MS" w:cs="Calibri"/>
              <w:sz w:val="20"/>
              <w:szCs w:val="20"/>
            </w:rPr>
            <w:t>Comitê de Qualidade</w:t>
          </w:r>
        </w:p>
        <w:p w14:paraId="1E5CE086" w14:textId="7C8F6156" w:rsidR="00143700" w:rsidRPr="00184269" w:rsidRDefault="00143700" w:rsidP="00184269">
          <w:pPr>
            <w:snapToGrid w:val="0"/>
            <w:spacing w:after="0" w:line="240" w:lineRule="auto"/>
            <w:rPr>
              <w:rFonts w:ascii="Trebuchet MS" w:hAnsi="Trebuchet MS" w:cs="Calibri"/>
              <w:b/>
              <w:sz w:val="18"/>
              <w:szCs w:val="18"/>
            </w:rPr>
          </w:pP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1E4261" w14:textId="77777777" w:rsidR="00184269" w:rsidRPr="00AE7E7D" w:rsidRDefault="00184269" w:rsidP="00184269">
          <w:pPr>
            <w:snapToGrid w:val="0"/>
            <w:spacing w:after="0" w:line="240" w:lineRule="auto"/>
            <w:rPr>
              <w:rFonts w:ascii="Trebuchet MS" w:hAnsi="Trebuchet MS" w:cs="Calibri"/>
              <w:b/>
              <w:sz w:val="18"/>
              <w:szCs w:val="18"/>
            </w:rPr>
          </w:pPr>
          <w:r w:rsidRPr="00AE7E7D">
            <w:rPr>
              <w:rFonts w:ascii="Trebuchet MS" w:hAnsi="Trebuchet MS" w:cs="Calibri"/>
              <w:b/>
              <w:sz w:val="18"/>
              <w:szCs w:val="18"/>
            </w:rPr>
            <w:t>Revisado:</w:t>
          </w:r>
        </w:p>
        <w:p w14:paraId="5FE56AF0" w14:textId="28D7DB6D" w:rsidR="00184269" w:rsidRPr="00AE7E7D" w:rsidRDefault="00143700" w:rsidP="00184269">
          <w:pPr>
            <w:snapToGrid w:val="0"/>
            <w:spacing w:after="0" w:line="240" w:lineRule="auto"/>
            <w:rPr>
              <w:rFonts w:ascii="Trebuchet MS" w:hAnsi="Trebuchet MS" w:cs="Calibri"/>
              <w:sz w:val="18"/>
              <w:szCs w:val="18"/>
            </w:rPr>
          </w:pPr>
          <w:r w:rsidRPr="00143700">
            <w:rPr>
              <w:rFonts w:ascii="Trebuchet MS" w:hAnsi="Trebuchet MS" w:cs="Calibri"/>
              <w:sz w:val="20"/>
              <w:szCs w:val="20"/>
            </w:rPr>
            <w:t>Comitê de Bioética Médica</w:t>
          </w:r>
        </w:p>
      </w:tc>
      <w:tc>
        <w:tcPr>
          <w:tcW w:w="4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446202" w14:textId="77777777" w:rsidR="00184269" w:rsidRPr="00AE7E7D" w:rsidRDefault="00184269" w:rsidP="00184269">
          <w:pPr>
            <w:snapToGrid w:val="0"/>
            <w:spacing w:after="0" w:line="240" w:lineRule="auto"/>
            <w:rPr>
              <w:rFonts w:ascii="Trebuchet MS" w:hAnsi="Trebuchet MS" w:cs="Calibri"/>
              <w:b/>
              <w:sz w:val="18"/>
              <w:szCs w:val="18"/>
            </w:rPr>
          </w:pPr>
          <w:r w:rsidRPr="00AE7E7D">
            <w:rPr>
              <w:rFonts w:ascii="Trebuchet MS" w:hAnsi="Trebuchet MS" w:cs="Calibri"/>
              <w:b/>
              <w:sz w:val="18"/>
              <w:szCs w:val="18"/>
            </w:rPr>
            <w:t>Aprovado:</w:t>
          </w:r>
        </w:p>
        <w:p w14:paraId="7D70EB59" w14:textId="67D0F991" w:rsidR="00184269" w:rsidRPr="00AE7E7D" w:rsidRDefault="00143700" w:rsidP="00184269">
          <w:pPr>
            <w:snapToGrid w:val="0"/>
            <w:spacing w:after="0" w:line="240" w:lineRule="auto"/>
            <w:rPr>
              <w:rFonts w:ascii="Trebuchet MS" w:hAnsi="Trebuchet MS" w:cs="Calibri"/>
              <w:sz w:val="18"/>
              <w:szCs w:val="18"/>
            </w:rPr>
          </w:pPr>
          <w:r w:rsidRPr="00143700">
            <w:rPr>
              <w:rFonts w:ascii="Trebuchet MS" w:hAnsi="Trebuchet MS" w:cs="Calibri"/>
              <w:sz w:val="20"/>
              <w:szCs w:val="20"/>
            </w:rPr>
            <w:t>Coordenação Geral de Anestesia</w:t>
          </w:r>
        </w:p>
      </w:tc>
    </w:tr>
  </w:tbl>
  <w:p w14:paraId="4F59118E" w14:textId="77777777" w:rsidR="00184269" w:rsidRPr="00073428" w:rsidRDefault="00184269" w:rsidP="00184269">
    <w:pPr>
      <w:pStyle w:val="Rodap"/>
      <w:jc w:val="right"/>
      <w:rPr>
        <w:rFonts w:ascii="Trebuchet MS" w:eastAsia="Calibri" w:hAnsi="Trebuchet MS"/>
        <w:sz w:val="20"/>
        <w:szCs w:val="18"/>
      </w:rPr>
    </w:pPr>
    <w:r>
      <w:tab/>
    </w:r>
    <w:r w:rsidRPr="00073428">
      <w:rPr>
        <w:rFonts w:ascii="Trebuchet MS" w:eastAsia="Calibri" w:hAnsi="Trebuchet MS"/>
        <w:sz w:val="20"/>
        <w:szCs w:val="18"/>
      </w:rPr>
      <w:t xml:space="preserve">Página </w:t>
    </w:r>
    <w:r w:rsidRPr="00073428">
      <w:rPr>
        <w:rFonts w:ascii="Trebuchet MS" w:eastAsia="Calibri" w:hAnsi="Trebuchet MS"/>
        <w:sz w:val="20"/>
        <w:szCs w:val="18"/>
      </w:rPr>
      <w:fldChar w:fldCharType="begin"/>
    </w:r>
    <w:r w:rsidRPr="00073428">
      <w:rPr>
        <w:rFonts w:ascii="Trebuchet MS" w:eastAsia="Calibri" w:hAnsi="Trebuchet MS"/>
        <w:sz w:val="20"/>
        <w:szCs w:val="18"/>
      </w:rPr>
      <w:instrText>PAGE</w:instrText>
    </w:r>
    <w:r w:rsidRPr="00073428">
      <w:rPr>
        <w:rFonts w:ascii="Trebuchet MS" w:eastAsia="Calibri" w:hAnsi="Trebuchet MS"/>
        <w:sz w:val="20"/>
        <w:szCs w:val="18"/>
      </w:rPr>
      <w:fldChar w:fldCharType="separate"/>
    </w:r>
    <w:r>
      <w:rPr>
        <w:rFonts w:ascii="Trebuchet MS" w:eastAsia="Calibri" w:hAnsi="Trebuchet MS"/>
        <w:sz w:val="20"/>
        <w:szCs w:val="18"/>
      </w:rPr>
      <w:t>3</w:t>
    </w:r>
    <w:r w:rsidRPr="00073428">
      <w:rPr>
        <w:rFonts w:ascii="Trebuchet MS" w:eastAsia="Calibri" w:hAnsi="Trebuchet MS"/>
        <w:sz w:val="20"/>
        <w:szCs w:val="18"/>
      </w:rPr>
      <w:fldChar w:fldCharType="end"/>
    </w:r>
    <w:r w:rsidRPr="00073428">
      <w:rPr>
        <w:rFonts w:ascii="Trebuchet MS" w:eastAsia="Calibri" w:hAnsi="Trebuchet MS"/>
        <w:sz w:val="20"/>
        <w:szCs w:val="18"/>
      </w:rPr>
      <w:t xml:space="preserve"> de </w:t>
    </w:r>
    <w:r w:rsidRPr="00073428">
      <w:rPr>
        <w:rFonts w:ascii="Trebuchet MS" w:eastAsia="Calibri" w:hAnsi="Trebuchet MS"/>
        <w:sz w:val="20"/>
        <w:szCs w:val="18"/>
      </w:rPr>
      <w:fldChar w:fldCharType="begin"/>
    </w:r>
    <w:r w:rsidRPr="00073428">
      <w:rPr>
        <w:rFonts w:ascii="Trebuchet MS" w:eastAsia="Calibri" w:hAnsi="Trebuchet MS"/>
        <w:sz w:val="20"/>
        <w:szCs w:val="18"/>
      </w:rPr>
      <w:instrText>NUMPAGES</w:instrText>
    </w:r>
    <w:r w:rsidRPr="00073428">
      <w:rPr>
        <w:rFonts w:ascii="Trebuchet MS" w:eastAsia="Calibri" w:hAnsi="Trebuchet MS"/>
        <w:sz w:val="20"/>
        <w:szCs w:val="18"/>
      </w:rPr>
      <w:fldChar w:fldCharType="separate"/>
    </w:r>
    <w:r>
      <w:rPr>
        <w:rFonts w:ascii="Trebuchet MS" w:eastAsia="Calibri" w:hAnsi="Trebuchet MS"/>
        <w:sz w:val="20"/>
        <w:szCs w:val="18"/>
      </w:rPr>
      <w:t>3</w:t>
    </w:r>
    <w:r w:rsidRPr="00073428">
      <w:rPr>
        <w:rFonts w:ascii="Trebuchet MS" w:eastAsia="Calibri" w:hAnsi="Trebuchet MS"/>
        <w:sz w:val="20"/>
        <w:szCs w:val="18"/>
      </w:rPr>
      <w:fldChar w:fldCharType="end"/>
    </w:r>
  </w:p>
  <w:p w14:paraId="10180E68" w14:textId="27034E94" w:rsidR="00184269" w:rsidRDefault="00184269" w:rsidP="00184269">
    <w:pPr>
      <w:pStyle w:val="Rodap"/>
      <w:tabs>
        <w:tab w:val="clear" w:pos="4252"/>
        <w:tab w:val="clear" w:pos="8504"/>
        <w:tab w:val="left" w:pos="10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5D7C5" w14:textId="77777777" w:rsidR="00CA77E2" w:rsidRDefault="00CA77E2" w:rsidP="00AE25D6">
      <w:pPr>
        <w:spacing w:after="0" w:line="240" w:lineRule="auto"/>
      </w:pPr>
      <w:r>
        <w:separator/>
      </w:r>
    </w:p>
  </w:footnote>
  <w:footnote w:type="continuationSeparator" w:id="0">
    <w:p w14:paraId="014FBD98" w14:textId="77777777" w:rsidR="00CA77E2" w:rsidRDefault="00CA77E2" w:rsidP="00AE2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797"/>
      <w:gridCol w:w="5726"/>
      <w:gridCol w:w="2239"/>
    </w:tblGrid>
    <w:tr w:rsidR="00AA5083" w14:paraId="25E9CF6F" w14:textId="77777777" w:rsidTr="000674DA">
      <w:trPr>
        <w:trHeight w:val="1132"/>
      </w:trPr>
      <w:tc>
        <w:tcPr>
          <w:tcW w:w="2689" w:type="dxa"/>
          <w:vAlign w:val="center"/>
        </w:tcPr>
        <w:p w14:paraId="5336691E" w14:textId="75673814" w:rsidR="00AA5083" w:rsidRDefault="00143700" w:rsidP="00AA5083">
          <w:pPr>
            <w:pStyle w:val="Cabealho"/>
            <w:jc w:val="center"/>
          </w:pPr>
          <w:r>
            <w:rPr>
              <w:rFonts w:cs="Calibri"/>
            </w:rPr>
            <w:object w:dxaOrig="3135" w:dyaOrig="1080" w14:anchorId="6A9BC87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" o:spid="_x0000_i1025" type="#_x0000_t75" style="width:129pt;height:46.5pt;visibility:visible;mso-wrap-style:square">
                <v:imagedata r:id="rId1" o:title=""/>
              </v:shape>
              <o:OLEObject Type="Embed" ProgID="PBrush" ShapeID="Picture 35" DrawAspect="Content" ObjectID="_1812372284" r:id="rId2"/>
            </w:object>
          </w:r>
        </w:p>
      </w:tc>
      <w:tc>
        <w:tcPr>
          <w:tcW w:w="5811" w:type="dxa"/>
          <w:vAlign w:val="center"/>
        </w:tcPr>
        <w:p w14:paraId="696B8EE5" w14:textId="3BFE3FC3" w:rsidR="00AA5083" w:rsidRPr="009C66AE" w:rsidRDefault="00791A40" w:rsidP="000674DA">
          <w:pPr>
            <w:jc w:val="center"/>
            <w:rPr>
              <w:rFonts w:ascii="Trebuchet MS" w:hAnsi="Trebuchet MS"/>
              <w:b/>
              <w:sz w:val="28"/>
              <w:szCs w:val="24"/>
            </w:rPr>
          </w:pPr>
          <w:r w:rsidRPr="00791A40">
            <w:rPr>
              <w:rFonts w:ascii="Trebuchet MS" w:hAnsi="Trebuchet MS"/>
              <w:b/>
              <w:sz w:val="24"/>
            </w:rPr>
            <w:t>ENCAMINHAMENTO DE PACIENTE PARA UTI NO PÓS-OPERATÓRIO IMEDIATO FRENTE À DISCORDÂNCIA ENTRE ANESTESIOLOGISTA</w:t>
          </w:r>
        </w:p>
      </w:tc>
      <w:tc>
        <w:tcPr>
          <w:tcW w:w="2262" w:type="dxa"/>
          <w:vAlign w:val="center"/>
        </w:tcPr>
        <w:p w14:paraId="18BF8F45" w14:textId="77777777" w:rsidR="00143700" w:rsidRDefault="00143700" w:rsidP="002E4E96">
          <w:pPr>
            <w:jc w:val="center"/>
            <w:rPr>
              <w:rFonts w:ascii="Trebuchet MS" w:hAnsi="Trebuchet MS"/>
              <w:b/>
              <w:sz w:val="18"/>
            </w:rPr>
          </w:pPr>
          <w:r w:rsidRPr="00143700">
            <w:rPr>
              <w:rFonts w:ascii="Trebuchet MS" w:hAnsi="Trebuchet MS"/>
              <w:b/>
              <w:sz w:val="18"/>
            </w:rPr>
            <w:t>PARECER TÉCNICO Nº 01/2025</w:t>
          </w:r>
        </w:p>
        <w:p w14:paraId="1288B9E0" w14:textId="07024CF0" w:rsidR="00143700" w:rsidRDefault="00143700" w:rsidP="002E4E96">
          <w:pPr>
            <w:jc w:val="center"/>
            <w:rPr>
              <w:rFonts w:ascii="Trebuchet MS" w:hAnsi="Trebuchet MS"/>
              <w:b/>
              <w:sz w:val="18"/>
            </w:rPr>
          </w:pPr>
          <w:r>
            <w:rPr>
              <w:rFonts w:ascii="Trebuchet MS" w:hAnsi="Trebuchet MS"/>
              <w:b/>
              <w:sz w:val="18"/>
            </w:rPr>
            <w:t>Publicado em 06/2025</w:t>
          </w:r>
        </w:p>
        <w:p w14:paraId="065C81BC" w14:textId="47055FB5" w:rsidR="00AA5083" w:rsidRPr="00AA5083" w:rsidRDefault="00184269" w:rsidP="002E4E96">
          <w:pPr>
            <w:jc w:val="center"/>
            <w:rPr>
              <w:rFonts w:ascii="Trebuchet MS" w:hAnsi="Trebuchet MS"/>
              <w:b/>
              <w:sz w:val="20"/>
              <w:szCs w:val="24"/>
            </w:rPr>
          </w:pPr>
          <w:r w:rsidRPr="00184269">
            <w:rPr>
              <w:rFonts w:ascii="Trebuchet MS" w:hAnsi="Trebuchet MS"/>
              <w:b/>
              <w:sz w:val="18"/>
            </w:rPr>
            <w:t>Classificação: INTERN</w:t>
          </w:r>
          <w:r w:rsidR="00A64020">
            <w:rPr>
              <w:rFonts w:ascii="Trebuchet MS" w:hAnsi="Trebuchet MS"/>
              <w:b/>
              <w:sz w:val="18"/>
            </w:rPr>
            <w:t>O</w:t>
          </w:r>
        </w:p>
      </w:tc>
    </w:tr>
  </w:tbl>
  <w:p w14:paraId="15C78967" w14:textId="77777777" w:rsidR="00AA5083" w:rsidRDefault="00AA50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CEE"/>
    <w:multiLevelType w:val="hybridMultilevel"/>
    <w:tmpl w:val="27207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204C5"/>
    <w:multiLevelType w:val="hybridMultilevel"/>
    <w:tmpl w:val="B98E15CC"/>
    <w:lvl w:ilvl="0" w:tplc="BF7EE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24D58"/>
    <w:multiLevelType w:val="hybridMultilevel"/>
    <w:tmpl w:val="D9E0FF08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3767C60"/>
    <w:multiLevelType w:val="hybridMultilevel"/>
    <w:tmpl w:val="E256C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8CA"/>
    <w:multiLevelType w:val="hybridMultilevel"/>
    <w:tmpl w:val="94B8EC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237D52"/>
    <w:multiLevelType w:val="hybridMultilevel"/>
    <w:tmpl w:val="57388C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35CA8"/>
    <w:multiLevelType w:val="hybridMultilevel"/>
    <w:tmpl w:val="7C2ADE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86257"/>
    <w:multiLevelType w:val="hybridMultilevel"/>
    <w:tmpl w:val="0DCC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24B13"/>
    <w:multiLevelType w:val="hybridMultilevel"/>
    <w:tmpl w:val="CF7EB95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4962A35"/>
    <w:multiLevelType w:val="hybridMultilevel"/>
    <w:tmpl w:val="B81485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36454"/>
    <w:multiLevelType w:val="hybridMultilevel"/>
    <w:tmpl w:val="9A98517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05484375">
    <w:abstractNumId w:val="1"/>
  </w:num>
  <w:num w:numId="2" w16cid:durableId="175846043">
    <w:abstractNumId w:val="7"/>
  </w:num>
  <w:num w:numId="3" w16cid:durableId="631062719">
    <w:abstractNumId w:val="6"/>
  </w:num>
  <w:num w:numId="4" w16cid:durableId="1061948616">
    <w:abstractNumId w:val="4"/>
  </w:num>
  <w:num w:numId="5" w16cid:durableId="244851430">
    <w:abstractNumId w:val="3"/>
  </w:num>
  <w:num w:numId="6" w16cid:durableId="924922648">
    <w:abstractNumId w:val="8"/>
  </w:num>
  <w:num w:numId="7" w16cid:durableId="582419051">
    <w:abstractNumId w:val="10"/>
  </w:num>
  <w:num w:numId="8" w16cid:durableId="1725374898">
    <w:abstractNumId w:val="2"/>
  </w:num>
  <w:num w:numId="9" w16cid:durableId="886645230">
    <w:abstractNumId w:val="5"/>
  </w:num>
  <w:num w:numId="10" w16cid:durableId="741565840">
    <w:abstractNumId w:val="0"/>
  </w:num>
  <w:num w:numId="11" w16cid:durableId="1788813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F2"/>
    <w:rsid w:val="0004005D"/>
    <w:rsid w:val="00065713"/>
    <w:rsid w:val="000674DA"/>
    <w:rsid w:val="00076658"/>
    <w:rsid w:val="00116610"/>
    <w:rsid w:val="00143700"/>
    <w:rsid w:val="00184269"/>
    <w:rsid w:val="00191BC5"/>
    <w:rsid w:val="001D2B75"/>
    <w:rsid w:val="001D60A5"/>
    <w:rsid w:val="001F4CFD"/>
    <w:rsid w:val="00214E9C"/>
    <w:rsid w:val="00234FE6"/>
    <w:rsid w:val="002466C5"/>
    <w:rsid w:val="00250606"/>
    <w:rsid w:val="0028488E"/>
    <w:rsid w:val="002911CB"/>
    <w:rsid w:val="002A3FD1"/>
    <w:rsid w:val="002D05C4"/>
    <w:rsid w:val="002E4E96"/>
    <w:rsid w:val="003029B8"/>
    <w:rsid w:val="003519D6"/>
    <w:rsid w:val="003B2BCA"/>
    <w:rsid w:val="003C4E0F"/>
    <w:rsid w:val="003C5A4E"/>
    <w:rsid w:val="003E106A"/>
    <w:rsid w:val="003F5621"/>
    <w:rsid w:val="00445E85"/>
    <w:rsid w:val="00471478"/>
    <w:rsid w:val="00477966"/>
    <w:rsid w:val="00482E19"/>
    <w:rsid w:val="00505578"/>
    <w:rsid w:val="00523F3B"/>
    <w:rsid w:val="00535B7F"/>
    <w:rsid w:val="00541E20"/>
    <w:rsid w:val="005765A2"/>
    <w:rsid w:val="00590E2A"/>
    <w:rsid w:val="005A451A"/>
    <w:rsid w:val="00630BB6"/>
    <w:rsid w:val="006406F9"/>
    <w:rsid w:val="00651B3D"/>
    <w:rsid w:val="00655FAC"/>
    <w:rsid w:val="00656662"/>
    <w:rsid w:val="00661EDB"/>
    <w:rsid w:val="00682C26"/>
    <w:rsid w:val="006A2865"/>
    <w:rsid w:val="006B25F3"/>
    <w:rsid w:val="006C12B1"/>
    <w:rsid w:val="006E08F2"/>
    <w:rsid w:val="006E214C"/>
    <w:rsid w:val="006E57C8"/>
    <w:rsid w:val="00722704"/>
    <w:rsid w:val="00722D0D"/>
    <w:rsid w:val="00754B84"/>
    <w:rsid w:val="00781C12"/>
    <w:rsid w:val="0078586D"/>
    <w:rsid w:val="00791A40"/>
    <w:rsid w:val="00831461"/>
    <w:rsid w:val="00837AB8"/>
    <w:rsid w:val="008909BA"/>
    <w:rsid w:val="008A2155"/>
    <w:rsid w:val="008D73FA"/>
    <w:rsid w:val="008F4363"/>
    <w:rsid w:val="0096472D"/>
    <w:rsid w:val="00991F7E"/>
    <w:rsid w:val="009972AD"/>
    <w:rsid w:val="009C0570"/>
    <w:rsid w:val="009C59F2"/>
    <w:rsid w:val="009C66AE"/>
    <w:rsid w:val="00A04BD1"/>
    <w:rsid w:val="00A2394D"/>
    <w:rsid w:val="00A3029D"/>
    <w:rsid w:val="00A62C61"/>
    <w:rsid w:val="00A64020"/>
    <w:rsid w:val="00A66421"/>
    <w:rsid w:val="00A81A57"/>
    <w:rsid w:val="00A9290C"/>
    <w:rsid w:val="00AA5083"/>
    <w:rsid w:val="00AB5F1F"/>
    <w:rsid w:val="00AE25D6"/>
    <w:rsid w:val="00AE582A"/>
    <w:rsid w:val="00B655E1"/>
    <w:rsid w:val="00BC5D4F"/>
    <w:rsid w:val="00BE0BA0"/>
    <w:rsid w:val="00BE56CB"/>
    <w:rsid w:val="00BF10A5"/>
    <w:rsid w:val="00C0305A"/>
    <w:rsid w:val="00C217E3"/>
    <w:rsid w:val="00C22981"/>
    <w:rsid w:val="00C51A0E"/>
    <w:rsid w:val="00C7598F"/>
    <w:rsid w:val="00CA54A2"/>
    <w:rsid w:val="00CA77E2"/>
    <w:rsid w:val="00CE641B"/>
    <w:rsid w:val="00CF1DA6"/>
    <w:rsid w:val="00CF4753"/>
    <w:rsid w:val="00CF6E26"/>
    <w:rsid w:val="00D06BF8"/>
    <w:rsid w:val="00D82C6C"/>
    <w:rsid w:val="00D92CA2"/>
    <w:rsid w:val="00DB2B59"/>
    <w:rsid w:val="00DB79F5"/>
    <w:rsid w:val="00DF4C03"/>
    <w:rsid w:val="00E450F0"/>
    <w:rsid w:val="00E66AC4"/>
    <w:rsid w:val="00E67321"/>
    <w:rsid w:val="00E77AD7"/>
    <w:rsid w:val="00E90C7C"/>
    <w:rsid w:val="00EA0B85"/>
    <w:rsid w:val="00EB3C6F"/>
    <w:rsid w:val="00EE3C6B"/>
    <w:rsid w:val="00EE52EB"/>
    <w:rsid w:val="00EF29D6"/>
    <w:rsid w:val="00F0591E"/>
    <w:rsid w:val="00F96E2C"/>
    <w:rsid w:val="00FA6813"/>
    <w:rsid w:val="00FE26D3"/>
    <w:rsid w:val="00FE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CF580"/>
  <w15:docId w15:val="{23DC344B-64AC-4847-9D7D-8EC996C7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C5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C4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4E0F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E2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25D6"/>
  </w:style>
  <w:style w:type="paragraph" w:styleId="Rodap">
    <w:name w:val="footer"/>
    <w:basedOn w:val="Normal"/>
    <w:link w:val="RodapChar"/>
    <w:uiPriority w:val="99"/>
    <w:unhideWhenUsed/>
    <w:rsid w:val="00AE2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25D6"/>
  </w:style>
  <w:style w:type="paragraph" w:styleId="PargrafodaLista">
    <w:name w:val="List Paragraph"/>
    <w:basedOn w:val="Normal"/>
    <w:uiPriority w:val="34"/>
    <w:qFormat/>
    <w:rsid w:val="001F4C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6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16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3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156EA-0487-4120-8049-1242E88E1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1072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Natieli Klein</dc:creator>
  <cp:lastModifiedBy>Iara Grasel</cp:lastModifiedBy>
  <cp:revision>2</cp:revision>
  <cp:lastPrinted>2018-08-28T20:52:00Z</cp:lastPrinted>
  <dcterms:created xsi:type="dcterms:W3CDTF">2025-06-25T18:58:00Z</dcterms:created>
  <dcterms:modified xsi:type="dcterms:W3CDTF">2025-06-25T18:58:00Z</dcterms:modified>
</cp:coreProperties>
</file>