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369D" w14:textId="1029B8E2" w:rsidR="00D71FB5" w:rsidRDefault="00000000">
      <w:pPr>
        <w:pStyle w:val="Ttulo1"/>
      </w:pPr>
      <w:bookmarkStart w:id="0" w:name="X7ffce2a8b35c4e14c75ad34de61e574fb725477"/>
      <w:r>
        <w:t xml:space="preserve">Plano de Comunicação Interna – Serviço de Anestesiologia </w:t>
      </w:r>
      <w:r w:rsidR="00F154B0">
        <w:t xml:space="preserve">ANET - </w:t>
      </w:r>
      <w:r>
        <w:t>(Base Qmentum/ROPs)</w:t>
      </w:r>
    </w:p>
    <w:p w14:paraId="0507FCA1" w14:textId="77777777" w:rsidR="00D71FB5" w:rsidRDefault="00000000">
      <w:pPr>
        <w:pStyle w:val="Ttulo2"/>
      </w:pPr>
      <w:bookmarkStart w:id="1" w:name="objetivo-geral"/>
      <w:r>
        <w:t>1) Objetivo geral</w:t>
      </w:r>
    </w:p>
    <w:p w14:paraId="7B3F158D" w14:textId="3E2AAA73" w:rsidR="002F296D" w:rsidRPr="002F296D" w:rsidRDefault="00000000" w:rsidP="002F296D">
      <w:pPr>
        <w:pStyle w:val="FirstParagraph"/>
      </w:pPr>
      <w:r>
        <w:t>Estruturar e padronizar a comunicação interna do Serviço de Anestesiologia para sustentar a cultura de segurança, a qualidade assistencial e a conformidade com o Qmentum, com foco nas Práticas Organizacionais Obrigatórias (ROPs).</w:t>
      </w:r>
    </w:p>
    <w:p w14:paraId="4D26A207" w14:textId="77777777" w:rsidR="00D71FB5" w:rsidRDefault="00000000">
      <w:pPr>
        <w:pStyle w:val="Ttulo2"/>
      </w:pPr>
      <w:bookmarkStart w:id="2" w:name="escopo-e-princípios"/>
      <w:bookmarkEnd w:id="1"/>
      <w:r>
        <w:t>2) Escopo e princípios</w:t>
      </w:r>
    </w:p>
    <w:p w14:paraId="5E22CFE4" w14:textId="77777777" w:rsidR="00D71FB5" w:rsidRDefault="00000000">
      <w:pPr>
        <w:pStyle w:val="Compact"/>
        <w:numPr>
          <w:ilvl w:val="0"/>
          <w:numId w:val="2"/>
        </w:numPr>
      </w:pPr>
      <w:r>
        <w:t>Abrange anestesiologistas, equipe de enfermagem, residentes/estagiários, equipe administrativa e comitês (Qualidade e Segurança, Farmácia/Medicamentos, Prevenção e Controle de Infecções, Ética, Ouvidoria).</w:t>
      </w:r>
    </w:p>
    <w:p w14:paraId="788E4680" w14:textId="77777777" w:rsidR="00D71FB5" w:rsidRDefault="00000000">
      <w:pPr>
        <w:pStyle w:val="Compact"/>
        <w:numPr>
          <w:ilvl w:val="0"/>
          <w:numId w:val="2"/>
        </w:numPr>
      </w:pPr>
      <w:r>
        <w:t>Princípios: comunicação clara, tempestiva, rastreável, proporcional ao risco; aprendizagem organizacional a partir de incidentes/quase-erros; transparência; respeito à LGPD; melhoria contínua.</w:t>
      </w:r>
    </w:p>
    <w:p w14:paraId="05339331" w14:textId="77777777" w:rsidR="00D71FB5" w:rsidRDefault="00000000">
      <w:pPr>
        <w:pStyle w:val="Ttulo2"/>
      </w:pPr>
      <w:bookmarkStart w:id="3" w:name="governança-e-papéis"/>
      <w:bookmarkEnd w:id="2"/>
      <w:r>
        <w:t>3) Governança e papéis</w:t>
      </w:r>
    </w:p>
    <w:p w14:paraId="26A2677D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Coordenação Técnica/Qualidade</w:t>
      </w:r>
      <w:r>
        <w:t>: aprova políticas, mensagens-chave e relatórios; é dona do calendário de comunicação.</w:t>
      </w:r>
    </w:p>
    <w:p w14:paraId="3F68F217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Líderes de ROPs (owners)</w:t>
      </w:r>
      <w:r>
        <w:t>: um responsável por cada grupo de ROP (Cultura de Segurança; Comunicação; Uso de Medicamentos; Vida Profissional/Força de Trabalho; Controle de Infecção; Avaliação de Riscos). Mantém artefatos, conduz treinamentos e monitora indicadores.</w:t>
      </w:r>
    </w:p>
    <w:p w14:paraId="381C215E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Comitê de Segurança do Paciente</w:t>
      </w:r>
      <w:r>
        <w:t>: consolida incidentes, análises de causa raiz e planos de ação; publica o relatório trimestral.</w:t>
      </w:r>
    </w:p>
    <w:p w14:paraId="2A38D1CA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Comitê de PCI</w:t>
      </w:r>
      <w:r>
        <w:t>: pauta adesão à higiene de mãos, reprocessamento e taxas de infecção.</w:t>
      </w:r>
    </w:p>
    <w:p w14:paraId="60D50687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Farmácia/Medicações</w:t>
      </w:r>
      <w:r>
        <w:t>: normas de alta-vigilância, conciliação, eletrólitos, antimicrobianos, bombas de infusão e narcóticos.</w:t>
      </w:r>
    </w:p>
    <w:p w14:paraId="67684235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Ouvidoria/Canal Ético</w:t>
      </w:r>
      <w:r>
        <w:t>: acolhe relatos sensíveis, mantém sigilo e devolutivas.</w:t>
      </w:r>
    </w:p>
    <w:p w14:paraId="25C0CAF0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Suporte Administrativo</w:t>
      </w:r>
      <w:r>
        <w:t>: intranet, templates e registro de evidências.</w:t>
      </w:r>
    </w:p>
    <w:p w14:paraId="7036314D" w14:textId="77777777" w:rsidR="00D71FB5" w:rsidRDefault="00000000">
      <w:pPr>
        <w:pStyle w:val="Ttulo2"/>
      </w:pPr>
      <w:bookmarkStart w:id="4" w:name="públicos-alvo-internos"/>
      <w:bookmarkEnd w:id="3"/>
      <w:r>
        <w:t>4) Públicos-alvo internos</w:t>
      </w:r>
    </w:p>
    <w:p w14:paraId="6A0E4830" w14:textId="77777777" w:rsidR="00D71FB5" w:rsidRDefault="00000000">
      <w:pPr>
        <w:pStyle w:val="Compact"/>
        <w:numPr>
          <w:ilvl w:val="0"/>
          <w:numId w:val="4"/>
        </w:numPr>
      </w:pPr>
      <w:r>
        <w:t>Anestesiologistas; enfermagem perioperatória (CC, SRPA/CRPA, Centro de Materiais, SADT); residentes/estagiários; administrativo; lideranças e comitês.</w:t>
      </w:r>
    </w:p>
    <w:p w14:paraId="40F444F6" w14:textId="77777777" w:rsidR="00D71FB5" w:rsidRDefault="00000000">
      <w:pPr>
        <w:pStyle w:val="Ttulo2"/>
      </w:pPr>
      <w:bookmarkStart w:id="5" w:name="mensagens-chave-por-tema"/>
      <w:bookmarkEnd w:id="4"/>
      <w:r>
        <w:lastRenderedPageBreak/>
        <w:t>5) Mensagens-chave (por tema)</w:t>
      </w:r>
    </w:p>
    <w:p w14:paraId="76065DF1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Cultura de segurança</w:t>
      </w:r>
      <w:r>
        <w:t>: “Notificar é cuidar”, foco em aprendizado sem culpa e responsabilização justa.</w:t>
      </w:r>
    </w:p>
    <w:p w14:paraId="6D4ED8D0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Comunicação</w:t>
      </w:r>
      <w:r>
        <w:t>: handoff padronizado (SBAR), identificação correta do paciente, lista de abreviações proibidas, conciliação medicamentosa e checklist de cirurgia segura.</w:t>
      </w:r>
    </w:p>
    <w:p w14:paraId="04E0A3EB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Uso de medicamentos</w:t>
      </w:r>
      <w:r>
        <w:t>: regras de alta vigilância, eletrólitos concentrados, heparina, bombas de infusão, narcóticos e stewardship de antimicrobianos.</w:t>
      </w:r>
    </w:p>
    <w:p w14:paraId="38FD27B1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Vida profissional/Força de trabalho</w:t>
      </w:r>
      <w:r>
        <w:t>: segurança do trabalhador, fluxo de clientes, plano de segurança do paciente, manutenção preventiva e treinamentos.</w:t>
      </w:r>
    </w:p>
    <w:p w14:paraId="62E8896A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Controle de infecção</w:t>
      </w:r>
      <w:r>
        <w:t>: higiene de mãos (adesão/treinamento), reprocessamento, vigilância e resposta.</w:t>
      </w:r>
    </w:p>
    <w:p w14:paraId="0DEC98BA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Avaliação de riscos</w:t>
      </w:r>
      <w:r>
        <w:t>: protocolos para quedas, úlceras por pressão, TEV, prevenção de suicídio (conforme aplicável ao cenário), avaliação de risco domiciliar (quando pertinente).</w:t>
      </w:r>
    </w:p>
    <w:p w14:paraId="48ABDCA7" w14:textId="77777777" w:rsidR="00D71FB5" w:rsidRDefault="00000000">
      <w:pPr>
        <w:pStyle w:val="Ttulo2"/>
      </w:pPr>
      <w:bookmarkStart w:id="6" w:name="canais-e-artefatos"/>
      <w:bookmarkEnd w:id="5"/>
      <w:r>
        <w:t>6) Canais e artefatos</w:t>
      </w:r>
    </w:p>
    <w:p w14:paraId="043CDEA5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Intranet</w:t>
      </w:r>
      <w:r>
        <w:t>: repositório oficial (políticas, POPs, protocolos, fluxos, templates, FAQs).</w:t>
      </w:r>
    </w:p>
    <w:p w14:paraId="2E36099A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Reuniões</w:t>
      </w:r>
      <w:r>
        <w:t>:</w:t>
      </w:r>
    </w:p>
    <w:p w14:paraId="6A1B327B" w14:textId="77777777" w:rsidR="00D71FB5" w:rsidRDefault="00000000">
      <w:pPr>
        <w:pStyle w:val="Compact"/>
        <w:numPr>
          <w:ilvl w:val="1"/>
          <w:numId w:val="7"/>
        </w:numPr>
      </w:pPr>
      <w:r>
        <w:t>Huddle de segurança (diário, 10–15 min) com foco em riscos do dia, eventos, barreiras.</w:t>
      </w:r>
    </w:p>
    <w:p w14:paraId="306C9B36" w14:textId="77777777" w:rsidR="00D71FB5" w:rsidRDefault="00000000">
      <w:pPr>
        <w:pStyle w:val="Compact"/>
        <w:numPr>
          <w:ilvl w:val="1"/>
          <w:numId w:val="7"/>
        </w:numPr>
      </w:pPr>
      <w:r>
        <w:t>Reunião M&amp;M/Quase-erros (mensal) com lições aprendidas e plano de ação.</w:t>
      </w:r>
    </w:p>
    <w:p w14:paraId="518B2A20" w14:textId="77777777" w:rsidR="00D71FB5" w:rsidRDefault="00000000">
      <w:pPr>
        <w:pStyle w:val="Compact"/>
        <w:numPr>
          <w:ilvl w:val="1"/>
          <w:numId w:val="7"/>
        </w:numPr>
      </w:pPr>
      <w:r>
        <w:t xml:space="preserve">Reunião de resultados (mensal) e </w:t>
      </w:r>
      <w:r>
        <w:rPr>
          <w:b/>
          <w:bCs/>
        </w:rPr>
        <w:t>Relatório Trimestral de Segurança</w:t>
      </w:r>
      <w:r>
        <w:t>.</w:t>
      </w:r>
    </w:p>
    <w:p w14:paraId="62DC00B7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Briefings/Debriefings</w:t>
      </w:r>
      <w:r>
        <w:t>: pré e pós-procedimento (checklist cirúrgico + SBAR na transição CC→SRPA/CRPA e SRPA→Unidade/Alta).</w:t>
      </w:r>
    </w:p>
    <w:p w14:paraId="2D144652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AxReg/Canal de Incidentes</w:t>
      </w:r>
      <w:r>
        <w:t>: notificação sigilosa de incidentes/quase-erros.</w:t>
      </w:r>
    </w:p>
    <w:p w14:paraId="7DDA8975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Alertas</w:t>
      </w:r>
      <w:r>
        <w:t>: comunicados rápidos (e-mail/WhatsApp corporativo/intranet) para recalls, mudanças críticas de protocolo e riscos emergentes.</w:t>
      </w:r>
    </w:p>
    <w:p w14:paraId="43D84D42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Treinamentos</w:t>
      </w:r>
      <w:r>
        <w:t>: calendário contínuo (higiene de mãos, medicações de alto risco, bombas, conciliação, identificação do paciente, disclosure, LGPD, violência no trabalho, etc.).</w:t>
      </w:r>
    </w:p>
    <w:p w14:paraId="5C18AB46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Painel de Indicadores</w:t>
      </w:r>
      <w:r>
        <w:t>: visível na intranet e apresentado nas reuniões.</w:t>
      </w:r>
    </w:p>
    <w:p w14:paraId="396F9584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Canal Ético/Ouvidoria</w:t>
      </w:r>
      <w:r>
        <w:t>: e-mail ou formulário seguro, com SLA de resposta.</w:t>
      </w:r>
    </w:p>
    <w:p w14:paraId="08C7B0D0" w14:textId="77777777" w:rsidR="00D71FB5" w:rsidRDefault="00000000">
      <w:pPr>
        <w:pStyle w:val="Ttulo2"/>
      </w:pPr>
      <w:bookmarkStart w:id="7" w:name="cadência-macro"/>
      <w:bookmarkEnd w:id="6"/>
      <w:r>
        <w:t>7) Cadência (macro)</w:t>
      </w:r>
    </w:p>
    <w:p w14:paraId="6FD6D674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Diário</w:t>
      </w:r>
      <w:r>
        <w:t>: huddle de segurança; briefings/debriefings por sala.</w:t>
      </w:r>
    </w:p>
    <w:p w14:paraId="1FEE1781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Semanal</w:t>
      </w:r>
      <w:r>
        <w:t>: boletim interno (mudanças, alertas, destaques de indicadores, incidentes sem dano/quase-erros selecionados e aprendizados).</w:t>
      </w:r>
    </w:p>
    <w:p w14:paraId="0C0870FB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Mensal</w:t>
      </w:r>
      <w:r>
        <w:t>: M&amp;M/Quase-erros; reunião de resultados e atualização do painel; treinamento temático.</w:t>
      </w:r>
    </w:p>
    <w:p w14:paraId="3AE2FABE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Trimestral</w:t>
      </w:r>
      <w:r>
        <w:t>: Relatório de Segurança (indicadores, incidentes, ações e efeitos); fórum ampliado com liderança e equipes parceiras.</w:t>
      </w:r>
    </w:p>
    <w:p w14:paraId="30BA0F49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Sob demanda</w:t>
      </w:r>
      <w:r>
        <w:t>: alertas de recall, eventos críticos, disclosure e atualizações urgentes de protocolos.</w:t>
      </w:r>
    </w:p>
    <w:p w14:paraId="6CE92933" w14:textId="77777777" w:rsidR="00D71FB5" w:rsidRDefault="00000000">
      <w:pPr>
        <w:pStyle w:val="Ttulo2"/>
      </w:pPr>
      <w:bookmarkStart w:id="8" w:name="X93cc92f0ffde44b9031cf82af82a101f2bcd5b6"/>
      <w:bookmarkEnd w:id="7"/>
      <w:r>
        <w:t>8) Fluxos de comunicação vinculados às ROPs (exemplos operacionais)</w:t>
      </w:r>
    </w:p>
    <w:p w14:paraId="47DE86E2" w14:textId="77777777" w:rsidR="00D71FB5" w:rsidRDefault="00000000">
      <w:pPr>
        <w:pStyle w:val="Ttulo3"/>
      </w:pPr>
      <w:bookmarkStart w:id="9" w:name="Xf2f632e96f80b29dcc9118a46f5aa44735711db"/>
      <w:r>
        <w:t>8.1 Comunicação/Handover nas transições de cuidado</w:t>
      </w:r>
    </w:p>
    <w:p w14:paraId="3EE96198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Objetivo</w:t>
      </w:r>
      <w:r>
        <w:t>: garantir transferência fiel e tempestiva de informações.</w:t>
      </w:r>
    </w:p>
    <w:p w14:paraId="1A51E7BA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Quem</w:t>
      </w:r>
      <w:r>
        <w:t>: anestesiologista/Enfermagem (origem) → enfermeira(o)/médico responsável (destino).</w:t>
      </w:r>
    </w:p>
    <w:p w14:paraId="53338670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Como</w:t>
      </w:r>
      <w:r>
        <w:t>: SBAR verbal + entrega de documentação (prontuário/cheklist); confirmação de entendimento; registro do handoff.</w:t>
      </w:r>
    </w:p>
    <w:p w14:paraId="7AB9558B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Quando</w:t>
      </w:r>
      <w:r>
        <w:t>: admissão CC; CC→SRPA; SRPA→Unidade/Alta; CC/SADT→UTI/Retorno; troca de plantão.</w:t>
      </w:r>
    </w:p>
    <w:p w14:paraId="3313B40D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Evidências</w:t>
      </w:r>
      <w:r>
        <w:t>: campos obrigatórios no prontuário; checklist assinado; registro do SBAR.</w:t>
      </w:r>
    </w:p>
    <w:p w14:paraId="15EF289F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Métricas</w:t>
      </w:r>
      <w:r>
        <w:t>: % de handoffs completos; tempo de transferência; não conformidades por auditoria.</w:t>
      </w:r>
    </w:p>
    <w:p w14:paraId="12F623B2" w14:textId="77777777" w:rsidR="00D71FB5" w:rsidRDefault="00000000">
      <w:pPr>
        <w:pStyle w:val="Ttulo3"/>
      </w:pPr>
      <w:bookmarkStart w:id="10" w:name="X98b0db2816b1415f2d1cecee08946670f94a85a"/>
      <w:bookmarkEnd w:id="9"/>
      <w:r>
        <w:t>8.2 Identificação do cliente e abreviações perigosas</w:t>
      </w:r>
    </w:p>
    <w:p w14:paraId="07C42588" w14:textId="77777777" w:rsidR="00D71FB5" w:rsidRDefault="00000000">
      <w:pPr>
        <w:pStyle w:val="Compact"/>
        <w:numPr>
          <w:ilvl w:val="0"/>
          <w:numId w:val="10"/>
        </w:numPr>
      </w:pPr>
      <w:r>
        <w:t>Pulseiras/crachás com 2 identificadores; conferência ativa antes de medicações/procedimentos; lista viva de abreviações proibidas publicada na intranet e auditada.</w:t>
      </w:r>
    </w:p>
    <w:p w14:paraId="0AE078EC" w14:textId="77777777" w:rsidR="00D71FB5" w:rsidRDefault="00000000">
      <w:pPr>
        <w:pStyle w:val="Ttulo3"/>
      </w:pPr>
      <w:bookmarkStart w:id="11" w:name="conciliação-medicamentosa"/>
      <w:bookmarkEnd w:id="10"/>
      <w:r>
        <w:t>8.3 Conciliação medicamentosa</w:t>
      </w:r>
    </w:p>
    <w:p w14:paraId="608BB725" w14:textId="77777777" w:rsidR="00D71FB5" w:rsidRDefault="00000000">
      <w:pPr>
        <w:pStyle w:val="Compact"/>
        <w:numPr>
          <w:ilvl w:val="0"/>
          <w:numId w:val="11"/>
        </w:numPr>
      </w:pPr>
      <w:r>
        <w:t>Em pré-anestesia, internação, transferência e alta; uso de formulário padrão; validação de duplicidades/omissões/interações; comunicação ativa com cirurgião, enfermagem e farmácia.</w:t>
      </w:r>
    </w:p>
    <w:p w14:paraId="6AFDF63B" w14:textId="77777777" w:rsidR="00D71FB5" w:rsidRDefault="00000000">
      <w:pPr>
        <w:pStyle w:val="Ttulo3"/>
      </w:pPr>
      <w:bookmarkStart w:id="12" w:name="uso-seguro-de-medicamentos"/>
      <w:bookmarkEnd w:id="11"/>
      <w:r>
        <w:t>8.4 Uso seguro de medicamentos</w:t>
      </w:r>
    </w:p>
    <w:p w14:paraId="2BDC35F0" w14:textId="77777777" w:rsidR="00D71FB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Alta vigilância/eletrólitos/heparina/narcóticos/bombas</w:t>
      </w:r>
      <w:r>
        <w:t>: protocolos padronizados, rotulagem, dupla checagem, permissões no sistema; boletins de mudanças e reciclagens trimestrais.</w:t>
      </w:r>
    </w:p>
    <w:p w14:paraId="3A0DFF72" w14:textId="77777777" w:rsidR="00D71FB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Antimicrobianos</w:t>
      </w:r>
      <w:r>
        <w:t>: diretrizes de tempo de profilaxia e interrupção; auditorias com feedback.</w:t>
      </w:r>
    </w:p>
    <w:p w14:paraId="460D884A" w14:textId="77777777" w:rsidR="00D71FB5" w:rsidRDefault="00000000">
      <w:pPr>
        <w:pStyle w:val="Ttulo3"/>
      </w:pPr>
      <w:bookmarkStart w:id="13" w:name="vida-profissionalforça-de-trabalho"/>
      <w:bookmarkEnd w:id="12"/>
      <w:r>
        <w:lastRenderedPageBreak/>
        <w:t>8.5 Vida profissional/Força de trabalho</w:t>
      </w:r>
    </w:p>
    <w:p w14:paraId="10324A7D" w14:textId="77777777" w:rsidR="00D71FB5" w:rsidRDefault="00000000">
      <w:pPr>
        <w:pStyle w:val="Compact"/>
        <w:numPr>
          <w:ilvl w:val="0"/>
          <w:numId w:val="13"/>
        </w:numPr>
      </w:pPr>
      <w:r>
        <w:t>Plano de manutenção preventiva (equipamentos críticos); programa de treinamento continuado; fluxo de clientes e plano de segurança do paciente; prevenção de violência no trabalho (canal e apoio).</w:t>
      </w:r>
    </w:p>
    <w:p w14:paraId="74605B73" w14:textId="77777777" w:rsidR="00D71FB5" w:rsidRDefault="00000000">
      <w:pPr>
        <w:pStyle w:val="Ttulo3"/>
      </w:pPr>
      <w:bookmarkStart w:id="14" w:name="controle-de-infecção"/>
      <w:bookmarkEnd w:id="13"/>
      <w:r>
        <w:t>8.6 Controle de infecção</w:t>
      </w:r>
    </w:p>
    <w:p w14:paraId="2FA133E7" w14:textId="77777777" w:rsidR="00D71FB5" w:rsidRDefault="00000000">
      <w:pPr>
        <w:pStyle w:val="Compact"/>
        <w:numPr>
          <w:ilvl w:val="0"/>
          <w:numId w:val="14"/>
        </w:numPr>
      </w:pPr>
      <w:r>
        <w:t>Campanhas de higiene de mãos (treino + observação); reprocessamento (fluxos, rastreio, testes); boletins de surtos/ações corretivas; publicação de taxas.</w:t>
      </w:r>
    </w:p>
    <w:p w14:paraId="5650F8C3" w14:textId="77777777" w:rsidR="00D71FB5" w:rsidRDefault="00000000">
      <w:pPr>
        <w:pStyle w:val="Ttulo3"/>
      </w:pPr>
      <w:bookmarkStart w:id="15" w:name="avaliação-de-riscos"/>
      <w:bookmarkEnd w:id="14"/>
      <w:r>
        <w:t>8.7 Avaliação de riscos</w:t>
      </w:r>
    </w:p>
    <w:p w14:paraId="7B64347E" w14:textId="77777777" w:rsidR="00D71FB5" w:rsidRDefault="00000000">
      <w:pPr>
        <w:pStyle w:val="Compact"/>
        <w:numPr>
          <w:ilvl w:val="0"/>
          <w:numId w:val="15"/>
        </w:numPr>
      </w:pPr>
      <w:r>
        <w:t xml:space="preserve">Protocolos e comunicação de </w:t>
      </w:r>
      <w:r>
        <w:rPr>
          <w:b/>
          <w:bCs/>
        </w:rPr>
        <w:t>quedas</w:t>
      </w:r>
      <w:r>
        <w:t xml:space="preserve">, </w:t>
      </w:r>
      <w:r>
        <w:rPr>
          <w:b/>
          <w:bCs/>
        </w:rPr>
        <w:t>UPP</w:t>
      </w:r>
      <w:r>
        <w:t xml:space="preserve">, </w:t>
      </w:r>
      <w:r>
        <w:rPr>
          <w:b/>
          <w:bCs/>
        </w:rPr>
        <w:t>TEV</w:t>
      </w:r>
      <w:r>
        <w:t xml:space="preserve">, </w:t>
      </w:r>
      <w:r>
        <w:rPr>
          <w:b/>
          <w:bCs/>
        </w:rPr>
        <w:t>suicídio</w:t>
      </w:r>
      <w:r>
        <w:t xml:space="preserve"> (quando aplicável) e </w:t>
      </w:r>
      <w:r>
        <w:rPr>
          <w:b/>
          <w:bCs/>
        </w:rPr>
        <w:t>risco domiciliar</w:t>
      </w:r>
      <w:r>
        <w:t>; escalas padronizadas; plano de cuidado + educação do paciente/cuidador.</w:t>
      </w:r>
    </w:p>
    <w:p w14:paraId="4E3EB5F1" w14:textId="77777777" w:rsidR="00D71FB5" w:rsidRDefault="00000000">
      <w:pPr>
        <w:pStyle w:val="Ttulo2"/>
      </w:pPr>
      <w:bookmarkStart w:id="16" w:name="indicadores-e-metas-sugeridos"/>
      <w:bookmarkEnd w:id="8"/>
      <w:bookmarkEnd w:id="15"/>
      <w:r>
        <w:t>9) Indicadores e metas (sugeridos)</w:t>
      </w:r>
    </w:p>
    <w:p w14:paraId="56D6B53E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Handoffs completos nas transições</w:t>
      </w:r>
      <w:r>
        <w:t xml:space="preserve"> ≥ 90%; </w:t>
      </w:r>
      <w:r>
        <w:rPr>
          <w:b/>
          <w:bCs/>
        </w:rPr>
        <w:t>tempo de handoff</w:t>
      </w:r>
      <w:r>
        <w:t xml:space="preserve"> dentro do alvo.</w:t>
      </w:r>
    </w:p>
    <w:p w14:paraId="05F3EB6F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Adesão à identificação correta</w:t>
      </w:r>
      <w:r>
        <w:t xml:space="preserve"> ≥ 99% (auditoria amostral).</w:t>
      </w:r>
    </w:p>
    <w:p w14:paraId="799BC7FA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Conciliação medicamentosa</w:t>
      </w:r>
      <w:r>
        <w:t xml:space="preserve"> completa ≥ 95% nas etapas previstas.</w:t>
      </w:r>
    </w:p>
    <w:p w14:paraId="6853CD09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Adesão à higiene de mãos</w:t>
      </w:r>
      <w:r>
        <w:t xml:space="preserve"> ≥ meta institucional.</w:t>
      </w:r>
    </w:p>
    <w:p w14:paraId="71EDBED7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Notificações de incidentes/quase-erros</w:t>
      </w:r>
      <w:r>
        <w:t>: tendência de alta (ambiente seguro para reportar) + tempo de tratamento do incidente.</w:t>
      </w:r>
    </w:p>
    <w:p w14:paraId="48BF1F83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Disclosure</w:t>
      </w:r>
      <w:r>
        <w:t>: iniciado em até 24–48h quando aplicável; registro e devolutiva ao paciente/família.</w:t>
      </w:r>
    </w:p>
    <w:p w14:paraId="6728C386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Treinamento</w:t>
      </w:r>
      <w:r>
        <w:t>: ≥ 95% do time treinado/ano em módulos mandatórios.</w:t>
      </w:r>
    </w:p>
    <w:p w14:paraId="21E1CAD7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Engajamento</w:t>
      </w:r>
      <w:r>
        <w:t>: presença em reuniões ≥ 80%; leitura do boletim ≥ 70%.</w:t>
      </w:r>
    </w:p>
    <w:p w14:paraId="6E2F67CE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Painel clínico</w:t>
      </w:r>
      <w:r>
        <w:t>: indicadores assistenciais do serviço (ex.: PONV, hipotermia, dor, via aérea difícil, UTI não planejada, profilaxia antimicrobiana etc.).</w:t>
      </w:r>
    </w:p>
    <w:p w14:paraId="2BAE318A" w14:textId="77777777" w:rsidR="00D71FB5" w:rsidRDefault="00000000">
      <w:pPr>
        <w:pStyle w:val="Ttulo2"/>
      </w:pPr>
      <w:bookmarkStart w:id="17" w:name="templates-e-artefatos"/>
      <w:bookmarkEnd w:id="16"/>
      <w:r>
        <w:t>10) Templates e artefatos</w:t>
      </w:r>
    </w:p>
    <w:p w14:paraId="54AF3D98" w14:textId="77777777" w:rsidR="00D71FB5" w:rsidRDefault="00000000">
      <w:pPr>
        <w:pStyle w:val="Compact"/>
        <w:numPr>
          <w:ilvl w:val="0"/>
          <w:numId w:val="17"/>
        </w:numPr>
      </w:pPr>
      <w:r>
        <w:t>Política de comunicação interna; POP de handoff (SBAR) com checklist; formulário de conciliação; lista de abreviações proibidas; POP de identificação do paciente; checklists de cirurgia segura; guia de disclosure; formulário de notificação de incidentes/quase-erros; pauta de reunião M&amp;M; boletim interno; comunicado de recall; roteiro de treinamento; fluxos de reprocessamento.</w:t>
      </w:r>
    </w:p>
    <w:p w14:paraId="61DACE7A" w14:textId="77777777" w:rsidR="00D71FB5" w:rsidRDefault="00000000">
      <w:pPr>
        <w:pStyle w:val="Ttulo2"/>
      </w:pPr>
      <w:bookmarkStart w:id="18" w:name="cronograma-de-implantação-306090-dias"/>
      <w:bookmarkEnd w:id="17"/>
      <w:r>
        <w:lastRenderedPageBreak/>
        <w:t>11) Cronograma de implantação (30/60/90 dias)</w:t>
      </w:r>
    </w:p>
    <w:p w14:paraId="22300B7E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0–30</w:t>
      </w:r>
      <w:r>
        <w:t>: nomear owners por ROP; publicar política; ativar intranet; aprovar templates; iniciar huddles diários; campanha Identificação do Paciente + Lista de Abreviações.</w:t>
      </w:r>
    </w:p>
    <w:p w14:paraId="2835AD34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31–60</w:t>
      </w:r>
      <w:r>
        <w:t>: treinar SBAR/handover, conciliação e medicações de alto risco; publicar 1º boletim semanal; implantar painel de indicadores; primeira reunião M&amp;M.</w:t>
      </w:r>
    </w:p>
    <w:p w14:paraId="2E4261DC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61–90</w:t>
      </w:r>
      <w:r>
        <w:t>: rodar auditorias de conformidade; ajustar POPs; publicar 1º Relatório Trimestral de Segurança; workshop de lições aprendidas.</w:t>
      </w:r>
    </w:p>
    <w:p w14:paraId="43B0F0B7" w14:textId="77777777" w:rsidR="00D71FB5" w:rsidRDefault="00000000">
      <w:pPr>
        <w:pStyle w:val="Ttulo2"/>
      </w:pPr>
      <w:bookmarkStart w:id="19" w:name="anexos"/>
      <w:bookmarkEnd w:id="18"/>
      <w:r>
        <w:t>12) Anexos</w:t>
      </w:r>
    </w:p>
    <w:p w14:paraId="760F745E" w14:textId="77777777" w:rsidR="00D71FB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Mapa ROP ↔ comunicação</w:t>
      </w:r>
      <w:r>
        <w:t>: tabela que relaciona cada ROP às mensagens-chave, canais, evidências e KPIs.</w:t>
      </w:r>
    </w:p>
    <w:p w14:paraId="49F03CD3" w14:textId="77777777" w:rsidR="00D71FB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Glossário e siglas</w:t>
      </w:r>
      <w:r>
        <w:t>.</w:t>
      </w:r>
    </w:p>
    <w:p w14:paraId="205A3C1A" w14:textId="77777777" w:rsidR="00D71FB5" w:rsidRDefault="0099066E">
      <w:r>
        <w:rPr>
          <w:noProof/>
        </w:rPr>
        <w:pict w14:anchorId="4E9A3989">
          <v:rect id="_x0000_i1025" alt="" style="width:425.2pt;height:.05pt;mso-width-percent:0;mso-height-percent:0;mso-width-percent:0;mso-height-percent:0" o:hralign="center" o:hrstd="t" o:hr="t"/>
        </w:pict>
      </w:r>
    </w:p>
    <w:p w14:paraId="40C075EE" w14:textId="77777777" w:rsidR="00D71FB5" w:rsidRDefault="00000000">
      <w:pPr>
        <w:pStyle w:val="FirstParagraph"/>
      </w:pPr>
      <w:r>
        <w:rPr>
          <w:b/>
          <w:bCs/>
        </w:rPr>
        <w:t>Observação</w:t>
      </w:r>
      <w:r>
        <w:t>: Este plano está alinhado às categorias de ROPs do Qmentum e às seções do manual específico para Serviços de Anestesiologia. Os detalhes (nomes de campos, formulários, metas internas) podem ser ajustados para refletir o prontuário/equipamentos/plataformas locais (MV, AXReg, Volan etc.).</w:t>
      </w:r>
    </w:p>
    <w:p w14:paraId="3279060D" w14:textId="77777777" w:rsidR="00D71FB5" w:rsidRDefault="00000000">
      <w:pPr>
        <w:pStyle w:val="Ttulo2"/>
      </w:pPr>
      <w:bookmarkStart w:id="20" w:name="X54b9b5c3ca5fb55eaf5dd2c8c6341f4df4247bd"/>
      <w:bookmarkEnd w:id="19"/>
      <w:r>
        <w:t>13) Enquadramento das ROPs no Plano 2025–2026 (base: “Planos Anest 2025–2026.pdf”)</w:t>
      </w:r>
    </w:p>
    <w:p w14:paraId="4B715DC1" w14:textId="77777777" w:rsidR="002F296D" w:rsidRDefault="00000000">
      <w:pPr>
        <w:pStyle w:val="FirstParagraph"/>
      </w:pPr>
      <w:r>
        <w:rPr>
          <w:b/>
          <w:bCs/>
        </w:rPr>
        <w:t>Objetivos estratégicos do plano 2025–2026 (extraídos do documento-base):</w:t>
      </w:r>
      <w:r>
        <w:t xml:space="preserve"> </w:t>
      </w:r>
    </w:p>
    <w:p w14:paraId="7D161A82" w14:textId="77777777" w:rsidR="002F296D" w:rsidRDefault="00000000">
      <w:pPr>
        <w:pStyle w:val="FirstParagraph"/>
      </w:pPr>
      <w:r>
        <w:t xml:space="preserve">1. </w:t>
      </w:r>
      <w:r>
        <w:rPr>
          <w:b/>
          <w:bCs/>
        </w:rPr>
        <w:t>Promover a participação ativa do paciente</w:t>
      </w:r>
      <w:r>
        <w:t xml:space="preserve"> na decisão da técnica e no cuidado perioperatório. </w:t>
      </w:r>
    </w:p>
    <w:p w14:paraId="34A752EB" w14:textId="77777777" w:rsidR="002F296D" w:rsidRDefault="00000000">
      <w:pPr>
        <w:pStyle w:val="FirstParagraph"/>
      </w:pPr>
      <w:r>
        <w:t xml:space="preserve">2. </w:t>
      </w:r>
      <w:r>
        <w:rPr>
          <w:b/>
          <w:bCs/>
        </w:rPr>
        <w:t>Assegurar que pacientes e familiares recebam informações claras</w:t>
      </w:r>
      <w:r>
        <w:t xml:space="preserve"> e compreensíveis sobre o procedimento anestésico. </w:t>
      </w:r>
    </w:p>
    <w:p w14:paraId="2C170B7D" w14:textId="77777777" w:rsidR="002F296D" w:rsidRDefault="00000000">
      <w:pPr>
        <w:pStyle w:val="FirstParagraph"/>
      </w:pPr>
      <w:r>
        <w:t xml:space="preserve">3. </w:t>
      </w:r>
      <w:r>
        <w:rPr>
          <w:b/>
          <w:bCs/>
        </w:rPr>
        <w:t>Otimizar a comunicação entre profissionais e setores</w:t>
      </w:r>
      <w:r>
        <w:t xml:space="preserve"> da ANEST, fortalecendo colaboração e segurança. </w:t>
      </w:r>
    </w:p>
    <w:p w14:paraId="67E9EB59" w14:textId="1224E2A2" w:rsidR="00D71FB5" w:rsidRDefault="00000000">
      <w:pPr>
        <w:pStyle w:val="FirstParagraph"/>
      </w:pPr>
      <w:r>
        <w:t xml:space="preserve">4. </w:t>
      </w:r>
      <w:r>
        <w:rPr>
          <w:b/>
          <w:bCs/>
        </w:rPr>
        <w:t>Consolidar a imagem institucional</w:t>
      </w:r>
      <w:r>
        <w:t xml:space="preserve"> como referência em anestesiologia segura, eficiente e transparente.</w:t>
      </w:r>
    </w:p>
    <w:p w14:paraId="13F6B23E" w14:textId="77777777" w:rsidR="00D71FB5" w:rsidRDefault="00000000">
      <w:pPr>
        <w:pStyle w:val="Textoembloco"/>
      </w:pPr>
      <w:r>
        <w:t xml:space="preserve">Abaixo, cada ROP é “enquadrada” nessas diretrizes, usando o esqueleto do </w:t>
      </w:r>
      <w:r>
        <w:rPr>
          <w:i/>
          <w:iCs/>
        </w:rPr>
        <w:t>Modelo de Plano de Comunicação</w:t>
      </w:r>
      <w:r>
        <w:t xml:space="preserve"> (Objetivo → Público-alvo → Mensagens-chave → Estratégias/Canais → Prazo → Resultados/Medidas → Metas → Responsável).</w:t>
      </w:r>
    </w:p>
    <w:p w14:paraId="7A20A021" w14:textId="77777777" w:rsidR="00D71FB5" w:rsidRDefault="00000000">
      <w:pPr>
        <w:pStyle w:val="Ttulo3"/>
      </w:pPr>
      <w:bookmarkStart w:id="21" w:name="cultura-de-segurança"/>
      <w:r>
        <w:lastRenderedPageBreak/>
        <w:t>13.1 Cultura de Segurança</w:t>
      </w:r>
    </w:p>
    <w:p w14:paraId="47153A12" w14:textId="77777777" w:rsidR="002F296D" w:rsidRDefault="00000000">
      <w:pPr>
        <w:pStyle w:val="FirstParagraph"/>
      </w:pPr>
      <w:r>
        <w:rPr>
          <w:b/>
          <w:bCs/>
        </w:rPr>
        <w:t>Responsabilização pela qualidade; Gestão/Relatórios/Divulgação de incidentes</w:t>
      </w:r>
      <w:r>
        <w:t xml:space="preserve"> </w:t>
      </w:r>
    </w:p>
    <w:p w14:paraId="02C3215C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(3) Otimizar a comunicação intersetorial e (4) consolidar imagem transparente. </w:t>
      </w:r>
    </w:p>
    <w:p w14:paraId="5EC9F9B8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todo o time assistencial e administrativo; lideranças; residentes. </w:t>
      </w:r>
    </w:p>
    <w:p w14:paraId="3A808CF9" w14:textId="1CA771EB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“Notificar é cuidar”; cultura justa; aprendizagem com quase-erros; devolutivas rápidas. </w:t>
      </w:r>
    </w:p>
    <w:p w14:paraId="4B2AB285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huddles diários; boletim semanal de segurança; </w:t>
      </w:r>
      <w:r>
        <w:rPr>
          <w:i/>
          <w:iCs/>
        </w:rPr>
        <w:t>M&amp;M</w:t>
      </w:r>
      <w:r>
        <w:t xml:space="preserve"> mensal; </w:t>
      </w:r>
      <w:r>
        <w:rPr>
          <w:b/>
          <w:bCs/>
        </w:rPr>
        <w:t>Relatório Trimestral de Segurança</w:t>
      </w:r>
      <w:r>
        <w:t xml:space="preserve"> na intranet; canal AxReg para incidentes; fluxos de disclosure. </w:t>
      </w:r>
    </w:p>
    <w:p w14:paraId="3BB0504D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2B44FE16" w14:textId="10D44D90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padronizar huddle e boletim; publicar política de disclosure. </w:t>
      </w:r>
    </w:p>
    <w:p w14:paraId="46B22CD8" w14:textId="77777777" w:rsidR="002F296D" w:rsidRDefault="00000000" w:rsidP="002F296D">
      <w:pPr>
        <w:pStyle w:val="FirstParagraph"/>
        <w:ind w:left="720"/>
      </w:pPr>
      <w:r>
        <w:t xml:space="preserve">- </w:t>
      </w:r>
      <w:r>
        <w:rPr>
          <w:b/>
          <w:bCs/>
        </w:rPr>
        <w:t>2025 Q2–Q4:</w:t>
      </w:r>
      <w:r>
        <w:t xml:space="preserve"> rodar M&amp;M mensais e relatórios trimestrais; campanhas “Aprendizados do Trimestre”. </w:t>
      </w:r>
    </w:p>
    <w:p w14:paraId="2F4F2269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manter cadência; revisão anual das lições aprendidas.</w:t>
      </w:r>
    </w:p>
    <w:p w14:paraId="05E3586E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nº de notificações (↑); % incidentes com análise concluída; tempo de devolutiva; reuniões realizadas vs. previstas. </w:t>
      </w:r>
    </w:p>
    <w:p w14:paraId="67E2141A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≥90% planos de ação concluídos no prazo; 100% relatórios trimestrais publicados; ≤30 dias para devolutiva de disclosure. </w:t>
      </w:r>
    </w:p>
    <w:p w14:paraId="50AC0740" w14:textId="7DC41EE4" w:rsidR="00D71FB5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de Qualidade e Segurança + Líder de Cultura de Segurança.</w:t>
      </w:r>
    </w:p>
    <w:p w14:paraId="729F066D" w14:textId="77777777" w:rsidR="00D71FB5" w:rsidRDefault="00000000">
      <w:pPr>
        <w:pStyle w:val="Ttulo3"/>
      </w:pPr>
      <w:bookmarkStart w:id="22" w:name="comunicação"/>
      <w:bookmarkEnd w:id="21"/>
      <w:r>
        <w:t>13.2 Comunicação</w:t>
      </w:r>
    </w:p>
    <w:p w14:paraId="5325C9AC" w14:textId="77777777" w:rsidR="002F296D" w:rsidRDefault="00000000">
      <w:pPr>
        <w:pStyle w:val="FirstParagraph"/>
      </w:pPr>
      <w:r>
        <w:rPr>
          <w:b/>
          <w:bCs/>
        </w:rPr>
        <w:t>Identificação do cliente; Abreviações perigosas; Conciliação medicamentosa; Cirurgia segura; Handoff (transições)</w:t>
      </w:r>
      <w:r>
        <w:t xml:space="preserve"> </w:t>
      </w:r>
    </w:p>
    <w:p w14:paraId="5980EC5B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(2) Informações claras ao paciente/família; (3) otimizar comunicação entre equipes. </w:t>
      </w:r>
    </w:p>
    <w:p w14:paraId="6E37F85B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anestesiologistas; enfermagem CC/SRPA; equipes cirúrgicas; farmácia clínica. </w:t>
      </w:r>
    </w:p>
    <w:p w14:paraId="4C3F083E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2 identificadores SEMPRE; proibição de abreviações perigosas; SBAR em toda transição; checklist de cirurgia segura 100%; conciliação nas etapas definidas. </w:t>
      </w:r>
    </w:p>
    <w:p w14:paraId="4F0639A8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</w:t>
      </w:r>
    </w:p>
    <w:p w14:paraId="4864257A" w14:textId="77777777" w:rsidR="002F296D" w:rsidRDefault="00000000" w:rsidP="002F296D">
      <w:pPr>
        <w:pStyle w:val="FirstParagraph"/>
        <w:ind w:firstLine="720"/>
      </w:pPr>
      <w:r>
        <w:lastRenderedPageBreak/>
        <w:t xml:space="preserve">- Cartazes e </w:t>
      </w:r>
      <w:r>
        <w:rPr>
          <w:i/>
          <w:iCs/>
        </w:rPr>
        <w:t>pop-ups</w:t>
      </w:r>
      <w:r>
        <w:t xml:space="preserve"> no prontuário (MV/Volan) sobre </w:t>
      </w:r>
      <w:r>
        <w:rPr>
          <w:b/>
          <w:bCs/>
        </w:rPr>
        <w:t>2 identificadores</w:t>
      </w:r>
      <w:r>
        <w:t xml:space="preserve"> e </w:t>
      </w:r>
      <w:r>
        <w:rPr>
          <w:b/>
          <w:bCs/>
        </w:rPr>
        <w:t>abreviações proibidas</w:t>
      </w:r>
      <w:r>
        <w:t xml:space="preserve">; </w:t>
      </w:r>
    </w:p>
    <w:p w14:paraId="3BE64967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SBAR</w:t>
      </w:r>
      <w:r>
        <w:t xml:space="preserve"> obrigatório no CC→SRPA e SRPA→Unidade (campo estruturado no prontuário); - </w:t>
      </w:r>
      <w:r>
        <w:rPr>
          <w:i/>
          <w:iCs/>
        </w:rPr>
        <w:t>Time-out</w:t>
      </w:r>
      <w:r>
        <w:t xml:space="preserve"> e </w:t>
      </w:r>
      <w:r>
        <w:rPr>
          <w:i/>
          <w:iCs/>
        </w:rPr>
        <w:t>sign-out</w:t>
      </w:r>
      <w:r>
        <w:t xml:space="preserve"> com checagem de profilaxia antimicrobiana; </w:t>
      </w:r>
    </w:p>
    <w:p w14:paraId="746928AF" w14:textId="78FA784E" w:rsidR="002F296D" w:rsidRDefault="00000000" w:rsidP="002F296D">
      <w:pPr>
        <w:pStyle w:val="FirstParagraph"/>
        <w:ind w:firstLine="720"/>
      </w:pPr>
      <w:r>
        <w:t xml:space="preserve">- Formulário de </w:t>
      </w:r>
      <w:r>
        <w:rPr>
          <w:b/>
          <w:bCs/>
        </w:rPr>
        <w:t>conciliação</w:t>
      </w:r>
      <w:r>
        <w:t xml:space="preserve"> na pré-anestesia/internação/alta; </w:t>
      </w:r>
    </w:p>
    <w:p w14:paraId="264FB509" w14:textId="77777777" w:rsidR="002F296D" w:rsidRDefault="00000000" w:rsidP="002F296D">
      <w:pPr>
        <w:pStyle w:val="FirstParagraph"/>
        <w:ind w:firstLine="720"/>
      </w:pPr>
      <w:r>
        <w:t xml:space="preserve">- Treinamentos trimestrais e auditorias rápidas (5-why para falhas recorrentes). </w:t>
      </w:r>
    </w:p>
    <w:p w14:paraId="13589C73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65D8A22A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publicar lista de abreviações proibidas e POP de identificação; inserir SBAR no prontuário. </w:t>
      </w:r>
    </w:p>
    <w:p w14:paraId="0E6AA5CA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Q2–Q3:</w:t>
      </w:r>
      <w:r>
        <w:t xml:space="preserve"> treinar 100% dos times; iniciar auditorias mensais. </w:t>
      </w:r>
    </w:p>
    <w:p w14:paraId="055F94FE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Q4–2026:</w:t>
      </w:r>
      <w:r>
        <w:t xml:space="preserve"> manter melhoria contínua; reforços focados por achados de auditoria. </w:t>
      </w:r>
    </w:p>
    <w:p w14:paraId="383DB50C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% conformidade 2 identificadores; % handoffs com SBAR completo; % cirurgias com checklist íntegro; % conciliações completas. </w:t>
      </w:r>
    </w:p>
    <w:p w14:paraId="5AFFC527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Identificação ≥99%; Handoff completo ≥90%; Checklist ≥95%; Conciliação ≥95%. </w:t>
      </w:r>
    </w:p>
    <w:p w14:paraId="59C67E2E" w14:textId="3257525F" w:rsidR="00D71FB5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Assistencial + Líder de Comunicação (ROP) + Enfermagem CC/SRPA + Farmácia.</w:t>
      </w:r>
    </w:p>
    <w:p w14:paraId="2EE38AD8" w14:textId="77777777" w:rsidR="00D71FB5" w:rsidRDefault="00000000">
      <w:pPr>
        <w:pStyle w:val="Ttulo3"/>
      </w:pPr>
      <w:bookmarkStart w:id="23" w:name="uso-de-medicamentos"/>
      <w:bookmarkEnd w:id="22"/>
      <w:r>
        <w:t>13.3 Uso de Medicamentos</w:t>
      </w:r>
    </w:p>
    <w:p w14:paraId="6ACD5F03" w14:textId="77777777" w:rsidR="007A4E18" w:rsidRDefault="00000000">
      <w:pPr>
        <w:pStyle w:val="FirstParagraph"/>
      </w:pPr>
      <w:r>
        <w:rPr>
          <w:b/>
          <w:bCs/>
        </w:rPr>
        <w:t>Antimicrobianos; Eletrólitos concentrados; Heparina; Alta vigilância; Bombas de infusão; Narcóticos</w:t>
      </w:r>
      <w:r>
        <w:t xml:space="preserve"> </w:t>
      </w:r>
    </w:p>
    <w:p w14:paraId="455BFBDD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(1) Participação ativa do paciente (informar riscos/benefícios); (3) comunicação segura entre equipes. </w:t>
      </w:r>
    </w:p>
    <w:p w14:paraId="7001E975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anestesia; enfermagem; farmácia; engenharia clínica (bombas). </w:t>
      </w:r>
    </w:p>
    <w:p w14:paraId="2EB50D5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medicações de alta vigilância com dupla checagem; rotulagem padronizada; rastreabilidade de bombas; stewardship antimicrobiano; controle rigoroso de narcóticos. </w:t>
      </w:r>
    </w:p>
    <w:p w14:paraId="5DC80D90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protocolos na intranet; etiquetas padronizadas; </w:t>
      </w:r>
      <w:r>
        <w:rPr>
          <w:i/>
          <w:iCs/>
        </w:rPr>
        <w:t>lockouts</w:t>
      </w:r>
      <w:r>
        <w:t xml:space="preserve"> nas bombas; checagem independente para heparina/eletrólitos; auditorias de estoques e reconciliação de narcóticos; boletins de farmacovigilância. </w:t>
      </w:r>
    </w:p>
    <w:p w14:paraId="1D6528D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70F4FC4D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revisar e publicar protocolos críticos; inventário e rotulagem. </w:t>
      </w:r>
    </w:p>
    <w:p w14:paraId="268CB460" w14:textId="77777777" w:rsidR="007A4E18" w:rsidRDefault="00000000" w:rsidP="007A4E18">
      <w:pPr>
        <w:pStyle w:val="FirstParagraph"/>
        <w:ind w:firstLine="720"/>
      </w:pPr>
      <w:r>
        <w:lastRenderedPageBreak/>
        <w:t xml:space="preserve">- </w:t>
      </w:r>
      <w:r>
        <w:rPr>
          <w:b/>
          <w:bCs/>
        </w:rPr>
        <w:t>2025 Q2–Q3:</w:t>
      </w:r>
      <w:r>
        <w:t xml:space="preserve"> treinamentos práticos em bombas; iniciar </w:t>
      </w:r>
      <w:r>
        <w:rPr>
          <w:i/>
          <w:iCs/>
        </w:rPr>
        <w:t>rounds</w:t>
      </w:r>
      <w:r>
        <w:t xml:space="preserve"> de farmácia clínica no CC. </w:t>
      </w:r>
    </w:p>
    <w:p w14:paraId="70218BDA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Q4–2026:</w:t>
      </w:r>
      <w:r>
        <w:t xml:space="preserve"> ciclos PDSA por problema/alerta; integração com incidentes. </w:t>
      </w:r>
    </w:p>
    <w:p w14:paraId="406A1216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erros de medicação por 1.000 atos; adesão a dupla checagem; tempo adequado de profilaxia; desvios de narcóticos. </w:t>
      </w:r>
    </w:p>
    <w:p w14:paraId="22D015F2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reduzir ≥30% erros de medicação em 12 meses; 100% dupla checagem em alta vigilância; zero desvio não justificado de narcóticos. </w:t>
      </w:r>
    </w:p>
    <w:p w14:paraId="6A525C07" w14:textId="404499E1" w:rsidR="00D71FB5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Farmácia Clínica + Coordenação de Anestesia + Engenharia Clínica.</w:t>
      </w:r>
    </w:p>
    <w:p w14:paraId="74A17765" w14:textId="77777777" w:rsidR="00D71FB5" w:rsidRDefault="00000000">
      <w:pPr>
        <w:pStyle w:val="Ttulo3"/>
      </w:pPr>
      <w:bookmarkStart w:id="24" w:name="vida-profissional-força-de-trabalho"/>
      <w:bookmarkEnd w:id="23"/>
      <w:r>
        <w:t>13.4 Vida Profissional / Força de Trabalho</w:t>
      </w:r>
    </w:p>
    <w:p w14:paraId="631A4759" w14:textId="77777777" w:rsidR="007A4E18" w:rsidRDefault="00000000">
      <w:pPr>
        <w:pStyle w:val="FirstParagraph"/>
      </w:pPr>
      <w:r>
        <w:rPr>
          <w:b/>
          <w:bCs/>
        </w:rPr>
        <w:t>Manutenção preventiva; Treinamento; Prevenção de violência; Fluxo de clientes; Plano de segurança do paciente</w:t>
      </w:r>
      <w:r>
        <w:t xml:space="preserve"> </w:t>
      </w:r>
    </w:p>
    <w:p w14:paraId="08CE959D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(3) Otimizar comunicação intersetorial; (4) imagem institucional forte. </w:t>
      </w:r>
    </w:p>
    <w:p w14:paraId="70648166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todo o quadro; segurança patrimonial; RH. </w:t>
      </w:r>
    </w:p>
    <w:p w14:paraId="590BBBB4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equipamentos críticos mantidos; equipe capacitada; tolerância zero à violência; fluxo do paciente claro. </w:t>
      </w:r>
    </w:p>
    <w:p w14:paraId="7D12615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cronograma de manutenção publicado; trilhas de treinamento (LGPD, disclosure, bombas, segurança do paciente); campanha anti-violência com canal confidencial; fluxos visuais do percurso do paciente. </w:t>
      </w:r>
    </w:p>
    <w:p w14:paraId="0039E3AE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7ECB5034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Q1–Q2:</w:t>
      </w:r>
      <w:r>
        <w:t xml:space="preserve"> publicar plano de manutenção; iniciar trilhas obrigatórias. </w:t>
      </w:r>
    </w:p>
    <w:p w14:paraId="612F8558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Q3–Q4:</w:t>
      </w:r>
      <w:r>
        <w:t xml:space="preserve"> avaliação de clima/segurança; ajustes; comunicação de resultados. </w:t>
      </w:r>
    </w:p>
    <w:p w14:paraId="7168D27F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continuidade + novas competências conforme tecnologias/evidências. </w:t>
      </w:r>
    </w:p>
    <w:p w14:paraId="4FD9CCAB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% manutenção em dia; % cobertura de treinamentos; incidentes de violência; tempo de passagem por etapas do fluxo. </w:t>
      </w:r>
    </w:p>
    <w:p w14:paraId="5EBEFB8C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≥95% manutenção preventiva em dia; ≥95% cobertura anual de treinamentos; incidentes de violência = 0 eventos com lesão. </w:t>
      </w:r>
    </w:p>
    <w:p w14:paraId="716E4B62" w14:textId="718D8F4A" w:rsidR="00D71FB5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Técnica + Engenharia Clínica + RH/Segurança.</w:t>
      </w:r>
    </w:p>
    <w:p w14:paraId="2F4EEBCF" w14:textId="77777777" w:rsidR="00D71FB5" w:rsidRDefault="00000000">
      <w:pPr>
        <w:pStyle w:val="Ttulo3"/>
      </w:pPr>
      <w:bookmarkStart w:id="25" w:name="controle-de-infecção-1"/>
      <w:bookmarkEnd w:id="24"/>
      <w:r>
        <w:t>13.5 Controle de Infecção</w:t>
      </w:r>
    </w:p>
    <w:p w14:paraId="2756573B" w14:textId="77777777" w:rsidR="007A4E18" w:rsidRDefault="00000000">
      <w:pPr>
        <w:pStyle w:val="FirstParagraph"/>
      </w:pPr>
      <w:r>
        <w:rPr>
          <w:b/>
          <w:bCs/>
        </w:rPr>
        <w:t>Higiene de mãos; Reprocessamento; Taxas de infecção</w:t>
      </w:r>
      <w:r>
        <w:t xml:space="preserve"> </w:t>
      </w:r>
    </w:p>
    <w:p w14:paraId="32837F47" w14:textId="77777777" w:rsidR="007A4E18" w:rsidRDefault="00000000">
      <w:pPr>
        <w:pStyle w:val="FirstParagraph"/>
      </w:pPr>
      <w:r>
        <w:lastRenderedPageBreak/>
        <w:t xml:space="preserve">- </w:t>
      </w:r>
      <w:r>
        <w:rPr>
          <w:b/>
          <w:bCs/>
        </w:rPr>
        <w:t>Objetivo 2025–2026:</w:t>
      </w:r>
      <w:r>
        <w:t xml:space="preserve"> (3) Comunicação efetiva sobre barreiras de infecção; (4) imagem segura. </w:t>
      </w:r>
    </w:p>
    <w:p w14:paraId="6CC78955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CC, SRPA/CRPA, CME, PCI. </w:t>
      </w:r>
    </w:p>
    <w:p w14:paraId="3502347B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“5 momentos” obrigatórios; reprocessamento rastreável; vigilância transparente. </w:t>
      </w:r>
    </w:p>
    <w:p w14:paraId="23DA130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auditorias observacionais; </w:t>
      </w:r>
      <w:r>
        <w:rPr>
          <w:i/>
          <w:iCs/>
        </w:rPr>
        <w:t>feedback</w:t>
      </w:r>
      <w:r>
        <w:t xml:space="preserve"> por sala; </w:t>
      </w:r>
      <w:r>
        <w:rPr>
          <w:i/>
          <w:iCs/>
        </w:rPr>
        <w:t>dashboards</w:t>
      </w:r>
      <w:r>
        <w:t xml:space="preserve"> de taxas; </w:t>
      </w:r>
      <w:r>
        <w:rPr>
          <w:i/>
          <w:iCs/>
        </w:rPr>
        <w:t>alerts</w:t>
      </w:r>
      <w:r>
        <w:t xml:space="preserve"> de não conformidade de reprocessamento; reciclagens semestrais. </w:t>
      </w:r>
    </w:p>
    <w:p w14:paraId="5D28600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ciclos trimestrais de campanha + auditoria + feedback (2025–2026). </w:t>
      </w:r>
    </w:p>
    <w:p w14:paraId="4397EBC4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adesão à higiene de mãos; não conformidades em reprocessamento; taxas de IACS. </w:t>
      </w:r>
    </w:p>
    <w:p w14:paraId="4D51334A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higiene de mãos ≥ meta institucional (ex.: ≥85%); zero reprocessamento fora de padrão. </w:t>
      </w:r>
    </w:p>
    <w:p w14:paraId="01B92BC3" w14:textId="363C95F2" w:rsidR="00D71FB5" w:rsidRDefault="00000000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PCI + Enfermagem CC/SRPA + CME.</w:t>
      </w:r>
    </w:p>
    <w:p w14:paraId="37D076DC" w14:textId="77777777" w:rsidR="00D71FB5" w:rsidRDefault="00000000">
      <w:pPr>
        <w:pStyle w:val="Ttulo3"/>
      </w:pPr>
      <w:bookmarkStart w:id="26" w:name="avaliação-do-grau-de-risco"/>
      <w:bookmarkEnd w:id="25"/>
      <w:r>
        <w:t>13.6 Avaliação do Grau de Risco</w:t>
      </w:r>
    </w:p>
    <w:p w14:paraId="34DD0623" w14:textId="77777777" w:rsidR="007A4E18" w:rsidRDefault="00000000">
      <w:pPr>
        <w:pStyle w:val="FirstParagraph"/>
      </w:pPr>
      <w:r>
        <w:rPr>
          <w:b/>
          <w:bCs/>
        </w:rPr>
        <w:t>Quedas; UPP; TEV; Prevenção de suicídio; Risco domiciliar; Tratamento de pele e feridas</w:t>
      </w:r>
      <w:r>
        <w:t xml:space="preserve"> </w:t>
      </w:r>
    </w:p>
    <w:p w14:paraId="4A6779C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(1) Engajar o paciente/família; (2) garantir informações claras e plano de cuidado compreensível. </w:t>
      </w:r>
    </w:p>
    <w:p w14:paraId="129D2177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pacientes/familiares; equipes assistenciais; fisioterapia. </w:t>
      </w:r>
    </w:p>
    <w:p w14:paraId="3BA9BCBC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avaliação padronizada de risco; medidas preventivas visíveis; orientações de alta em linguagem simples. </w:t>
      </w:r>
    </w:p>
    <w:p w14:paraId="7D6F090E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escalas de risco no prontuário; </w:t>
      </w:r>
      <w:r>
        <w:rPr>
          <w:i/>
          <w:iCs/>
        </w:rPr>
        <w:t>bundles</w:t>
      </w:r>
      <w:r>
        <w:t xml:space="preserve"> de prevenção (quedas/UPP/TEV); material educativo de alta; </w:t>
      </w:r>
      <w:r>
        <w:rPr>
          <w:i/>
          <w:iCs/>
        </w:rPr>
        <w:t>check-back</w:t>
      </w:r>
      <w:r>
        <w:t xml:space="preserve"> de entendimento. </w:t>
      </w:r>
    </w:p>
    <w:p w14:paraId="57C72987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6BC2DF7E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publicar bundles e materiais de orientação; </w:t>
      </w:r>
    </w:p>
    <w:p w14:paraId="0C586201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Q2–Q4:</w:t>
      </w:r>
      <w:r>
        <w:t xml:space="preserve"> rodar auditorias e </w:t>
      </w:r>
      <w:r>
        <w:rPr>
          <w:i/>
          <w:iCs/>
        </w:rPr>
        <w:t>coaching</w:t>
      </w:r>
      <w:r>
        <w:t xml:space="preserve"> nos achados; </w:t>
      </w:r>
    </w:p>
    <w:p w14:paraId="64F845DB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manter e refinar por dados. </w:t>
      </w:r>
    </w:p>
    <w:p w14:paraId="51D165BF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incidência de quedas e UPP; adesão a profilaxia de TEV; % pacientes que referem entendimento das orientações. </w:t>
      </w:r>
    </w:p>
    <w:p w14:paraId="54827D4C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quedas/UPP ≤ meta institucional; ≥95% profilaxia TEV quando indicada; ≥90% compreensão na pesquisa de satisfação de alta. </w:t>
      </w:r>
    </w:p>
    <w:p w14:paraId="536CB768" w14:textId="69394114" w:rsidR="00D71FB5" w:rsidRDefault="00000000" w:rsidP="007A4E18">
      <w:pPr>
        <w:pStyle w:val="FirstParagraph"/>
      </w:pPr>
      <w:r>
        <w:lastRenderedPageBreak/>
        <w:t xml:space="preserve">- </w:t>
      </w:r>
      <w:r>
        <w:rPr>
          <w:b/>
          <w:bCs/>
        </w:rPr>
        <w:t>Responsável:</w:t>
      </w:r>
      <w:r>
        <w:t xml:space="preserve"> Coordenação Assistencial + Enfermagem + Fisioterapia.</w:t>
      </w:r>
    </w:p>
    <w:p w14:paraId="0CC4E754" w14:textId="77777777" w:rsidR="00D71FB5" w:rsidRDefault="00000000">
      <w:pPr>
        <w:pStyle w:val="Ttulo3"/>
      </w:pPr>
      <w:bookmarkStart w:id="27" w:name="X71152e7c90f0694ebb81158c39ba1e57f226e42"/>
      <w:bookmarkEnd w:id="26"/>
      <w:r>
        <w:t>13.7 Conjunto de artefatos e evidências (para auditoria/acreditação)</w:t>
      </w:r>
    </w:p>
    <w:p w14:paraId="78EB2D1F" w14:textId="77777777" w:rsidR="00D71FB5" w:rsidRDefault="00000000">
      <w:pPr>
        <w:pStyle w:val="Compact"/>
        <w:numPr>
          <w:ilvl w:val="0"/>
          <w:numId w:val="20"/>
        </w:numPr>
      </w:pPr>
      <w:r>
        <w:t xml:space="preserve">Políticas e POPs atualizados (versões 2025–2026) e publicados na </w:t>
      </w:r>
      <w:r>
        <w:rPr>
          <w:b/>
          <w:bCs/>
        </w:rPr>
        <w:t>Intranet</w:t>
      </w:r>
      <w:r>
        <w:t>.</w:t>
      </w:r>
    </w:p>
    <w:p w14:paraId="712EF386" w14:textId="77777777" w:rsidR="00D71FB5" w:rsidRDefault="00000000">
      <w:pPr>
        <w:pStyle w:val="Compact"/>
        <w:numPr>
          <w:ilvl w:val="0"/>
          <w:numId w:val="20"/>
        </w:numPr>
      </w:pPr>
      <w:r>
        <w:t>Registros de treinamentos (listas, avaliações, certificados).</w:t>
      </w:r>
    </w:p>
    <w:p w14:paraId="31413FDC" w14:textId="77777777" w:rsidR="00D71FB5" w:rsidRDefault="00000000">
      <w:pPr>
        <w:pStyle w:val="Compact"/>
        <w:numPr>
          <w:ilvl w:val="0"/>
          <w:numId w:val="20"/>
        </w:numPr>
      </w:pPr>
      <w:r>
        <w:t xml:space="preserve">Relatórios de auditoria e </w:t>
      </w:r>
      <w:r>
        <w:rPr>
          <w:i/>
          <w:iCs/>
        </w:rPr>
        <w:t>dashboards</w:t>
      </w:r>
      <w:r>
        <w:t xml:space="preserve"> (identificação, SBAR, checklist cirúrgico, conciliação, higiene de mãos etc.).</w:t>
      </w:r>
    </w:p>
    <w:p w14:paraId="2F3BAF38" w14:textId="77777777" w:rsidR="00D71FB5" w:rsidRDefault="00000000">
      <w:pPr>
        <w:pStyle w:val="Compact"/>
        <w:numPr>
          <w:ilvl w:val="0"/>
          <w:numId w:val="20"/>
        </w:numPr>
      </w:pPr>
      <w:r>
        <w:t>Atas de M&amp;M, Relatórios Trimestrais de Segurança e planos de ação.</w:t>
      </w:r>
    </w:p>
    <w:p w14:paraId="1FBDB816" w14:textId="77777777" w:rsidR="00D71FB5" w:rsidRDefault="00000000">
      <w:pPr>
        <w:pStyle w:val="Compact"/>
        <w:numPr>
          <w:ilvl w:val="0"/>
          <w:numId w:val="20"/>
        </w:numPr>
      </w:pPr>
      <w:r>
        <w:t>Materiais educativos a pacientes/familiares (com comprovação de entendimento).</w:t>
      </w:r>
    </w:p>
    <w:p w14:paraId="4C4BD512" w14:textId="77777777" w:rsidR="00D71FB5" w:rsidRDefault="00000000">
      <w:pPr>
        <w:pStyle w:val="Ttulo3"/>
      </w:pPr>
      <w:bookmarkStart w:id="28" w:name="roadmap-20252026-visão-resumo"/>
      <w:bookmarkEnd w:id="27"/>
      <w:r>
        <w:t>13.8 Roadmap 2025–2026 (visão-resumo)</w:t>
      </w:r>
    </w:p>
    <w:p w14:paraId="1439EC68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Q1:</w:t>
      </w:r>
      <w:r>
        <w:t xml:space="preserve"> bases (políticas, POPs, SBAR no prontuário, lista de abreviações, bundles de risco, plano de manutenção).</w:t>
      </w:r>
    </w:p>
    <w:p w14:paraId="0D2F1598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Q2:</w:t>
      </w:r>
      <w:r>
        <w:t xml:space="preserve"> capacitação total + início de auditorias mensais + 1º relatório trimestral.</w:t>
      </w:r>
    </w:p>
    <w:p w14:paraId="625C2A74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Q3:</w:t>
      </w:r>
      <w:r>
        <w:t xml:space="preserve"> campanhas focadas (medicação de alto risco; higiene de mãos) + </w:t>
      </w:r>
      <w:r>
        <w:rPr>
          <w:i/>
          <w:iCs/>
        </w:rPr>
        <w:t>coaching</w:t>
      </w:r>
      <w:r>
        <w:t xml:space="preserve"> de handoffs.</w:t>
      </w:r>
    </w:p>
    <w:p w14:paraId="04D593DD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Q4:</w:t>
      </w:r>
      <w:r>
        <w:t xml:space="preserve"> consolidação e divulgação de resultados do ano + revisão de metas.</w:t>
      </w:r>
    </w:p>
    <w:p w14:paraId="030AA8D0" w14:textId="562014F0" w:rsidR="007A4E18" w:rsidRDefault="00000000" w:rsidP="007A4E18">
      <w:pPr>
        <w:pStyle w:val="Compact"/>
        <w:numPr>
          <w:ilvl w:val="0"/>
          <w:numId w:val="21"/>
        </w:numPr>
      </w:pPr>
      <w:r>
        <w:rPr>
          <w:b/>
          <w:bCs/>
        </w:rPr>
        <w:t>2026:</w:t>
      </w:r>
      <w:r>
        <w:t xml:space="preserve"> melhoria contínua, novos protocolos/equipamentos, reciclagens e </w:t>
      </w:r>
      <w:bookmarkStart w:id="29" w:name="Xc6f866e75d54a5dfe0d5040bb71df539eecc012"/>
      <w:bookmarkEnd w:id="20"/>
      <w:bookmarkEnd w:id="28"/>
    </w:p>
    <w:p w14:paraId="75A1AABD" w14:textId="74958148" w:rsidR="007A4E18" w:rsidRDefault="007A4E18">
      <w:pPr>
        <w:pStyle w:val="Ttulo2"/>
      </w:pPr>
    </w:p>
    <w:p w14:paraId="21AB1992" w14:textId="77777777" w:rsidR="007A4E18" w:rsidRDefault="007A4E18" w:rsidP="007A4E18">
      <w:pPr>
        <w:pStyle w:val="Corpodetexto"/>
      </w:pPr>
    </w:p>
    <w:p w14:paraId="0214CBE0" w14:textId="77777777" w:rsidR="007A4E18" w:rsidRDefault="007A4E18" w:rsidP="007A4E18">
      <w:pPr>
        <w:pStyle w:val="Corpodetexto"/>
      </w:pPr>
    </w:p>
    <w:p w14:paraId="4CA51895" w14:textId="77777777" w:rsidR="007A4E18" w:rsidRDefault="007A4E18" w:rsidP="007A4E18">
      <w:pPr>
        <w:pStyle w:val="Corpodetexto"/>
      </w:pPr>
    </w:p>
    <w:p w14:paraId="278C31F1" w14:textId="77777777" w:rsidR="007A4E18" w:rsidRDefault="007A4E18" w:rsidP="007A4E18">
      <w:pPr>
        <w:pStyle w:val="Corpodetexto"/>
      </w:pPr>
    </w:p>
    <w:p w14:paraId="58B2F155" w14:textId="77777777" w:rsidR="007A4E18" w:rsidRDefault="007A4E18" w:rsidP="007A4E18">
      <w:pPr>
        <w:pStyle w:val="Corpodetexto"/>
      </w:pPr>
    </w:p>
    <w:p w14:paraId="50E48757" w14:textId="77777777" w:rsidR="007A4E18" w:rsidRDefault="007A4E18" w:rsidP="007A4E18">
      <w:pPr>
        <w:pStyle w:val="Corpodetexto"/>
      </w:pPr>
    </w:p>
    <w:p w14:paraId="40A38DD3" w14:textId="77777777" w:rsidR="007A4E18" w:rsidRDefault="007A4E18" w:rsidP="007A4E18">
      <w:pPr>
        <w:pStyle w:val="Corpodetexto"/>
      </w:pPr>
    </w:p>
    <w:p w14:paraId="4865EBC1" w14:textId="77777777" w:rsidR="007A4E18" w:rsidRDefault="007A4E18" w:rsidP="007A4E18">
      <w:pPr>
        <w:pStyle w:val="Corpodetexto"/>
      </w:pPr>
    </w:p>
    <w:p w14:paraId="16FB4382" w14:textId="77777777" w:rsidR="007A4E18" w:rsidRPr="007A4E18" w:rsidRDefault="007A4E18" w:rsidP="007A4E18">
      <w:pPr>
        <w:pStyle w:val="Corpodetexto"/>
      </w:pPr>
    </w:p>
    <w:p w14:paraId="6D0C8E05" w14:textId="44CFDEC3" w:rsidR="00D71FB5" w:rsidRDefault="00000000">
      <w:pPr>
        <w:pStyle w:val="Ttulo2"/>
      </w:pPr>
      <w:r>
        <w:lastRenderedPageBreak/>
        <w:t>14) Tabelas – Enquadramento das ROPs por Objetivo (formato espelhado do arquivo “Planos Anest 2025–2026.pdf”)</w:t>
      </w:r>
    </w:p>
    <w:p w14:paraId="4CA5CD5D" w14:textId="77777777" w:rsidR="00D71FB5" w:rsidRDefault="00000000">
      <w:pPr>
        <w:pStyle w:val="Ttulo3"/>
      </w:pPr>
      <w:bookmarkStart w:id="30" w:name="Xf01135337376eab6d8ab49f80506e077aed10ce"/>
      <w:r>
        <w:t>14.1 Objetivo: Promover a participação ativa do paciente na decisão da técnica e no cuidado perioperatório</w:t>
      </w:r>
    </w:p>
    <w:tbl>
      <w:tblPr>
        <w:tblStyle w:val="Table"/>
        <w:tblW w:w="5834" w:type="pct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5"/>
        <w:gridCol w:w="1273"/>
        <w:gridCol w:w="1250"/>
        <w:gridCol w:w="1834"/>
        <w:gridCol w:w="1011"/>
        <w:gridCol w:w="1452"/>
        <w:gridCol w:w="849"/>
        <w:gridCol w:w="1097"/>
      </w:tblGrid>
      <w:tr w:rsidR="00F16DA5" w:rsidRPr="00F16DA5" w14:paraId="644CB8B5" w14:textId="77777777" w:rsidTr="0014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7" w:type="dxa"/>
            <w:tcBorders>
              <w:bottom w:val="none" w:sz="0" w:space="0" w:color="auto"/>
            </w:tcBorders>
          </w:tcPr>
          <w:p w14:paraId="0FC43B0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ROP (Categoria → Item)</w:t>
            </w:r>
          </w:p>
        </w:tc>
        <w:tc>
          <w:tcPr>
            <w:tcW w:w="1274" w:type="dxa"/>
            <w:tcBorders>
              <w:bottom w:val="none" w:sz="0" w:space="0" w:color="auto"/>
            </w:tcBorders>
          </w:tcPr>
          <w:p w14:paraId="761A72D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Público-alvo</w:t>
            </w:r>
          </w:p>
        </w:tc>
        <w:tc>
          <w:tcPr>
            <w:tcW w:w="1251" w:type="dxa"/>
            <w:tcBorders>
              <w:bottom w:val="none" w:sz="0" w:space="0" w:color="auto"/>
            </w:tcBorders>
          </w:tcPr>
          <w:p w14:paraId="6FB5358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Mensagens-chave</w:t>
            </w:r>
          </w:p>
        </w:tc>
        <w:tc>
          <w:tcPr>
            <w:tcW w:w="1836" w:type="dxa"/>
            <w:tcBorders>
              <w:bottom w:val="none" w:sz="0" w:space="0" w:color="auto"/>
            </w:tcBorders>
          </w:tcPr>
          <w:p w14:paraId="15D3E44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Estratégias/Canais</w:t>
            </w:r>
          </w:p>
        </w:tc>
        <w:tc>
          <w:tcPr>
            <w:tcW w:w="1012" w:type="dxa"/>
            <w:tcBorders>
              <w:bottom w:val="none" w:sz="0" w:space="0" w:color="auto"/>
            </w:tcBorders>
          </w:tcPr>
          <w:p w14:paraId="7CE81B2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Prazo</w:t>
            </w:r>
          </w:p>
        </w:tc>
        <w:tc>
          <w:tcPr>
            <w:tcW w:w="1454" w:type="dxa"/>
            <w:tcBorders>
              <w:bottom w:val="none" w:sz="0" w:space="0" w:color="auto"/>
            </w:tcBorders>
          </w:tcPr>
          <w:p w14:paraId="6F659D7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Indicadores (Resultados/Medidas)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2856242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Meta 2025–2026</w:t>
            </w:r>
          </w:p>
        </w:tc>
        <w:tc>
          <w:tcPr>
            <w:tcW w:w="1098" w:type="dxa"/>
            <w:tcBorders>
              <w:bottom w:val="none" w:sz="0" w:space="0" w:color="auto"/>
            </w:tcBorders>
          </w:tcPr>
          <w:p w14:paraId="0BB61B9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Responsável</w:t>
            </w:r>
          </w:p>
        </w:tc>
      </w:tr>
      <w:tr w:rsidR="00F16DA5" w:rsidRPr="00F16DA5" w14:paraId="136474AC" w14:textId="77777777" w:rsidTr="00147DCE">
        <w:tc>
          <w:tcPr>
            <w:tcW w:w="1537" w:type="dxa"/>
          </w:tcPr>
          <w:p w14:paraId="6E56DD9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Conciliação medicamentosa (todas as transições)</w:t>
            </w:r>
          </w:p>
        </w:tc>
        <w:tc>
          <w:tcPr>
            <w:tcW w:w="1274" w:type="dxa"/>
          </w:tcPr>
          <w:p w14:paraId="157F713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Pacientes/familiares; Anestesia; Enfermagem; Farmácia</w:t>
            </w:r>
          </w:p>
        </w:tc>
        <w:tc>
          <w:tcPr>
            <w:tcW w:w="1251" w:type="dxa"/>
          </w:tcPr>
          <w:p w14:paraId="552683B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“Traga sua lista de medicamentos”; riscos de duplicidade/interação</w:t>
            </w:r>
          </w:p>
        </w:tc>
        <w:tc>
          <w:tcPr>
            <w:tcW w:w="1836" w:type="dxa"/>
          </w:tcPr>
          <w:p w14:paraId="4198340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Formulário de conciliação na pré-anestesia/internação/alta; material de bolso ao paciente; check-back</w:t>
            </w:r>
          </w:p>
        </w:tc>
        <w:tc>
          <w:tcPr>
            <w:tcW w:w="1012" w:type="dxa"/>
          </w:tcPr>
          <w:p w14:paraId="07102ED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 implantação; contínuo</w:t>
            </w:r>
          </w:p>
        </w:tc>
        <w:tc>
          <w:tcPr>
            <w:tcW w:w="1454" w:type="dxa"/>
          </w:tcPr>
          <w:p w14:paraId="12E16FC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conciliações completas por etapa</w:t>
            </w:r>
          </w:p>
        </w:tc>
        <w:tc>
          <w:tcPr>
            <w:tcW w:w="850" w:type="dxa"/>
          </w:tcPr>
          <w:p w14:paraId="6D8918C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≥95%</w:t>
            </w:r>
          </w:p>
        </w:tc>
        <w:tc>
          <w:tcPr>
            <w:tcW w:w="1098" w:type="dxa"/>
          </w:tcPr>
          <w:p w14:paraId="3F895A9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Assistencial + Farmácia</w:t>
            </w:r>
          </w:p>
        </w:tc>
      </w:tr>
      <w:tr w:rsidR="00F16DA5" w:rsidRPr="00F16DA5" w14:paraId="478327FB" w14:textId="77777777" w:rsidTr="00147DCE">
        <w:tc>
          <w:tcPr>
            <w:tcW w:w="1537" w:type="dxa"/>
          </w:tcPr>
          <w:p w14:paraId="0FDCB7F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Identificação do cliente</w:t>
            </w:r>
          </w:p>
        </w:tc>
        <w:tc>
          <w:tcPr>
            <w:tcW w:w="1274" w:type="dxa"/>
          </w:tcPr>
          <w:p w14:paraId="218A2B2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CC/SRPA</w:t>
            </w:r>
          </w:p>
        </w:tc>
        <w:tc>
          <w:tcPr>
            <w:tcW w:w="1251" w:type="dxa"/>
          </w:tcPr>
          <w:p w14:paraId="4CA6B91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“Confira 2 identificadores antes de qualquer procedimento/medicação”</w:t>
            </w:r>
          </w:p>
        </w:tc>
        <w:tc>
          <w:tcPr>
            <w:tcW w:w="1836" w:type="dxa"/>
          </w:tcPr>
          <w:p w14:paraId="331737C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Pulseira + confirmação ativa; cartazes no CC; pop-up no prontuário</w:t>
            </w:r>
          </w:p>
        </w:tc>
        <w:tc>
          <w:tcPr>
            <w:tcW w:w="1012" w:type="dxa"/>
          </w:tcPr>
          <w:p w14:paraId="1CC32B9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Q1; contínuo</w:t>
            </w:r>
          </w:p>
        </w:tc>
        <w:tc>
          <w:tcPr>
            <w:tcW w:w="1454" w:type="dxa"/>
          </w:tcPr>
          <w:p w14:paraId="066B8A4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adesão 2 identificadores (auditoria)</w:t>
            </w:r>
          </w:p>
        </w:tc>
        <w:tc>
          <w:tcPr>
            <w:tcW w:w="850" w:type="dxa"/>
          </w:tcPr>
          <w:p w14:paraId="66A4CAD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≥99%</w:t>
            </w:r>
          </w:p>
        </w:tc>
        <w:tc>
          <w:tcPr>
            <w:tcW w:w="1098" w:type="dxa"/>
          </w:tcPr>
          <w:p w14:paraId="5B0770E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Enfermagem CC</w:t>
            </w:r>
          </w:p>
        </w:tc>
      </w:tr>
      <w:tr w:rsidR="00F16DA5" w:rsidRPr="00F16DA5" w14:paraId="1D2D53D5" w14:textId="77777777" w:rsidTr="00147DCE">
        <w:tc>
          <w:tcPr>
            <w:tcW w:w="1537" w:type="dxa"/>
          </w:tcPr>
          <w:p w14:paraId="0DA1AEC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Lista de verificação de cirurgia segura</w:t>
            </w:r>
          </w:p>
        </w:tc>
        <w:tc>
          <w:tcPr>
            <w:tcW w:w="1274" w:type="dxa"/>
          </w:tcPr>
          <w:p w14:paraId="0EBA3BD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Anestesia; Cirurgia; Enfermagem</w:t>
            </w:r>
          </w:p>
        </w:tc>
        <w:tc>
          <w:tcPr>
            <w:tcW w:w="1251" w:type="dxa"/>
          </w:tcPr>
          <w:p w14:paraId="1997830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“Time-out protege você”</w:t>
            </w:r>
          </w:p>
        </w:tc>
        <w:tc>
          <w:tcPr>
            <w:tcW w:w="1836" w:type="dxa"/>
          </w:tcPr>
          <w:p w14:paraId="6489583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Briefing+Time-out+Sign-out; linguagem simples com o paciente</w:t>
            </w:r>
          </w:p>
        </w:tc>
        <w:tc>
          <w:tcPr>
            <w:tcW w:w="1012" w:type="dxa"/>
          </w:tcPr>
          <w:p w14:paraId="0409045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Q1; contínuo</w:t>
            </w:r>
          </w:p>
        </w:tc>
        <w:tc>
          <w:tcPr>
            <w:tcW w:w="1454" w:type="dxa"/>
          </w:tcPr>
          <w:p w14:paraId="68F7CAA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checklists completos</w:t>
            </w:r>
          </w:p>
        </w:tc>
        <w:tc>
          <w:tcPr>
            <w:tcW w:w="850" w:type="dxa"/>
          </w:tcPr>
          <w:p w14:paraId="05265518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≥95%</w:t>
            </w:r>
          </w:p>
        </w:tc>
        <w:tc>
          <w:tcPr>
            <w:tcW w:w="1098" w:type="dxa"/>
          </w:tcPr>
          <w:p w14:paraId="2A9B26D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de Sala</w:t>
            </w:r>
          </w:p>
        </w:tc>
      </w:tr>
      <w:tr w:rsidR="00F16DA5" w:rsidRPr="00F16DA5" w14:paraId="2CEA5CD9" w14:textId="77777777" w:rsidTr="00147DCE">
        <w:tc>
          <w:tcPr>
            <w:tcW w:w="1537" w:type="dxa"/>
          </w:tcPr>
          <w:p w14:paraId="6EF5CA6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Avaliação de Risco → Quedas/UPP/TEV</w:t>
            </w:r>
          </w:p>
        </w:tc>
        <w:tc>
          <w:tcPr>
            <w:tcW w:w="1274" w:type="dxa"/>
          </w:tcPr>
          <w:p w14:paraId="66638C5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Enfermagem; Fisioterapia</w:t>
            </w:r>
          </w:p>
        </w:tc>
        <w:tc>
          <w:tcPr>
            <w:tcW w:w="1251" w:type="dxa"/>
          </w:tcPr>
          <w:p w14:paraId="140BD03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“Seu risco foi avaliado e prevenções foram iniciadas”</w:t>
            </w:r>
          </w:p>
        </w:tc>
        <w:tc>
          <w:tcPr>
            <w:tcW w:w="1836" w:type="dxa"/>
          </w:tcPr>
          <w:p w14:paraId="24402D1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Escalas de risco; bundles; folheto de alta; ensaio de compreensão</w:t>
            </w:r>
          </w:p>
        </w:tc>
        <w:tc>
          <w:tcPr>
            <w:tcW w:w="1012" w:type="dxa"/>
          </w:tcPr>
          <w:p w14:paraId="4D0FAEE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Q1–Q2; contínuo</w:t>
            </w:r>
          </w:p>
        </w:tc>
        <w:tc>
          <w:tcPr>
            <w:tcW w:w="1454" w:type="dxa"/>
          </w:tcPr>
          <w:p w14:paraId="6DB5363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Incidência de quedas/UPP; % profilaxia TEV indicada</w:t>
            </w:r>
          </w:p>
        </w:tc>
        <w:tc>
          <w:tcPr>
            <w:tcW w:w="850" w:type="dxa"/>
          </w:tcPr>
          <w:p w14:paraId="5BEEEB6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≤ meta institucional; ≥95% profilaxia</w:t>
            </w:r>
          </w:p>
        </w:tc>
        <w:tc>
          <w:tcPr>
            <w:tcW w:w="1098" w:type="dxa"/>
          </w:tcPr>
          <w:p w14:paraId="77CA74A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Enfermagem</w:t>
            </w:r>
          </w:p>
        </w:tc>
      </w:tr>
      <w:tr w:rsidR="00F16DA5" w:rsidRPr="00F16DA5" w14:paraId="3CB8BCDD" w14:textId="77777777" w:rsidTr="00147DCE">
        <w:tc>
          <w:tcPr>
            <w:tcW w:w="1537" w:type="dxa"/>
          </w:tcPr>
          <w:p w14:paraId="35F8C86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Controle de Infecção → Higiene de mãos (educação ao paciente)</w:t>
            </w:r>
          </w:p>
        </w:tc>
        <w:tc>
          <w:tcPr>
            <w:tcW w:w="1274" w:type="dxa"/>
          </w:tcPr>
          <w:p w14:paraId="242DBE0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Toda a equipe</w:t>
            </w:r>
          </w:p>
        </w:tc>
        <w:tc>
          <w:tcPr>
            <w:tcW w:w="1251" w:type="dxa"/>
          </w:tcPr>
          <w:p w14:paraId="09E0413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“Peça que higienizemos as mãos”</w:t>
            </w:r>
          </w:p>
        </w:tc>
        <w:tc>
          <w:tcPr>
            <w:tcW w:w="1836" w:type="dxa"/>
          </w:tcPr>
          <w:p w14:paraId="7B322AE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Cartazes ‘It’s ok to ask’; álcool-gel acessível; vídeo educativo</w:t>
            </w:r>
          </w:p>
        </w:tc>
        <w:tc>
          <w:tcPr>
            <w:tcW w:w="1012" w:type="dxa"/>
          </w:tcPr>
          <w:p w14:paraId="4EA3BC0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Q2; contínuo</w:t>
            </w:r>
          </w:p>
        </w:tc>
        <w:tc>
          <w:tcPr>
            <w:tcW w:w="1454" w:type="dxa"/>
          </w:tcPr>
          <w:p w14:paraId="7A720F1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Taxa de adesão global; NPS de segurança do paciente</w:t>
            </w:r>
          </w:p>
        </w:tc>
        <w:tc>
          <w:tcPr>
            <w:tcW w:w="850" w:type="dxa"/>
          </w:tcPr>
          <w:p w14:paraId="04BAEE4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 meta institucional; ≥90% relatam compreensão</w:t>
            </w:r>
          </w:p>
        </w:tc>
        <w:tc>
          <w:tcPr>
            <w:tcW w:w="1098" w:type="dxa"/>
          </w:tcPr>
          <w:p w14:paraId="125407B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PCI + Comunicação</w:t>
            </w:r>
          </w:p>
        </w:tc>
      </w:tr>
    </w:tbl>
    <w:p w14:paraId="16324BC5" w14:textId="77777777" w:rsidR="00D71FB5" w:rsidRDefault="00000000">
      <w:pPr>
        <w:pStyle w:val="Ttulo3"/>
      </w:pPr>
      <w:bookmarkStart w:id="31" w:name="X77421d1ef88bfc0c1ef21ec67b3277a2bf393cc"/>
      <w:bookmarkEnd w:id="30"/>
      <w:r>
        <w:t>14.2 Objetivo: Assegurar que pacientes e familiares recebam informações claras e compreensíveis sobre o procedimento anestésico</w:t>
      </w:r>
    </w:p>
    <w:tbl>
      <w:tblPr>
        <w:tblStyle w:val="Table"/>
        <w:tblW w:w="5874" w:type="pct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42"/>
        <w:gridCol w:w="1288"/>
        <w:gridCol w:w="1252"/>
        <w:gridCol w:w="1824"/>
        <w:gridCol w:w="998"/>
        <w:gridCol w:w="1351"/>
        <w:gridCol w:w="912"/>
        <w:gridCol w:w="1104"/>
      </w:tblGrid>
      <w:tr w:rsidR="00F16DA5" w:rsidRPr="00F16DA5" w14:paraId="065227F5" w14:textId="77777777" w:rsidTr="0014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5" w:type="dxa"/>
            <w:tcBorders>
              <w:bottom w:val="none" w:sz="0" w:space="0" w:color="auto"/>
            </w:tcBorders>
          </w:tcPr>
          <w:p w14:paraId="2291841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ROP (Categoria → Item)</w:t>
            </w:r>
          </w:p>
        </w:tc>
        <w:tc>
          <w:tcPr>
            <w:tcW w:w="1289" w:type="dxa"/>
            <w:tcBorders>
              <w:bottom w:val="none" w:sz="0" w:space="0" w:color="auto"/>
            </w:tcBorders>
          </w:tcPr>
          <w:p w14:paraId="4385DAD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Público-alvo</w:t>
            </w:r>
          </w:p>
        </w:tc>
        <w:tc>
          <w:tcPr>
            <w:tcW w:w="1253" w:type="dxa"/>
            <w:tcBorders>
              <w:bottom w:val="none" w:sz="0" w:space="0" w:color="auto"/>
            </w:tcBorders>
          </w:tcPr>
          <w:p w14:paraId="012984E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Mensagens-chave</w:t>
            </w:r>
          </w:p>
        </w:tc>
        <w:tc>
          <w:tcPr>
            <w:tcW w:w="1826" w:type="dxa"/>
            <w:tcBorders>
              <w:bottom w:val="none" w:sz="0" w:space="0" w:color="auto"/>
            </w:tcBorders>
          </w:tcPr>
          <w:p w14:paraId="30DC9C7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Estratégias/Canais</w:t>
            </w:r>
          </w:p>
        </w:tc>
        <w:tc>
          <w:tcPr>
            <w:tcW w:w="999" w:type="dxa"/>
            <w:tcBorders>
              <w:bottom w:val="none" w:sz="0" w:space="0" w:color="auto"/>
            </w:tcBorders>
          </w:tcPr>
          <w:p w14:paraId="1A6B2F1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Prazo</w:t>
            </w:r>
          </w:p>
        </w:tc>
        <w:tc>
          <w:tcPr>
            <w:tcW w:w="1352" w:type="dxa"/>
            <w:tcBorders>
              <w:bottom w:val="none" w:sz="0" w:space="0" w:color="auto"/>
            </w:tcBorders>
          </w:tcPr>
          <w:p w14:paraId="1CFA4AA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Indicadores</w:t>
            </w:r>
          </w:p>
        </w:tc>
        <w:tc>
          <w:tcPr>
            <w:tcW w:w="913" w:type="dxa"/>
            <w:tcBorders>
              <w:bottom w:val="none" w:sz="0" w:space="0" w:color="auto"/>
            </w:tcBorders>
          </w:tcPr>
          <w:p w14:paraId="490DC65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Meta 2025–2026</w:t>
            </w:r>
          </w:p>
        </w:tc>
        <w:tc>
          <w:tcPr>
            <w:tcW w:w="1105" w:type="dxa"/>
            <w:tcBorders>
              <w:bottom w:val="none" w:sz="0" w:space="0" w:color="auto"/>
            </w:tcBorders>
          </w:tcPr>
          <w:p w14:paraId="307EAA2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Responsável</w:t>
            </w:r>
          </w:p>
        </w:tc>
      </w:tr>
      <w:tr w:rsidR="00F16DA5" w:rsidRPr="00F16DA5" w14:paraId="70E4A15B" w14:textId="77777777" w:rsidTr="00147DCE">
        <w:tc>
          <w:tcPr>
            <w:tcW w:w="1645" w:type="dxa"/>
          </w:tcPr>
          <w:p w14:paraId="18D3A5A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Transferência de informações nas transições (handoff SBAR) com instruções de SRPA/Alta</w:t>
            </w:r>
          </w:p>
        </w:tc>
        <w:tc>
          <w:tcPr>
            <w:tcW w:w="1289" w:type="dxa"/>
          </w:tcPr>
          <w:p w14:paraId="0A87456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Enfermagem SRPA/Unidade; Anestesia</w:t>
            </w:r>
          </w:p>
        </w:tc>
        <w:tc>
          <w:tcPr>
            <w:tcW w:w="1253" w:type="dxa"/>
          </w:tcPr>
          <w:p w14:paraId="027F11D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“O que esperar após o procedimento e quando procurar ajuda”</w:t>
            </w:r>
          </w:p>
        </w:tc>
        <w:tc>
          <w:tcPr>
            <w:tcW w:w="1826" w:type="dxa"/>
          </w:tcPr>
          <w:p w14:paraId="5FDBEAC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Campo SBAR estruturado + roteiro de alta com check-back</w:t>
            </w:r>
          </w:p>
        </w:tc>
        <w:tc>
          <w:tcPr>
            <w:tcW w:w="999" w:type="dxa"/>
          </w:tcPr>
          <w:p w14:paraId="12CB8CD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Q1; contínuo</w:t>
            </w:r>
          </w:p>
        </w:tc>
        <w:tc>
          <w:tcPr>
            <w:tcW w:w="1352" w:type="dxa"/>
          </w:tcPr>
          <w:p w14:paraId="25E636A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handoffs com SBAR completo; % pacientes que compreenderam orientações</w:t>
            </w:r>
          </w:p>
        </w:tc>
        <w:tc>
          <w:tcPr>
            <w:tcW w:w="913" w:type="dxa"/>
          </w:tcPr>
          <w:p w14:paraId="0BCC2AE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≥90%; ≥90% compreensão</w:t>
            </w:r>
          </w:p>
        </w:tc>
        <w:tc>
          <w:tcPr>
            <w:tcW w:w="1105" w:type="dxa"/>
          </w:tcPr>
          <w:p w14:paraId="3297495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Assistencial</w:t>
            </w:r>
          </w:p>
        </w:tc>
      </w:tr>
      <w:tr w:rsidR="00F16DA5" w:rsidRPr="00F16DA5" w14:paraId="5DF74D77" w14:textId="77777777" w:rsidTr="00147DCE">
        <w:tc>
          <w:tcPr>
            <w:tcW w:w="1645" w:type="dxa"/>
          </w:tcPr>
          <w:p w14:paraId="0E0F26B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Abreviações perigosas (lista institucional)</w:t>
            </w:r>
          </w:p>
        </w:tc>
        <w:tc>
          <w:tcPr>
            <w:tcW w:w="1289" w:type="dxa"/>
          </w:tcPr>
          <w:p w14:paraId="764CB0F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Todas as equipes; Paciente como observador</w:t>
            </w:r>
          </w:p>
        </w:tc>
        <w:tc>
          <w:tcPr>
            <w:tcW w:w="1253" w:type="dxa"/>
          </w:tcPr>
          <w:p w14:paraId="772DCAF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“Sem abreviações que gerem dúvida”</w:t>
            </w:r>
          </w:p>
        </w:tc>
        <w:tc>
          <w:tcPr>
            <w:tcW w:w="1826" w:type="dxa"/>
          </w:tcPr>
          <w:p w14:paraId="32CF903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Lista publicada; pop-ups no prontuário; auditoria de escrita</w:t>
            </w:r>
          </w:p>
        </w:tc>
        <w:tc>
          <w:tcPr>
            <w:tcW w:w="999" w:type="dxa"/>
          </w:tcPr>
          <w:p w14:paraId="5FDD4468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Q1; contínuo</w:t>
            </w:r>
          </w:p>
        </w:tc>
        <w:tc>
          <w:tcPr>
            <w:tcW w:w="1352" w:type="dxa"/>
          </w:tcPr>
          <w:p w14:paraId="4696383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Nº não conformidades por 100 prescrições</w:t>
            </w:r>
          </w:p>
        </w:tc>
        <w:tc>
          <w:tcPr>
            <w:tcW w:w="913" w:type="dxa"/>
          </w:tcPr>
          <w:p w14:paraId="0BF7D8D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Reduzir ≥50% em 12 meses</w:t>
            </w:r>
          </w:p>
        </w:tc>
        <w:tc>
          <w:tcPr>
            <w:tcW w:w="1105" w:type="dxa"/>
          </w:tcPr>
          <w:p w14:paraId="3E47A7A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Qualidade + TI</w:t>
            </w:r>
          </w:p>
        </w:tc>
      </w:tr>
      <w:tr w:rsidR="00F16DA5" w:rsidRPr="00F16DA5" w14:paraId="1D16E98A" w14:textId="77777777" w:rsidTr="00147DCE">
        <w:tc>
          <w:tcPr>
            <w:tcW w:w="1645" w:type="dxa"/>
          </w:tcPr>
          <w:p w14:paraId="7363B6F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Conciliação medicamentosa (ênfase na comunicação com o paciente)</w:t>
            </w:r>
          </w:p>
        </w:tc>
        <w:tc>
          <w:tcPr>
            <w:tcW w:w="1289" w:type="dxa"/>
          </w:tcPr>
          <w:p w14:paraId="536F927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Paciente/família; Farmácia; Enfermagem</w:t>
            </w:r>
          </w:p>
        </w:tc>
        <w:tc>
          <w:tcPr>
            <w:tcW w:w="1253" w:type="dxa"/>
          </w:tcPr>
          <w:p w14:paraId="7A531D5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“Revimos seus remédios e o que muda depois da cirurgia”</w:t>
            </w:r>
          </w:p>
        </w:tc>
        <w:tc>
          <w:tcPr>
            <w:tcW w:w="1826" w:type="dxa"/>
          </w:tcPr>
          <w:p w14:paraId="6198CC2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Entrega de plano de medicação pós-alta; telefone de dúvidas</w:t>
            </w:r>
          </w:p>
        </w:tc>
        <w:tc>
          <w:tcPr>
            <w:tcW w:w="999" w:type="dxa"/>
          </w:tcPr>
          <w:p w14:paraId="3DDD97B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Q2; contínuo</w:t>
            </w:r>
          </w:p>
        </w:tc>
        <w:tc>
          <w:tcPr>
            <w:tcW w:w="1352" w:type="dxa"/>
          </w:tcPr>
          <w:p w14:paraId="7912184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altas com plano de medicação entregue</w:t>
            </w:r>
          </w:p>
        </w:tc>
        <w:tc>
          <w:tcPr>
            <w:tcW w:w="913" w:type="dxa"/>
          </w:tcPr>
          <w:p w14:paraId="4639481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≥95%</w:t>
            </w:r>
          </w:p>
        </w:tc>
        <w:tc>
          <w:tcPr>
            <w:tcW w:w="1105" w:type="dxa"/>
          </w:tcPr>
          <w:p w14:paraId="1E90339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Farmácia Clínica</w:t>
            </w:r>
          </w:p>
        </w:tc>
      </w:tr>
    </w:tbl>
    <w:p w14:paraId="130A1EE3" w14:textId="77777777" w:rsidR="00D71FB5" w:rsidRDefault="00000000">
      <w:pPr>
        <w:pStyle w:val="Ttulo3"/>
      </w:pPr>
      <w:bookmarkStart w:id="32" w:name="X28c1a45b0ee67fdfe35d72c681b76b488f57b36"/>
      <w:bookmarkEnd w:id="31"/>
      <w:r>
        <w:t>14.3 Objetivo: Otimizar a comunicação entre os profissionais e setores da ANEST, fortalecendo colaboração e segurança</w:t>
      </w:r>
    </w:p>
    <w:tbl>
      <w:tblPr>
        <w:tblStyle w:val="Table"/>
        <w:tblW w:w="5935" w:type="pct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712"/>
        <w:gridCol w:w="1302"/>
        <w:gridCol w:w="1286"/>
        <w:gridCol w:w="1835"/>
        <w:gridCol w:w="997"/>
        <w:gridCol w:w="1288"/>
        <w:gridCol w:w="1104"/>
        <w:gridCol w:w="955"/>
      </w:tblGrid>
      <w:tr w:rsidR="00F16DA5" w:rsidRPr="00F16DA5" w14:paraId="5073D040" w14:textId="77777777" w:rsidTr="0014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5" w:type="dxa"/>
            <w:tcBorders>
              <w:bottom w:val="none" w:sz="0" w:space="0" w:color="auto"/>
            </w:tcBorders>
          </w:tcPr>
          <w:p w14:paraId="064FB67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ROP (Categoria → Item)</w:t>
            </w:r>
          </w:p>
        </w:tc>
        <w:tc>
          <w:tcPr>
            <w:tcW w:w="1303" w:type="dxa"/>
            <w:tcBorders>
              <w:bottom w:val="none" w:sz="0" w:space="0" w:color="auto"/>
            </w:tcBorders>
          </w:tcPr>
          <w:p w14:paraId="3B16EDE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Público-alvo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14:paraId="79B2BE5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Mensagens-chave</w:t>
            </w:r>
          </w:p>
        </w:tc>
        <w:tc>
          <w:tcPr>
            <w:tcW w:w="1837" w:type="dxa"/>
            <w:tcBorders>
              <w:bottom w:val="none" w:sz="0" w:space="0" w:color="auto"/>
            </w:tcBorders>
          </w:tcPr>
          <w:p w14:paraId="593D0B9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Estratégias/Canais</w:t>
            </w:r>
          </w:p>
        </w:tc>
        <w:tc>
          <w:tcPr>
            <w:tcW w:w="998" w:type="dxa"/>
            <w:tcBorders>
              <w:bottom w:val="none" w:sz="0" w:space="0" w:color="auto"/>
            </w:tcBorders>
          </w:tcPr>
          <w:p w14:paraId="15F3513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Prazo</w:t>
            </w:r>
          </w:p>
        </w:tc>
        <w:tc>
          <w:tcPr>
            <w:tcW w:w="1289" w:type="dxa"/>
            <w:tcBorders>
              <w:bottom w:val="none" w:sz="0" w:space="0" w:color="auto"/>
            </w:tcBorders>
          </w:tcPr>
          <w:p w14:paraId="327E7F6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Indicadores</w:t>
            </w:r>
          </w:p>
        </w:tc>
        <w:tc>
          <w:tcPr>
            <w:tcW w:w="1105" w:type="dxa"/>
            <w:tcBorders>
              <w:bottom w:val="none" w:sz="0" w:space="0" w:color="auto"/>
            </w:tcBorders>
          </w:tcPr>
          <w:p w14:paraId="39EA212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Meta 2025–2026</w:t>
            </w:r>
          </w:p>
        </w:tc>
        <w:tc>
          <w:tcPr>
            <w:tcW w:w="956" w:type="dxa"/>
            <w:tcBorders>
              <w:bottom w:val="none" w:sz="0" w:space="0" w:color="auto"/>
            </w:tcBorders>
          </w:tcPr>
          <w:p w14:paraId="6607B33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Responsável</w:t>
            </w:r>
          </w:p>
        </w:tc>
      </w:tr>
      <w:tr w:rsidR="00F16DA5" w:rsidRPr="00F16DA5" w14:paraId="344A76FD" w14:textId="77777777" w:rsidTr="00147DCE">
        <w:tc>
          <w:tcPr>
            <w:tcW w:w="1715" w:type="dxa"/>
          </w:tcPr>
          <w:p w14:paraId="0608FDB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Handoff SBAR em todas as transições (CC↔SRPA↔Unidade/UTI; trocas de plantão)</w:t>
            </w:r>
          </w:p>
        </w:tc>
        <w:tc>
          <w:tcPr>
            <w:tcW w:w="1303" w:type="dxa"/>
          </w:tcPr>
          <w:p w14:paraId="21FA46D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Anestesia; Enfermagem; Médicos assistentes</w:t>
            </w:r>
          </w:p>
        </w:tc>
        <w:tc>
          <w:tcPr>
            <w:tcW w:w="1287" w:type="dxa"/>
          </w:tcPr>
          <w:p w14:paraId="197CC5D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“Informação certa, para a pessoa certa, na hora certa”</w:t>
            </w:r>
          </w:p>
        </w:tc>
        <w:tc>
          <w:tcPr>
            <w:tcW w:w="1837" w:type="dxa"/>
          </w:tcPr>
          <w:p w14:paraId="62BF1FE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POP de SBAR; treinamentos trimestrais; auditoria observacional</w:t>
            </w:r>
          </w:p>
        </w:tc>
        <w:tc>
          <w:tcPr>
            <w:tcW w:w="998" w:type="dxa"/>
          </w:tcPr>
          <w:p w14:paraId="593897D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Q1–Q2; contínuo</w:t>
            </w:r>
          </w:p>
        </w:tc>
        <w:tc>
          <w:tcPr>
            <w:tcW w:w="1289" w:type="dxa"/>
          </w:tcPr>
          <w:p w14:paraId="6B27188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SBAR completo; tempo de transferência</w:t>
            </w:r>
          </w:p>
        </w:tc>
        <w:tc>
          <w:tcPr>
            <w:tcW w:w="1105" w:type="dxa"/>
          </w:tcPr>
          <w:p w14:paraId="55E40C8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≥90%; dentro do alvo</w:t>
            </w:r>
          </w:p>
        </w:tc>
        <w:tc>
          <w:tcPr>
            <w:tcW w:w="956" w:type="dxa"/>
          </w:tcPr>
          <w:p w14:paraId="28C1F7C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Assistencial</w:t>
            </w:r>
          </w:p>
        </w:tc>
      </w:tr>
      <w:tr w:rsidR="00F16DA5" w:rsidRPr="00F16DA5" w14:paraId="675AF096" w14:textId="77777777" w:rsidTr="00147DCE">
        <w:tc>
          <w:tcPr>
            <w:tcW w:w="1715" w:type="dxa"/>
          </w:tcPr>
          <w:p w14:paraId="27C3938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lastRenderedPageBreak/>
              <w:t>Cultura de Segurança → Notificação, Análise e Relatórios Trimestrais de Segurança</w:t>
            </w:r>
          </w:p>
        </w:tc>
        <w:tc>
          <w:tcPr>
            <w:tcW w:w="1303" w:type="dxa"/>
          </w:tcPr>
          <w:p w14:paraId="14FEECF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Todas as equipes</w:t>
            </w:r>
          </w:p>
        </w:tc>
        <w:tc>
          <w:tcPr>
            <w:tcW w:w="1287" w:type="dxa"/>
          </w:tcPr>
          <w:p w14:paraId="12D6B56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“Notificar é cuidar; aprendemos com quase-erros”</w:t>
            </w:r>
          </w:p>
        </w:tc>
        <w:tc>
          <w:tcPr>
            <w:tcW w:w="1837" w:type="dxa"/>
          </w:tcPr>
          <w:p w14:paraId="51F9DDD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AxReg; M&amp;M mensal; Relatório trimestral na intranet; devolutivas</w:t>
            </w:r>
          </w:p>
        </w:tc>
        <w:tc>
          <w:tcPr>
            <w:tcW w:w="998" w:type="dxa"/>
          </w:tcPr>
          <w:p w14:paraId="79BFC45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Q1–Q4; contínuo</w:t>
            </w:r>
          </w:p>
        </w:tc>
        <w:tc>
          <w:tcPr>
            <w:tcW w:w="1289" w:type="dxa"/>
          </w:tcPr>
          <w:p w14:paraId="4CDC0B88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Nº notificações; % ACR concluídas; tempo de devolutiva</w:t>
            </w:r>
          </w:p>
        </w:tc>
        <w:tc>
          <w:tcPr>
            <w:tcW w:w="1105" w:type="dxa"/>
          </w:tcPr>
          <w:p w14:paraId="30B336A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↑ tendência; ≥90% concluídas; ≤30 dias</w:t>
            </w:r>
          </w:p>
        </w:tc>
        <w:tc>
          <w:tcPr>
            <w:tcW w:w="956" w:type="dxa"/>
          </w:tcPr>
          <w:p w14:paraId="66445AC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Qualidade</w:t>
            </w:r>
          </w:p>
        </w:tc>
      </w:tr>
      <w:tr w:rsidR="00F16DA5" w:rsidRPr="00F16DA5" w14:paraId="5353BC3A" w14:textId="77777777" w:rsidTr="00147DCE">
        <w:tc>
          <w:tcPr>
            <w:tcW w:w="1715" w:type="dxa"/>
          </w:tcPr>
          <w:p w14:paraId="26CC8D1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Uso de Medicamentos → Alta vigilância/Heparina/Eletrólitos/Bombas/Narcóticos</w:t>
            </w:r>
          </w:p>
        </w:tc>
        <w:tc>
          <w:tcPr>
            <w:tcW w:w="1303" w:type="dxa"/>
          </w:tcPr>
          <w:p w14:paraId="104DD36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Anestesia; Enfermagem; Farmácia; Eng. Clínica</w:t>
            </w:r>
          </w:p>
        </w:tc>
        <w:tc>
          <w:tcPr>
            <w:tcW w:w="1287" w:type="dxa"/>
          </w:tcPr>
          <w:p w14:paraId="14B499D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“Dupla checagem, rotulagem padrão e rastreio de bombas”</w:t>
            </w:r>
          </w:p>
        </w:tc>
        <w:tc>
          <w:tcPr>
            <w:tcW w:w="1837" w:type="dxa"/>
          </w:tcPr>
          <w:p w14:paraId="6F7DE0F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 xml:space="preserve">Protocolos; etiquetas; lockouts; </w:t>
            </w:r>
            <w:r w:rsidRPr="00F16DA5">
              <w:rPr>
                <w:i/>
                <w:iCs/>
                <w:sz w:val="13"/>
                <w:szCs w:val="13"/>
              </w:rPr>
              <w:t>rounds</w:t>
            </w:r>
            <w:r w:rsidRPr="00F16DA5">
              <w:rPr>
                <w:sz w:val="13"/>
                <w:szCs w:val="13"/>
              </w:rPr>
              <w:t xml:space="preserve"> de farmácia; inventário</w:t>
            </w:r>
          </w:p>
        </w:tc>
        <w:tc>
          <w:tcPr>
            <w:tcW w:w="998" w:type="dxa"/>
          </w:tcPr>
          <w:p w14:paraId="4B2CF94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Q1–Q3; contínuo</w:t>
            </w:r>
          </w:p>
        </w:tc>
        <w:tc>
          <w:tcPr>
            <w:tcW w:w="1289" w:type="dxa"/>
          </w:tcPr>
          <w:p w14:paraId="176377C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Erros por 1.000 atos; adesão dupla checagem; desvios</w:t>
            </w:r>
          </w:p>
        </w:tc>
        <w:tc>
          <w:tcPr>
            <w:tcW w:w="1105" w:type="dxa"/>
          </w:tcPr>
          <w:p w14:paraId="5DF5D69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−30%/12m; 100%; zero desvio sem justificativa</w:t>
            </w:r>
          </w:p>
        </w:tc>
        <w:tc>
          <w:tcPr>
            <w:tcW w:w="956" w:type="dxa"/>
          </w:tcPr>
          <w:p w14:paraId="3B374B6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Farmácia + Eng. Clínica</w:t>
            </w:r>
          </w:p>
        </w:tc>
      </w:tr>
      <w:tr w:rsidR="00F16DA5" w:rsidRPr="00F16DA5" w14:paraId="62B21A5C" w14:textId="77777777" w:rsidTr="00147DCE">
        <w:tc>
          <w:tcPr>
            <w:tcW w:w="1715" w:type="dxa"/>
          </w:tcPr>
          <w:p w14:paraId="4E68DDC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Controle de Infecção → Higiene de mãos; Reprocessamento</w:t>
            </w:r>
          </w:p>
        </w:tc>
        <w:tc>
          <w:tcPr>
            <w:tcW w:w="1303" w:type="dxa"/>
          </w:tcPr>
          <w:p w14:paraId="2811EE6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CC; SRPA; CME</w:t>
            </w:r>
          </w:p>
        </w:tc>
        <w:tc>
          <w:tcPr>
            <w:tcW w:w="1287" w:type="dxa"/>
          </w:tcPr>
          <w:p w14:paraId="52F45CC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“Barreiras de infecção mantidas”</w:t>
            </w:r>
          </w:p>
        </w:tc>
        <w:tc>
          <w:tcPr>
            <w:tcW w:w="1837" w:type="dxa"/>
          </w:tcPr>
          <w:p w14:paraId="039748C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Auditorias com feedback; dashboards; reciclagem semestral</w:t>
            </w:r>
          </w:p>
        </w:tc>
        <w:tc>
          <w:tcPr>
            <w:tcW w:w="998" w:type="dxa"/>
          </w:tcPr>
          <w:p w14:paraId="5DD0E7D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Trimestral</w:t>
            </w:r>
          </w:p>
        </w:tc>
        <w:tc>
          <w:tcPr>
            <w:tcW w:w="1289" w:type="dxa"/>
          </w:tcPr>
          <w:p w14:paraId="325C121B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Adesão HM; não conformidades CME</w:t>
            </w:r>
          </w:p>
        </w:tc>
        <w:tc>
          <w:tcPr>
            <w:tcW w:w="1105" w:type="dxa"/>
          </w:tcPr>
          <w:p w14:paraId="112F633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 meta; 0 NC críticas</w:t>
            </w:r>
          </w:p>
        </w:tc>
        <w:tc>
          <w:tcPr>
            <w:tcW w:w="956" w:type="dxa"/>
          </w:tcPr>
          <w:p w14:paraId="61FDDA7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PCI + CME</w:t>
            </w:r>
          </w:p>
        </w:tc>
      </w:tr>
      <w:tr w:rsidR="00F16DA5" w:rsidRPr="00F16DA5" w14:paraId="1764ADC1" w14:textId="77777777" w:rsidTr="00147DCE">
        <w:tc>
          <w:tcPr>
            <w:tcW w:w="1715" w:type="dxa"/>
          </w:tcPr>
          <w:p w14:paraId="65AA182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Vida Profissional → Manutenção preventiva; Treinamentos; Fluxo de clientes; Plano de segurança do paciente</w:t>
            </w:r>
          </w:p>
        </w:tc>
        <w:tc>
          <w:tcPr>
            <w:tcW w:w="1303" w:type="dxa"/>
          </w:tcPr>
          <w:p w14:paraId="496E97F8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Toda a equipe; Engenharia; RH</w:t>
            </w:r>
          </w:p>
        </w:tc>
        <w:tc>
          <w:tcPr>
            <w:tcW w:w="1287" w:type="dxa"/>
          </w:tcPr>
          <w:p w14:paraId="32C8D73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“Ambiente confiável e capacitado”</w:t>
            </w:r>
          </w:p>
        </w:tc>
        <w:tc>
          <w:tcPr>
            <w:tcW w:w="1837" w:type="dxa"/>
          </w:tcPr>
          <w:p w14:paraId="5DF535D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Plano de manutenção; trilhas de treinamento; fluxos visuais</w:t>
            </w:r>
          </w:p>
        </w:tc>
        <w:tc>
          <w:tcPr>
            <w:tcW w:w="998" w:type="dxa"/>
          </w:tcPr>
          <w:p w14:paraId="231E6EC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Q1–Q4</w:t>
            </w:r>
          </w:p>
        </w:tc>
        <w:tc>
          <w:tcPr>
            <w:tcW w:w="1289" w:type="dxa"/>
          </w:tcPr>
          <w:p w14:paraId="618D096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manutenção em dia; % cobertura de treinamento</w:t>
            </w:r>
          </w:p>
        </w:tc>
        <w:tc>
          <w:tcPr>
            <w:tcW w:w="1105" w:type="dxa"/>
          </w:tcPr>
          <w:p w14:paraId="7AADD1C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≥95%; ≥95%</w:t>
            </w:r>
          </w:p>
        </w:tc>
        <w:tc>
          <w:tcPr>
            <w:tcW w:w="956" w:type="dxa"/>
          </w:tcPr>
          <w:p w14:paraId="7956F0E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Técnica + RH</w:t>
            </w:r>
          </w:p>
        </w:tc>
      </w:tr>
    </w:tbl>
    <w:p w14:paraId="0C6A84E1" w14:textId="77777777" w:rsidR="00D71FB5" w:rsidRDefault="00000000">
      <w:pPr>
        <w:pStyle w:val="Ttulo3"/>
      </w:pPr>
      <w:bookmarkStart w:id="33" w:name="Xe03c9714d27908040ee630fccc17084eb8bd733"/>
      <w:bookmarkEnd w:id="32"/>
      <w:r>
        <w:t>14.4 Objetivo: Promover a imagem da ANEST Chapecó como referência em anestesiologia segura, eficiente e transparente</w:t>
      </w:r>
    </w:p>
    <w:tbl>
      <w:tblPr>
        <w:tblStyle w:val="Table"/>
        <w:tblW w:w="6015" w:type="pct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51"/>
        <w:gridCol w:w="1298"/>
        <w:gridCol w:w="1429"/>
        <w:gridCol w:w="1690"/>
        <w:gridCol w:w="1152"/>
        <w:gridCol w:w="1282"/>
        <w:gridCol w:w="986"/>
        <w:gridCol w:w="1132"/>
      </w:tblGrid>
      <w:tr w:rsidR="00147DCE" w:rsidRPr="00F16DA5" w14:paraId="28559C88" w14:textId="77777777" w:rsidTr="0014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4" w:type="dxa"/>
            <w:tcBorders>
              <w:bottom w:val="none" w:sz="0" w:space="0" w:color="auto"/>
            </w:tcBorders>
          </w:tcPr>
          <w:p w14:paraId="6D78755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ROP (Categoria → Item)</w:t>
            </w:r>
          </w:p>
        </w:tc>
        <w:tc>
          <w:tcPr>
            <w:tcW w:w="1299" w:type="dxa"/>
            <w:tcBorders>
              <w:bottom w:val="none" w:sz="0" w:space="0" w:color="auto"/>
            </w:tcBorders>
          </w:tcPr>
          <w:p w14:paraId="41398C8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Público-alvo</w:t>
            </w:r>
          </w:p>
        </w:tc>
        <w:tc>
          <w:tcPr>
            <w:tcW w:w="1431" w:type="dxa"/>
            <w:tcBorders>
              <w:bottom w:val="none" w:sz="0" w:space="0" w:color="auto"/>
            </w:tcBorders>
          </w:tcPr>
          <w:p w14:paraId="57CFEFE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Mensagens-chave</w:t>
            </w:r>
          </w:p>
        </w:tc>
        <w:tc>
          <w:tcPr>
            <w:tcW w:w="1692" w:type="dxa"/>
            <w:tcBorders>
              <w:bottom w:val="none" w:sz="0" w:space="0" w:color="auto"/>
            </w:tcBorders>
          </w:tcPr>
          <w:p w14:paraId="5F325B5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Estratégias/Canais</w:t>
            </w:r>
          </w:p>
        </w:tc>
        <w:tc>
          <w:tcPr>
            <w:tcW w:w="1153" w:type="dxa"/>
            <w:tcBorders>
              <w:bottom w:val="none" w:sz="0" w:space="0" w:color="auto"/>
            </w:tcBorders>
          </w:tcPr>
          <w:p w14:paraId="29E7C359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Prazo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14:paraId="3B3DE88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Indicadores</w:t>
            </w:r>
          </w:p>
        </w:tc>
        <w:tc>
          <w:tcPr>
            <w:tcW w:w="987" w:type="dxa"/>
            <w:tcBorders>
              <w:bottom w:val="none" w:sz="0" w:space="0" w:color="auto"/>
            </w:tcBorders>
          </w:tcPr>
          <w:p w14:paraId="510E498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Meta 2025–2026</w:t>
            </w:r>
          </w:p>
        </w:tc>
        <w:tc>
          <w:tcPr>
            <w:tcW w:w="1133" w:type="dxa"/>
            <w:tcBorders>
              <w:bottom w:val="none" w:sz="0" w:space="0" w:color="auto"/>
            </w:tcBorders>
          </w:tcPr>
          <w:p w14:paraId="2C287D2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Responsável</w:t>
            </w:r>
          </w:p>
        </w:tc>
      </w:tr>
      <w:tr w:rsidR="00147DCE" w:rsidRPr="00F16DA5" w14:paraId="57F67E62" w14:textId="77777777" w:rsidTr="00147DCE">
        <w:tc>
          <w:tcPr>
            <w:tcW w:w="1654" w:type="dxa"/>
          </w:tcPr>
          <w:p w14:paraId="7762C7B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Cultura de Segurança → Relatórios Trimestrais + Divulgação de incidentes (disclosure)</w:t>
            </w:r>
          </w:p>
        </w:tc>
        <w:tc>
          <w:tcPr>
            <w:tcW w:w="1299" w:type="dxa"/>
          </w:tcPr>
          <w:p w14:paraId="2394040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Direção; equipes; pacientes/famílias</w:t>
            </w:r>
          </w:p>
        </w:tc>
        <w:tc>
          <w:tcPr>
            <w:tcW w:w="1431" w:type="dxa"/>
          </w:tcPr>
          <w:p w14:paraId="006A7C7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“Transparência com responsabilidade”</w:t>
            </w:r>
          </w:p>
        </w:tc>
        <w:tc>
          <w:tcPr>
            <w:tcW w:w="1692" w:type="dxa"/>
          </w:tcPr>
          <w:p w14:paraId="1034F25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Publicação trimestral; guia de disclosure; reuniões abertas</w:t>
            </w:r>
          </w:p>
        </w:tc>
        <w:tc>
          <w:tcPr>
            <w:tcW w:w="1153" w:type="dxa"/>
          </w:tcPr>
          <w:p w14:paraId="5A41ADA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Trimestral</w:t>
            </w:r>
          </w:p>
        </w:tc>
        <w:tc>
          <w:tcPr>
            <w:tcW w:w="1283" w:type="dxa"/>
          </w:tcPr>
          <w:p w14:paraId="24B0A26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relatórios publicados; tempo para disclosure</w:t>
            </w:r>
          </w:p>
        </w:tc>
        <w:tc>
          <w:tcPr>
            <w:tcW w:w="987" w:type="dxa"/>
          </w:tcPr>
          <w:p w14:paraId="2753DFE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100%; ≤48h quando aplicável</w:t>
            </w:r>
          </w:p>
        </w:tc>
        <w:tc>
          <w:tcPr>
            <w:tcW w:w="1133" w:type="dxa"/>
          </w:tcPr>
          <w:p w14:paraId="57C2670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Qualidade</w:t>
            </w:r>
          </w:p>
        </w:tc>
      </w:tr>
      <w:tr w:rsidR="00147DCE" w:rsidRPr="00F16DA5" w14:paraId="632006C5" w14:textId="77777777" w:rsidTr="00147DCE">
        <w:tc>
          <w:tcPr>
            <w:tcW w:w="1654" w:type="dxa"/>
          </w:tcPr>
          <w:p w14:paraId="265B5A75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Comunicação → Cirurgia segura; Identificação do cliente</w:t>
            </w:r>
          </w:p>
        </w:tc>
        <w:tc>
          <w:tcPr>
            <w:tcW w:w="1299" w:type="dxa"/>
          </w:tcPr>
          <w:p w14:paraId="19AA00B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Direção; equipes; pacientes</w:t>
            </w:r>
          </w:p>
        </w:tc>
        <w:tc>
          <w:tcPr>
            <w:tcW w:w="1431" w:type="dxa"/>
          </w:tcPr>
          <w:p w14:paraId="29EA278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“Práticas que salvam vidas”</w:t>
            </w:r>
          </w:p>
        </w:tc>
        <w:tc>
          <w:tcPr>
            <w:tcW w:w="1692" w:type="dxa"/>
          </w:tcPr>
          <w:p w14:paraId="16FB1E9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Painéis de desempenho; campanhas; reconhecimento de equipes</w:t>
            </w:r>
          </w:p>
        </w:tc>
        <w:tc>
          <w:tcPr>
            <w:tcW w:w="1153" w:type="dxa"/>
          </w:tcPr>
          <w:p w14:paraId="3AD24C3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Q2–Q4; contínuo</w:t>
            </w:r>
          </w:p>
        </w:tc>
        <w:tc>
          <w:tcPr>
            <w:tcW w:w="1283" w:type="dxa"/>
          </w:tcPr>
          <w:p w14:paraId="30C1E7D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% checklist; % identificação correta</w:t>
            </w:r>
          </w:p>
        </w:tc>
        <w:tc>
          <w:tcPr>
            <w:tcW w:w="987" w:type="dxa"/>
          </w:tcPr>
          <w:p w14:paraId="19E8F0F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≥95%; ≥99%</w:t>
            </w:r>
          </w:p>
        </w:tc>
        <w:tc>
          <w:tcPr>
            <w:tcW w:w="1133" w:type="dxa"/>
          </w:tcPr>
          <w:p w14:paraId="1871DC60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Coord. CC</w:t>
            </w:r>
          </w:p>
        </w:tc>
      </w:tr>
      <w:tr w:rsidR="00147DCE" w:rsidRPr="00F16DA5" w14:paraId="412B0AAC" w14:textId="77777777" w:rsidTr="00147DCE">
        <w:tc>
          <w:tcPr>
            <w:tcW w:w="1654" w:type="dxa"/>
          </w:tcPr>
          <w:p w14:paraId="5EB0A0BC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Controle de Infecção → Taxas de infecção (transparência)</w:t>
            </w:r>
          </w:p>
        </w:tc>
        <w:tc>
          <w:tcPr>
            <w:tcW w:w="1299" w:type="dxa"/>
          </w:tcPr>
          <w:p w14:paraId="39133F1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Direção; equipes; pacientes</w:t>
            </w:r>
          </w:p>
        </w:tc>
        <w:tc>
          <w:tcPr>
            <w:tcW w:w="1431" w:type="dxa"/>
          </w:tcPr>
          <w:p w14:paraId="3268135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“Monitoramos e melhoramos continuamente”</w:t>
            </w:r>
          </w:p>
        </w:tc>
        <w:tc>
          <w:tcPr>
            <w:tcW w:w="1692" w:type="dxa"/>
          </w:tcPr>
          <w:p w14:paraId="5DBA12F2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Dashboard institucional; plano de ação público interno</w:t>
            </w:r>
          </w:p>
        </w:tc>
        <w:tc>
          <w:tcPr>
            <w:tcW w:w="1153" w:type="dxa"/>
          </w:tcPr>
          <w:p w14:paraId="4675A5C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Trimestral</w:t>
            </w:r>
          </w:p>
        </w:tc>
        <w:tc>
          <w:tcPr>
            <w:tcW w:w="1283" w:type="dxa"/>
          </w:tcPr>
          <w:p w14:paraId="2A66AC26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Taxas por serviço; metas cumpridas</w:t>
            </w:r>
          </w:p>
        </w:tc>
        <w:tc>
          <w:tcPr>
            <w:tcW w:w="987" w:type="dxa"/>
          </w:tcPr>
          <w:p w14:paraId="3FE6FF41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Cumprir metas anuais</w:t>
            </w:r>
          </w:p>
        </w:tc>
        <w:tc>
          <w:tcPr>
            <w:tcW w:w="1133" w:type="dxa"/>
          </w:tcPr>
          <w:p w14:paraId="1BDB251A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PCI</w:t>
            </w:r>
          </w:p>
        </w:tc>
      </w:tr>
      <w:tr w:rsidR="00147DCE" w:rsidRPr="00F16DA5" w14:paraId="5EC049AA" w14:textId="77777777" w:rsidTr="00147DCE">
        <w:tc>
          <w:tcPr>
            <w:tcW w:w="1654" w:type="dxa"/>
          </w:tcPr>
          <w:p w14:paraId="2B45331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Vida Profissional → Prevenção de violência no trabalho</w:t>
            </w:r>
          </w:p>
        </w:tc>
        <w:tc>
          <w:tcPr>
            <w:tcW w:w="1299" w:type="dxa"/>
          </w:tcPr>
          <w:p w14:paraId="18C6B614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Toda a equipe</w:t>
            </w:r>
          </w:p>
        </w:tc>
        <w:tc>
          <w:tcPr>
            <w:tcW w:w="1431" w:type="dxa"/>
          </w:tcPr>
          <w:p w14:paraId="1A43EF3D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“Ambiente seguro para cuidar melhor”</w:t>
            </w:r>
          </w:p>
        </w:tc>
        <w:tc>
          <w:tcPr>
            <w:tcW w:w="1692" w:type="dxa"/>
          </w:tcPr>
          <w:p w14:paraId="3B3DC60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Política e canal confidencial; campanhas; suporte pós-evento</w:t>
            </w:r>
          </w:p>
        </w:tc>
        <w:tc>
          <w:tcPr>
            <w:tcW w:w="1153" w:type="dxa"/>
          </w:tcPr>
          <w:p w14:paraId="4BE4118E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Q2–Q3</w:t>
            </w:r>
          </w:p>
        </w:tc>
        <w:tc>
          <w:tcPr>
            <w:tcW w:w="1283" w:type="dxa"/>
          </w:tcPr>
          <w:p w14:paraId="078241D7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Nº incidentes; tempo de resposta</w:t>
            </w:r>
          </w:p>
        </w:tc>
        <w:tc>
          <w:tcPr>
            <w:tcW w:w="987" w:type="dxa"/>
          </w:tcPr>
          <w:p w14:paraId="2B2492FF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0 com lesão; resposta ≤24h</w:t>
            </w:r>
          </w:p>
        </w:tc>
        <w:tc>
          <w:tcPr>
            <w:tcW w:w="1133" w:type="dxa"/>
          </w:tcPr>
          <w:p w14:paraId="35281BD3" w14:textId="77777777" w:rsidR="00D71FB5" w:rsidRPr="00F16DA5" w:rsidRDefault="00000000">
            <w:pPr>
              <w:pStyle w:val="Compact"/>
              <w:rPr>
                <w:sz w:val="13"/>
                <w:szCs w:val="13"/>
              </w:rPr>
            </w:pPr>
            <w:r w:rsidRPr="00F16DA5">
              <w:rPr>
                <w:sz w:val="13"/>
                <w:szCs w:val="13"/>
              </w:rPr>
              <w:t>RH/Segurança</w:t>
            </w:r>
          </w:p>
        </w:tc>
      </w:tr>
    </w:tbl>
    <w:p w14:paraId="11D6DAB3" w14:textId="77777777" w:rsidR="00D71FB5" w:rsidRDefault="00000000">
      <w:pPr>
        <w:pStyle w:val="Textoembloco"/>
      </w:pPr>
      <w:r>
        <w:t xml:space="preserve">Observação: Sempre que aplicável, </w:t>
      </w:r>
      <w:r>
        <w:rPr>
          <w:b/>
          <w:bCs/>
        </w:rPr>
        <w:t>Prazo</w:t>
      </w:r>
      <w:r>
        <w:t xml:space="preserve"> segue o </w:t>
      </w:r>
      <w:r>
        <w:rPr>
          <w:i/>
          <w:iCs/>
        </w:rPr>
        <w:t>roadmap</w:t>
      </w:r>
      <w:r>
        <w:t xml:space="preserve"> do item 13.8 (Q1–Q4 2025; continuidade em 2026). Os </w:t>
      </w:r>
      <w:r>
        <w:rPr>
          <w:b/>
          <w:bCs/>
        </w:rPr>
        <w:t>Indicadores</w:t>
      </w:r>
      <w:r>
        <w:t xml:space="preserve"> se integram ao Painel de Qualidade do serviço e são apresentados nas reuniões mensais e no Relatório Trimestral de Segurança.</w:t>
      </w:r>
      <w:bookmarkEnd w:id="0"/>
      <w:bookmarkEnd w:id="29"/>
      <w:bookmarkEnd w:id="33"/>
    </w:p>
    <w:sectPr w:rsidR="00D71FB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9EAD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818F2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43383197">
    <w:abstractNumId w:val="0"/>
  </w:num>
  <w:num w:numId="2" w16cid:durableId="1878545369">
    <w:abstractNumId w:val="1"/>
  </w:num>
  <w:num w:numId="3" w16cid:durableId="1284309049">
    <w:abstractNumId w:val="1"/>
  </w:num>
  <w:num w:numId="4" w16cid:durableId="1429693500">
    <w:abstractNumId w:val="1"/>
  </w:num>
  <w:num w:numId="5" w16cid:durableId="527983890">
    <w:abstractNumId w:val="1"/>
  </w:num>
  <w:num w:numId="6" w16cid:durableId="1999384589">
    <w:abstractNumId w:val="1"/>
  </w:num>
  <w:num w:numId="7" w16cid:durableId="1585989070">
    <w:abstractNumId w:val="1"/>
  </w:num>
  <w:num w:numId="8" w16cid:durableId="275407050">
    <w:abstractNumId w:val="1"/>
  </w:num>
  <w:num w:numId="9" w16cid:durableId="489827708">
    <w:abstractNumId w:val="1"/>
  </w:num>
  <w:num w:numId="10" w16cid:durableId="307366707">
    <w:abstractNumId w:val="1"/>
  </w:num>
  <w:num w:numId="11" w16cid:durableId="393087847">
    <w:abstractNumId w:val="1"/>
  </w:num>
  <w:num w:numId="12" w16cid:durableId="1166096464">
    <w:abstractNumId w:val="1"/>
  </w:num>
  <w:num w:numId="13" w16cid:durableId="1967198210">
    <w:abstractNumId w:val="1"/>
  </w:num>
  <w:num w:numId="14" w16cid:durableId="427044879">
    <w:abstractNumId w:val="1"/>
  </w:num>
  <w:num w:numId="15" w16cid:durableId="1798067282">
    <w:abstractNumId w:val="1"/>
  </w:num>
  <w:num w:numId="16" w16cid:durableId="1501695415">
    <w:abstractNumId w:val="1"/>
  </w:num>
  <w:num w:numId="17" w16cid:durableId="1077702246">
    <w:abstractNumId w:val="1"/>
  </w:num>
  <w:num w:numId="18" w16cid:durableId="1967542122">
    <w:abstractNumId w:val="1"/>
  </w:num>
  <w:num w:numId="19" w16cid:durableId="1374303639">
    <w:abstractNumId w:val="1"/>
  </w:num>
  <w:num w:numId="20" w16cid:durableId="1981492900">
    <w:abstractNumId w:val="1"/>
  </w:num>
  <w:num w:numId="21" w16cid:durableId="154810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B5"/>
    <w:rsid w:val="00147DCE"/>
    <w:rsid w:val="001E41A4"/>
    <w:rsid w:val="002F296D"/>
    <w:rsid w:val="007A4E18"/>
    <w:rsid w:val="0099066E"/>
    <w:rsid w:val="00D71FB5"/>
    <w:rsid w:val="00F154B0"/>
    <w:rsid w:val="00F16DA5"/>
    <w:rsid w:val="00F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D3B6"/>
  <w15:docId w15:val="{12679FCB-EBF5-424C-9022-24976F6B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3725</Words>
  <Characters>20120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Daiane Schneider</dc:creator>
  <cp:keywords/>
  <cp:lastModifiedBy>Daiane Schneider</cp:lastModifiedBy>
  <cp:revision>2</cp:revision>
  <dcterms:created xsi:type="dcterms:W3CDTF">2025-10-06T15:54:00Z</dcterms:created>
  <dcterms:modified xsi:type="dcterms:W3CDTF">2025-10-06T15:54:00Z</dcterms:modified>
</cp:coreProperties>
</file>