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b/>
          <w:color w:val="1F4D78"/>
          <w:sz w:val="40"/>
        </w:rPr>
        <w:t>WU GUOXIN  吴国新</w:t>
      </w:r>
    </w:p>
    <w:p>
      <w:pPr>
        <w:spacing w:after="40"/>
        <w:jc w:val="center"/>
      </w:pPr>
      <w:r>
        <w:rPr>
          <w:rFonts w:ascii="Aptos" w:hAnsi="Aptos"/>
          <w:sz w:val="20"/>
        </w:rPr>
        <w:t>LAW • INTERNATIONAL COOPERATION • DIGITAL CONTENT &amp; TRAINING SUPPORT</w:t>
      </w:r>
    </w:p>
    <w:p>
      <w:pPr>
        <w:spacing w:after="80"/>
        <w:jc w:val="center"/>
      </w:pPr>
      <w:r>
        <w:rPr>
          <w:rFonts w:ascii="Aptos" w:hAnsi="Aptos"/>
          <w:sz w:val="20"/>
        </w:rPr>
        <w:t>Target: ABC Fellowship, WIPO — Ref. 26213-FEL | Geneva</w:t>
      </w:r>
    </w:p>
    <w:p>
      <w:pPr>
        <w:spacing w:after="100"/>
        <w:jc w:val="center"/>
      </w:pPr>
      <w:r>
        <w:rPr>
          <w:rFonts w:ascii="Aptos" w:hAnsi="Aptos"/>
          <w:sz w:val="17"/>
        </w:rPr>
        <w:t>Taiyuan, Shanxi, China | wgxpolice19705012@gmail.com | Available for international assignment and relocation</w:t>
      </w:r>
    </w:p>
    <w:p>
      <w:pPr>
        <w:pStyle w:val="Heading1"/>
      </w:pPr>
      <w:r>
        <w:rPr>
          <w:rFonts w:ascii="Aptos" w:hAnsi="Aptos"/>
          <w:sz w:val="20"/>
        </w:rPr>
        <w:t>PROFESSIONAL PROFILE</w:t>
      </w:r>
    </w:p>
    <w:p>
      <w:pPr>
        <w:spacing w:after="80"/>
      </w:pPr>
      <w:r>
        <w:rPr>
          <w:rFonts w:ascii="Aptos" w:hAnsi="Aptos"/>
          <w:sz w:val="20"/>
        </w:rPr>
        <w:t>Law, international-cooperation and professional-education specialist with more than 25 years of progressively responsible public-sector experience. Brings a Bachelor of Law, postgraduate study in transnational crime prevention, advanced professional English, bilingual drafting, digital information management, content development, training delivery and stakeholder coordination. Experienced in preparing and editing briefs, reports, presentations, correspondence, learning materials and public-facing professional content; organizing sensitive information accurately; working tactfully with diverse counterparts; and learning new legal and policy fields quickly. Motivated to contribute to ABC’s humanitarian objective of improving access to books for people who are print disabled and to build practical knowledge of accessibility, copyright and the Marrakesh Treaty.</w:t>
      </w:r>
    </w:p>
    <w:p>
      <w:pPr>
        <w:pStyle w:val="Heading1"/>
      </w:pPr>
      <w:r>
        <w:rPr>
          <w:rFonts w:ascii="Aptos" w:hAnsi="Aptos"/>
          <w:sz w:val="20"/>
        </w:rPr>
        <w:t>ABC-RELEVANT TRANSFERABLE VALUE</w:t>
      </w:r>
    </w:p>
    <w:tbl>
      <w:tblPr>
        <w:tblW w:type="auto" w:w="0"/>
        <w:jc w:val="center"/>
        <w:tblLayout w:type="fixed"/>
        <w:tblLook w:firstColumn="1" w:firstRow="1" w:lastColumn="0" w:lastRow="0" w:noHBand="0" w:noVBand="1" w:val="04A0"/>
        <w:tblLayout w:type="fixed"/>
      </w:tblPr>
      <w:tblGrid>
        <w:gridCol w:w="5184"/>
        <w:gridCol w:w="5184"/>
      </w:tblGrid>
      <w:tr>
        <w:tc>
          <w:tcPr>
            <w:tcW w:type="dxa" w:w="5112"/>
            <w:vAlign w:val="center"/>
            <w:tcMar>
              <w:top w:w="80" w:type="dxa"/>
              <w:start w:w="120" w:type="dxa"/>
              <w:bottom w:w="80" w:type="dxa"/>
              <w:end w:w="120" w:type="dxa"/>
            </w:tcMar>
          </w:tcPr>
          <w:p>
            <w:r>
              <w:t>Legal and policy foundation</w:t>
              <w:br/>
              <w:t>Bachelor of Law; postgraduate transnational-crime prevention; rapid learning in copyright and accessibility</w:t>
            </w:r>
          </w:p>
        </w:tc>
        <w:tc>
          <w:tcPr>
            <w:tcW w:type="dxa" w:w="5112"/>
            <w:vAlign w:val="center"/>
            <w:tcMar>
              <w:top w:w="80" w:type="dxa"/>
              <w:start w:w="120" w:type="dxa"/>
              <w:bottom w:w="80" w:type="dxa"/>
              <w:end w:w="120" w:type="dxa"/>
            </w:tcMar>
          </w:tcPr>
          <w:p>
            <w:r>
              <w:t>Writing and content production</w:t>
              <w:br/>
              <w:t>Bilingual briefs, reports, learning materials, presentations, edited professional content and stakeholder communications</w:t>
            </w:r>
          </w:p>
        </w:tc>
      </w:tr>
      <w:tr>
        <w:tc>
          <w:tcPr>
            <w:tcW w:type="dxa" w:w="5112"/>
            <w:vAlign w:val="center"/>
            <w:tcMar>
              <w:top w:w="80" w:type="dxa"/>
              <w:start w:w="120" w:type="dxa"/>
              <w:bottom w:w="80" w:type="dxa"/>
              <w:end w:w="120" w:type="dxa"/>
            </w:tcMar>
          </w:tcPr>
          <w:p>
            <w:r>
              <w:t>Information organization</w:t>
              <w:br/>
              <w:t>Accurate handling of complex records, document review, digital information management and structured follow-up</w:t>
            </w:r>
          </w:p>
        </w:tc>
        <w:tc>
          <w:tcPr>
            <w:tcW w:type="dxa" w:w="5112"/>
            <w:vAlign w:val="center"/>
            <w:tcMar>
              <w:top w:w="80" w:type="dxa"/>
              <w:start w:w="120" w:type="dxa"/>
              <w:bottom w:w="80" w:type="dxa"/>
              <w:end w:w="120" w:type="dxa"/>
            </w:tcMar>
          </w:tcPr>
          <w:p>
            <w:r>
              <w:t>Training and technical support</w:t>
              <w:br/>
              <w:t>Bilingual delivery, instructional design, user guidance, feedback collection and capacity-building activity</w:t>
            </w:r>
          </w:p>
        </w:tc>
      </w:tr>
      <w:tr>
        <w:tc>
          <w:tcPr>
            <w:tcW w:type="dxa" w:w="5112"/>
            <w:vAlign w:val="center"/>
            <w:tcMar>
              <w:top w:w="80" w:type="dxa"/>
              <w:start w:w="120" w:type="dxa"/>
              <w:bottom w:w="80" w:type="dxa"/>
              <w:end w:w="120" w:type="dxa"/>
            </w:tcMar>
          </w:tcPr>
          <w:p>
            <w:r>
              <w:t>Stakeholder service</w:t>
              <w:br/>
              <w:t>Tactful contact with government, international and professional counterparts; meeting and conference support</w:t>
            </w:r>
          </w:p>
        </w:tc>
        <w:tc>
          <w:tcPr>
            <w:tcW w:type="dxa" w:w="5112"/>
            <w:vAlign w:val="center"/>
            <w:tcMar>
              <w:top w:w="80" w:type="dxa"/>
              <w:start w:w="120" w:type="dxa"/>
              <w:bottom w:w="80" w:type="dxa"/>
              <w:end w:w="120" w:type="dxa"/>
            </w:tcMar>
          </w:tcPr>
          <w:p>
            <w:r>
              <w:t>Humanitarian motivation</w:t>
              <w:br/>
              <w:t>Specific commitment to ABC’s inclusive-access objective and willingness to build expertise in the Marrakesh Treaty</w:t>
            </w:r>
          </w:p>
        </w:tc>
      </w:tr>
    </w:tbl>
    <w:p>
      <w:pPr>
        <w:pStyle w:val="Heading1"/>
      </w:pPr>
      <w:r>
        <w:rPr>
          <w:rFonts w:ascii="Aptos" w:hAnsi="Aptos"/>
          <w:sz w:val="20"/>
        </w:rPr>
        <w:t>PROFESSIONAL EXPERIENCE</w:t>
      </w:r>
    </w:p>
    <w:p>
      <w:pPr>
        <w:keepNext/>
        <w:spacing w:before="80" w:after="0"/>
      </w:pPr>
      <w:r>
        <w:rPr>
          <w:rFonts w:ascii="Aptos" w:hAnsi="Aptos"/>
          <w:b/>
          <w:sz w:val="20"/>
        </w:rPr>
        <w:t>Senior Police Officer / International Police Cooperation Specialist</w:t>
      </w:r>
    </w:p>
    <w:p>
      <w:pPr>
        <w:keepNext/>
        <w:spacing w:after="40"/>
      </w:pPr>
      <w:r>
        <w:rPr>
          <w:rFonts w:ascii="Aptos" w:hAnsi="Aptos"/>
          <w:i/>
          <w:color w:val="666666"/>
          <w:sz w:val="17"/>
        </w:rPr>
        <w:t>Shanxi Provincial Public Security Department, China | 1997–Present</w:t>
      </w:r>
    </w:p>
    <w:p>
      <w:pPr>
        <w:spacing w:after="50" w:line="245" w:lineRule="auto"/>
        <w:numPr>
          <w:ilvl w:val="0"/>
          <w:numId w:val="29"/>
        </w:numPr>
      </w:pPr>
      <w:r>
        <w:rPr>
          <w:rFonts w:ascii="Aptos" w:hAnsi="Aptos"/>
          <w:sz w:val="20"/>
        </w:rPr>
        <w:t>Coordinate information exchange and cross-border cooperation involving government units, overseas counterparts and international law-enforcement channels, maintaining accurate records and timely follow-up.</w:t>
      </w:r>
    </w:p>
    <w:p>
      <w:pPr>
        <w:spacing w:after="50" w:line="245" w:lineRule="auto"/>
        <w:numPr>
          <w:ilvl w:val="0"/>
          <w:numId w:val="29"/>
        </w:numPr>
      </w:pPr>
      <w:r>
        <w:rPr>
          <w:rFonts w:ascii="Aptos" w:hAnsi="Aptos"/>
          <w:sz w:val="20"/>
        </w:rPr>
        <w:t>Draft, edit and quality-check bilingual briefs, official correspondence, operational plans, reports, risk assessments and decision materials for complex and sensitive matters.</w:t>
      </w:r>
    </w:p>
    <w:p>
      <w:pPr>
        <w:spacing w:after="50" w:line="245" w:lineRule="auto"/>
        <w:numPr>
          <w:ilvl w:val="0"/>
          <w:numId w:val="29"/>
        </w:numPr>
      </w:pPr>
      <w:r>
        <w:rPr>
          <w:rFonts w:ascii="Aptos" w:hAnsi="Aptos"/>
          <w:sz w:val="20"/>
        </w:rPr>
        <w:t>Prepare meetings and professional engagements, coordinate stakeholders at different levels, record action points and support clear communication across institutional and cultural boundaries.</w:t>
      </w:r>
    </w:p>
    <w:p>
      <w:pPr>
        <w:spacing w:after="50" w:line="245" w:lineRule="auto"/>
        <w:numPr>
          <w:ilvl w:val="0"/>
          <w:numId w:val="29"/>
        </w:numPr>
      </w:pPr>
      <w:r>
        <w:rPr>
          <w:rFonts w:ascii="Aptos" w:hAnsi="Aptos"/>
          <w:sz w:val="20"/>
        </w:rPr>
        <w:t>Contribute to cooperation programmes and policy implementation, translating strategic requirements into practical workplans, guidance, training activity and monitored follow-up.</w:t>
      </w:r>
    </w:p>
    <w:p>
      <w:pPr>
        <w:spacing w:after="50" w:line="245" w:lineRule="auto"/>
        <w:numPr>
          <w:ilvl w:val="0"/>
          <w:numId w:val="29"/>
        </w:numPr>
      </w:pPr>
      <w:r>
        <w:rPr>
          <w:rFonts w:ascii="Aptos" w:hAnsi="Aptos"/>
          <w:sz w:val="20"/>
        </w:rPr>
        <w:t>Organize and review complex case information under time pressure while maintaining confidentiality, procedural discipline, accuracy and respect for different institutions.</w:t>
      </w:r>
    </w:p>
    <w:p>
      <w:pPr>
        <w:spacing w:after="50" w:line="245" w:lineRule="auto"/>
        <w:numPr>
          <w:ilvl w:val="0"/>
          <w:numId w:val="29"/>
        </w:numPr>
      </w:pPr>
      <w:r>
        <w:rPr>
          <w:rFonts w:ascii="Aptos" w:hAnsi="Aptos"/>
          <w:sz w:val="18"/>
        </w:rPr>
        <w:t>Recognized in 2019 for contributions to international law-enforcement cooperation and case-related work.</w:t>
      </w:r>
    </w:p>
    <w:p>
      <w:r>
        <w:rPr>
          <w:rFonts w:ascii="Aptos" w:hAnsi="Aptos"/>
          <w:sz w:val="20"/>
        </w:rPr>
        <w:br w:type="page"/>
      </w:r>
    </w:p>
    <w:p>
      <w:pPr>
        <w:keepNext/>
        <w:spacing w:before="80" w:after="0"/>
      </w:pPr>
      <w:r>
        <w:rPr>
          <w:rFonts w:ascii="Aptos" w:hAnsi="Aptos"/>
          <w:b/>
          <w:sz w:val="20"/>
        </w:rPr>
        <w:t>Lecturer, Trainer and Curriculum Designer (Concurrent Teaching Portfolio)</w:t>
      </w:r>
    </w:p>
    <w:p>
      <w:pPr>
        <w:keepNext/>
        <w:spacing w:after="40"/>
      </w:pPr>
      <w:r>
        <w:rPr>
          <w:rFonts w:ascii="Aptos" w:hAnsi="Aptos"/>
          <w:i/>
          <w:color w:val="666666"/>
          <w:sz w:val="17"/>
        </w:rPr>
        <w:t>Shanxi Police College, China | Recent years</w:t>
      </w:r>
    </w:p>
    <w:p>
      <w:pPr>
        <w:spacing w:after="50" w:line="245" w:lineRule="auto"/>
        <w:numPr>
          <w:ilvl w:val="0"/>
          <w:numId w:val="29"/>
        </w:numPr>
      </w:pPr>
      <w:r>
        <w:rPr>
          <w:rFonts w:ascii="Aptos" w:hAnsi="Aptos"/>
          <w:sz w:val="20"/>
        </w:rPr>
        <w:t>Design and deliver bilingual and English-medium programmes; develop structured learning materials, facilitator notes, presentations, scenarios, assessment tools and digital resources for adult learners.</w:t>
      </w:r>
    </w:p>
    <w:p>
      <w:pPr>
        <w:spacing w:after="50" w:line="245" w:lineRule="auto"/>
        <w:numPr>
          <w:ilvl w:val="0"/>
          <w:numId w:val="29"/>
        </w:numPr>
      </w:pPr>
      <w:r>
        <w:rPr>
          <w:rFonts w:ascii="Aptos" w:hAnsi="Aptos"/>
          <w:sz w:val="20"/>
        </w:rPr>
        <w:t>Produce, edit and organize professional content for cohorts of approximately 50–200 learners, using Word, Excel, Outlook, PowerPoint, online collaboration and digital information-management tools.</w:t>
      </w:r>
    </w:p>
    <w:p>
      <w:pPr>
        <w:spacing w:after="50" w:line="245" w:lineRule="auto"/>
        <w:numPr>
          <w:ilvl w:val="0"/>
          <w:numId w:val="29"/>
        </w:numPr>
      </w:pPr>
      <w:r>
        <w:rPr>
          <w:rFonts w:ascii="Aptos" w:hAnsi="Aptos"/>
          <w:sz w:val="20"/>
        </w:rPr>
        <w:t>Coordinate participation, monitor implementation, collect structured feedback, revise content and communicate results to improve accessibility, clarity and practical usefulness for learners.</w:t>
      </w:r>
    </w:p>
    <w:p>
      <w:pPr>
        <w:spacing w:after="50" w:line="245" w:lineRule="auto"/>
        <w:numPr>
          <w:ilvl w:val="0"/>
          <w:numId w:val="29"/>
        </w:numPr>
      </w:pPr>
      <w:r>
        <w:rPr>
          <w:rFonts w:ascii="Aptos" w:hAnsi="Aptos"/>
          <w:sz w:val="20"/>
        </w:rPr>
        <w:t>Mentor applied research and written projects on rule of law, institutional accountability, international cooperation, non-traditional security and responsible technology use.</w:t>
      </w:r>
    </w:p>
    <w:p>
      <w:pPr>
        <w:keepNext/>
        <w:spacing w:before="80" w:after="0"/>
      </w:pPr>
      <w:r>
        <w:rPr>
          <w:rFonts w:ascii="Aptos" w:hAnsi="Aptos"/>
          <w:b/>
          <w:sz w:val="20"/>
        </w:rPr>
        <w:t>Researcher, Author and Security-Training Consultant</w:t>
      </w:r>
    </w:p>
    <w:p>
      <w:pPr>
        <w:keepNext/>
        <w:spacing w:after="40"/>
      </w:pPr>
      <w:r>
        <w:rPr>
          <w:rFonts w:ascii="Aptos" w:hAnsi="Aptos"/>
          <w:i/>
          <w:color w:val="666666"/>
          <w:sz w:val="17"/>
        </w:rPr>
        <w:t>Independent Research and Professional Training Portfolio, China / International | 2025–Present</w:t>
      </w:r>
    </w:p>
    <w:p>
      <w:pPr>
        <w:spacing w:after="50" w:line="245" w:lineRule="auto"/>
        <w:numPr>
          <w:ilvl w:val="0"/>
          <w:numId w:val="29"/>
        </w:numPr>
      </w:pPr>
      <w:r>
        <w:rPr>
          <w:rFonts w:ascii="Aptos" w:hAnsi="Aptos"/>
          <w:sz w:val="20"/>
        </w:rPr>
        <w:t>Prepare research frameworks, concept notes, policy roadmaps, workplans, training packages, written recommendations and communication materials for institutional reform and capacity development.</w:t>
      </w:r>
    </w:p>
    <w:p>
      <w:pPr>
        <w:spacing w:after="50" w:line="245" w:lineRule="auto"/>
        <w:numPr>
          <w:ilvl w:val="0"/>
          <w:numId w:val="29"/>
        </w:numPr>
      </w:pPr>
      <w:r>
        <w:rPr>
          <w:rFonts w:ascii="Aptos" w:hAnsi="Aptos"/>
          <w:sz w:val="20"/>
        </w:rPr>
        <w:t>Develop a comparative legal and governance monograph using interviews, document analysis and institutional research; manage sources and convert complex findings into clear written outputs.</w:t>
      </w:r>
    </w:p>
    <w:p>
      <w:pPr>
        <w:spacing w:after="50" w:line="245" w:lineRule="auto"/>
        <w:numPr>
          <w:ilvl w:val="0"/>
          <w:numId w:val="29"/>
        </w:numPr>
      </w:pPr>
      <w:r>
        <w:rPr>
          <w:rFonts w:ascii="Aptos" w:hAnsi="Aptos"/>
          <w:sz w:val="20"/>
        </w:rPr>
        <w:t>Research unfamiliar legal and policy questions rapidly and explain them accurately to academic, professional and decision-making audiences.</w:t>
      </w:r>
    </w:p>
    <w:p>
      <w:pPr>
        <w:pStyle w:val="Heading1"/>
      </w:pPr>
      <w:r>
        <w:rPr>
          <w:rFonts w:ascii="Aptos" w:hAnsi="Aptos"/>
          <w:sz w:val="20"/>
        </w:rPr>
        <w:t>SELECTED INTERNATIONAL ASSIGNMENTS &amp; EXPOSURE</w:t>
      </w:r>
    </w:p>
    <w:p>
      <w:pPr>
        <w:spacing w:after="50" w:line="245" w:lineRule="auto"/>
        <w:numPr>
          <w:ilvl w:val="0"/>
          <w:numId w:val="29"/>
        </w:numPr>
      </w:pPr>
      <w:r>
        <w:rPr>
          <w:rFonts w:ascii="Aptos" w:hAnsi="Aptos"/>
          <w:sz w:val="17"/>
        </w:rPr>
        <w:t>Tajikistan (2018): international fugitive-pursuit assignment and operational liaison with relevant counterparts.</w:t>
      </w:r>
    </w:p>
    <w:p>
      <w:pPr>
        <w:spacing w:after="50" w:line="245" w:lineRule="auto"/>
        <w:numPr>
          <w:ilvl w:val="0"/>
          <w:numId w:val="29"/>
        </w:numPr>
      </w:pPr>
      <w:r>
        <w:rPr>
          <w:rFonts w:ascii="Aptos" w:hAnsi="Aptos"/>
          <w:sz w:val="17"/>
        </w:rPr>
        <w:t>Singapore (2017–2018): overseas evidence collection, international case cooperation and cross-border coordination.</w:t>
      </w:r>
    </w:p>
    <w:p>
      <w:pPr>
        <w:spacing w:after="50" w:line="245" w:lineRule="auto"/>
        <w:numPr>
          <w:ilvl w:val="0"/>
          <w:numId w:val="29"/>
        </w:numPr>
      </w:pPr>
      <w:r>
        <w:rPr>
          <w:rFonts w:ascii="Aptos" w:hAnsi="Aptos"/>
          <w:sz w:val="17"/>
        </w:rPr>
        <w:t>Vietnam and regional cooperation: case-related liaison and international police-cooperation activities.</w:t>
      </w:r>
    </w:p>
    <w:p>
      <w:pPr>
        <w:spacing w:after="50" w:line="245" w:lineRule="auto"/>
        <w:numPr>
          <w:ilvl w:val="0"/>
          <w:numId w:val="29"/>
        </w:numPr>
      </w:pPr>
      <w:r>
        <w:rPr>
          <w:rFonts w:ascii="Aptos" w:hAnsi="Aptos"/>
          <w:sz w:val="17"/>
        </w:rPr>
        <w:t>Australia: postgraduate study and professional development in transnational crime prevention and comparative criminal justice.</w:t>
      </w:r>
    </w:p>
    <w:p>
      <w:pPr>
        <w:spacing w:after="50" w:line="245" w:lineRule="auto"/>
        <w:numPr>
          <w:ilvl w:val="0"/>
          <w:numId w:val="29"/>
        </w:numPr>
      </w:pPr>
      <w:r>
        <w:rPr>
          <w:rFonts w:ascii="Aptos" w:hAnsi="Aptos"/>
          <w:sz w:val="17"/>
        </w:rPr>
        <w:t>INTERPOL-related programmes and international policing activities; qualified through the UN Police peacekeeping examination/assessment process.</w:t>
      </w:r>
    </w:p>
    <w:p>
      <w:pPr>
        <w:pStyle w:val="Heading1"/>
      </w:pPr>
      <w:r>
        <w:rPr>
          <w:rFonts w:ascii="Aptos" w:hAnsi="Aptos"/>
          <w:sz w:val="20"/>
        </w:rPr>
        <w:t>EDUCATION</w:t>
      </w:r>
    </w:p>
    <w:p>
      <w:pPr>
        <w:spacing w:after="20"/>
      </w:pPr>
      <w:r>
        <w:rPr>
          <w:rFonts w:ascii="Aptos" w:hAnsi="Aptos"/>
          <w:b/>
          <w:sz w:val="17"/>
        </w:rPr>
        <w:t>Master’s Degree in Transnational Crime Prevention</w:t>
      </w:r>
      <w:r>
        <w:rPr>
          <w:rFonts w:ascii="Aptos" w:hAnsi="Aptos"/>
          <w:sz w:val="17"/>
        </w:rPr>
        <w:t xml:space="preserve"> — University of Wollongong, Australia</w:t>
      </w:r>
    </w:p>
    <w:p>
      <w:pPr>
        <w:spacing w:after="20"/>
      </w:pPr>
      <w:r>
        <w:rPr>
          <w:rFonts w:ascii="Aptos" w:hAnsi="Aptos"/>
          <w:b/>
          <w:sz w:val="17"/>
        </w:rPr>
        <w:t>Bachelor of Law in Public Security Management</w:t>
      </w:r>
      <w:r>
        <w:rPr>
          <w:rFonts w:ascii="Aptos" w:hAnsi="Aptos"/>
          <w:sz w:val="17"/>
        </w:rPr>
        <w:t xml:space="preserve"> — People’s Public Security University of China, Beijing</w:t>
      </w:r>
    </w:p>
    <w:p>
      <w:pPr>
        <w:spacing w:after="20"/>
      </w:pPr>
      <w:r>
        <w:rPr>
          <w:rFonts w:ascii="Aptos" w:hAnsi="Aptos"/>
          <w:b/>
          <w:sz w:val="17"/>
        </w:rPr>
        <w:t>Diploma / Foundational Professional Education in Police Studies</w:t>
      </w:r>
      <w:r>
        <w:rPr>
          <w:rFonts w:ascii="Aptos" w:hAnsi="Aptos"/>
          <w:sz w:val="17"/>
        </w:rPr>
        <w:t xml:space="preserve"> — Taiyuan Police School, Shanxi</w:t>
      </w:r>
    </w:p>
    <w:p>
      <w:pPr>
        <w:pStyle w:val="Heading1"/>
      </w:pPr>
      <w:r>
        <w:rPr>
          <w:rFonts w:ascii="Aptos" w:hAnsi="Aptos"/>
          <w:sz w:val="20"/>
        </w:rPr>
        <w:t>LANGUAGES, DIGITAL SKILLS &amp; ABC LEARNING PRIORITIES</w:t>
      </w:r>
    </w:p>
    <w:p>
      <w:pPr>
        <w:spacing w:after="50" w:line="245" w:lineRule="auto"/>
        <w:numPr>
          <w:ilvl w:val="0"/>
          <w:numId w:val="29"/>
        </w:numPr>
      </w:pPr>
      <w:r>
        <w:rPr>
          <w:rFonts w:ascii="Aptos" w:hAnsi="Aptos"/>
          <w:sz w:val="17"/>
        </w:rPr>
        <w:t>Chinese (Mandarin): Native | English: Advanced professional working proficiency for research, drafting, training, liaison and presentation.</w:t>
      </w:r>
    </w:p>
    <w:p>
      <w:pPr>
        <w:spacing w:after="50" w:line="245" w:lineRule="auto"/>
        <w:numPr>
          <w:ilvl w:val="0"/>
          <w:numId w:val="29"/>
        </w:numPr>
      </w:pPr>
      <w:r>
        <w:rPr>
          <w:rFonts w:ascii="Aptos" w:hAnsi="Aptos"/>
          <w:sz w:val="20"/>
        </w:rPr>
        <w:t>Competent user of Microsoft Word, Excel, Outlook and PowerPoint; online collaboration; digital information management; document organization; content editing; and AI-assisted research and drafting with human verification.</w:t>
      </w:r>
    </w:p>
    <w:p>
      <w:pPr>
        <w:spacing w:after="50" w:line="245" w:lineRule="auto"/>
        <w:numPr>
          <w:ilvl w:val="0"/>
          <w:numId w:val="29"/>
        </w:numPr>
      </w:pPr>
      <w:r>
        <w:rPr>
          <w:rFonts w:ascii="Aptos" w:hAnsi="Aptos"/>
          <w:sz w:val="20"/>
        </w:rPr>
        <w:t>ABC learning priorities: accessible-format standards, assistive technology, accessible publishing, metadata and cataloguing concepts, copyright law and the Marrakesh Treaty.</w:t>
      </w:r>
    </w:p>
    <w:p>
      <w:pPr>
        <w:pStyle w:val="SmallNote"/>
        <w:spacing w:before="60"/>
      </w:pPr>
      <w:r>
        <w:rPr>
          <w:rFonts w:ascii="Aptos" w:hAnsi="Aptos"/>
          <w:sz w:val="20"/>
        </w:rPr>
        <w:t>References and a detailed WIPO/Taleo employment history are available upon request.</w:t>
      </w:r>
    </w:p>
    <w:sectPr w:rsidR="00FC693F" w:rsidRPr="0006063C" w:rsidSect="00034616">
      <w:footerReference w:type="default" r:id="rId9"/>
      <w:pgSz w:w="12240" w:h="15840"/>
      <w:pgMar w:top="835" w:right="936" w:bottom="835"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WU Guoxin | WIPO ABC Fellowship 26213-FEL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9">
    <w:lvl w:ilvl="0">
      <w:start w:val="1"/>
      <w:numFmt w:val="bullet"/>
      <w:lvlText w:val="•"/>
      <w:pPr>
        <w:tabs>
          <w:tab w:val="num" w:pos="300"/>
        </w:tabs>
        <w:ind w:left="300" w:hanging="180"/>
      </w:pPr>
    </w:lvl>
  </w:abstract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45" w:lineRule="auto"/>
    </w:pPr>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4D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libri" w:hAnsi="Calibr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