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Орлова и партнеры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Август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03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Мир Иосифович Гурьев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г. Неплюевка, наб. Высотная, д. 63, 481323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8603065794062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прежде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94501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8079.28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339329.76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редактор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64104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1661.86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282774.8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горький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33903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3903.41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145427.04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еврейский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37558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4991.81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387805.44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запретить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74633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2297.35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24237.84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714255.17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