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43786E"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796395" w:history="1">
        <w:r w:rsidR="0043786E" w:rsidRPr="002B62A4">
          <w:rPr>
            <w:rStyle w:val="Hiperhivatkozs"/>
            <w:noProof/>
          </w:rPr>
          <w:t>1</w:t>
        </w:r>
        <w:r w:rsidR="0043786E">
          <w:rPr>
            <w:rFonts w:asciiTheme="minorHAnsi" w:eastAsiaTheme="minorEastAsia" w:hAnsiTheme="minorHAnsi"/>
            <w:noProof/>
            <w:sz w:val="22"/>
            <w:lang w:eastAsia="hu-HU"/>
          </w:rPr>
          <w:tab/>
        </w:r>
        <w:r w:rsidR="0043786E" w:rsidRPr="002B62A4">
          <w:rPr>
            <w:rStyle w:val="Hiperhivatkozs"/>
            <w:noProof/>
          </w:rPr>
          <w:t>Bevezető</w:t>
        </w:r>
        <w:r w:rsidR="0043786E">
          <w:rPr>
            <w:noProof/>
            <w:webHidden/>
          </w:rPr>
          <w:tab/>
        </w:r>
        <w:r w:rsidR="0043786E">
          <w:rPr>
            <w:noProof/>
            <w:webHidden/>
          </w:rPr>
          <w:fldChar w:fldCharType="begin"/>
        </w:r>
        <w:r w:rsidR="0043786E">
          <w:rPr>
            <w:noProof/>
            <w:webHidden/>
          </w:rPr>
          <w:instrText xml:space="preserve"> PAGEREF _Toc430796395 \h </w:instrText>
        </w:r>
        <w:r w:rsidR="0043786E">
          <w:rPr>
            <w:noProof/>
            <w:webHidden/>
          </w:rPr>
        </w:r>
        <w:r w:rsidR="0043786E">
          <w:rPr>
            <w:noProof/>
            <w:webHidden/>
          </w:rPr>
          <w:fldChar w:fldCharType="separate"/>
        </w:r>
        <w:r w:rsidR="0043786E">
          <w:rPr>
            <w:noProof/>
            <w:webHidden/>
          </w:rPr>
          <w:t>4</w:t>
        </w:r>
        <w:r w:rsidR="0043786E">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396" w:history="1">
        <w:r w:rsidRPr="002B62A4">
          <w:rPr>
            <w:rStyle w:val="Hiperhivatkozs"/>
            <w:noProof/>
          </w:rPr>
          <w:t>2</w:t>
        </w:r>
        <w:r>
          <w:rPr>
            <w:rFonts w:asciiTheme="minorHAnsi" w:eastAsiaTheme="minorEastAsia" w:hAnsiTheme="minorHAnsi"/>
            <w:noProof/>
            <w:sz w:val="22"/>
            <w:lang w:eastAsia="hu-HU"/>
          </w:rPr>
          <w:tab/>
        </w:r>
        <w:r w:rsidRPr="002B62A4">
          <w:rPr>
            <w:rStyle w:val="Hiperhivatkozs"/>
            <w:noProof/>
          </w:rPr>
          <w:t>Szakirodalmi áttekintés</w:t>
        </w:r>
        <w:r>
          <w:rPr>
            <w:noProof/>
            <w:webHidden/>
          </w:rPr>
          <w:tab/>
        </w:r>
        <w:r>
          <w:rPr>
            <w:noProof/>
            <w:webHidden/>
          </w:rPr>
          <w:fldChar w:fldCharType="begin"/>
        </w:r>
        <w:r>
          <w:rPr>
            <w:noProof/>
            <w:webHidden/>
          </w:rPr>
          <w:instrText xml:space="preserve"> PAGEREF _Toc430796396 \h </w:instrText>
        </w:r>
        <w:r>
          <w:rPr>
            <w:noProof/>
            <w:webHidden/>
          </w:rPr>
        </w:r>
        <w:r>
          <w:rPr>
            <w:noProof/>
            <w:webHidden/>
          </w:rPr>
          <w:fldChar w:fldCharType="separate"/>
        </w:r>
        <w:r>
          <w:rPr>
            <w:noProof/>
            <w:webHidden/>
          </w:rPr>
          <w:t>5</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397" w:history="1">
        <w:r w:rsidRPr="002B62A4">
          <w:rPr>
            <w:rStyle w:val="Hiperhivatkozs"/>
            <w:noProof/>
          </w:rPr>
          <w:t>2.1</w:t>
        </w:r>
        <w:r>
          <w:rPr>
            <w:rFonts w:asciiTheme="minorHAnsi" w:eastAsiaTheme="minorEastAsia" w:hAnsiTheme="minorHAnsi"/>
            <w:noProof/>
            <w:sz w:val="22"/>
            <w:lang w:eastAsia="hu-HU"/>
          </w:rPr>
          <w:tab/>
        </w:r>
        <w:r w:rsidRPr="002B62A4">
          <w:rPr>
            <w:rStyle w:val="Hiperhivatkozs"/>
            <w:noProof/>
          </w:rPr>
          <w:t>A kultúra fogalma</w:t>
        </w:r>
        <w:r>
          <w:rPr>
            <w:noProof/>
            <w:webHidden/>
          </w:rPr>
          <w:tab/>
        </w:r>
        <w:r>
          <w:rPr>
            <w:noProof/>
            <w:webHidden/>
          </w:rPr>
          <w:fldChar w:fldCharType="begin"/>
        </w:r>
        <w:r>
          <w:rPr>
            <w:noProof/>
            <w:webHidden/>
          </w:rPr>
          <w:instrText xml:space="preserve"> PAGEREF _Toc430796397 \h </w:instrText>
        </w:r>
        <w:r>
          <w:rPr>
            <w:noProof/>
            <w:webHidden/>
          </w:rPr>
        </w:r>
        <w:r>
          <w:rPr>
            <w:noProof/>
            <w:webHidden/>
          </w:rPr>
          <w:fldChar w:fldCharType="separate"/>
        </w:r>
        <w:r>
          <w:rPr>
            <w:noProof/>
            <w:webHidden/>
          </w:rPr>
          <w:t>5</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398" w:history="1">
        <w:r w:rsidRPr="002B62A4">
          <w:rPr>
            <w:rStyle w:val="Hiperhivatkozs"/>
            <w:noProof/>
          </w:rPr>
          <w:t>2.2</w:t>
        </w:r>
        <w:r>
          <w:rPr>
            <w:rFonts w:asciiTheme="minorHAnsi" w:eastAsiaTheme="minorEastAsia" w:hAnsiTheme="minorHAnsi"/>
            <w:noProof/>
            <w:sz w:val="22"/>
            <w:lang w:eastAsia="hu-HU"/>
          </w:rPr>
          <w:tab/>
        </w:r>
        <w:r w:rsidRPr="002B62A4">
          <w:rPr>
            <w:rStyle w:val="Hiperhivatkozs"/>
            <w:noProof/>
          </w:rPr>
          <w:t>Csoportok és kultúrájuk kialakulása</w:t>
        </w:r>
        <w:r>
          <w:rPr>
            <w:noProof/>
            <w:webHidden/>
          </w:rPr>
          <w:tab/>
        </w:r>
        <w:r>
          <w:rPr>
            <w:noProof/>
            <w:webHidden/>
          </w:rPr>
          <w:fldChar w:fldCharType="begin"/>
        </w:r>
        <w:r>
          <w:rPr>
            <w:noProof/>
            <w:webHidden/>
          </w:rPr>
          <w:instrText xml:space="preserve"> PAGEREF _Toc430796398 \h </w:instrText>
        </w:r>
        <w:r>
          <w:rPr>
            <w:noProof/>
            <w:webHidden/>
          </w:rPr>
        </w:r>
        <w:r>
          <w:rPr>
            <w:noProof/>
            <w:webHidden/>
          </w:rPr>
          <w:fldChar w:fldCharType="separate"/>
        </w:r>
        <w:r>
          <w:rPr>
            <w:noProof/>
            <w:webHidden/>
          </w:rPr>
          <w:t>6</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399" w:history="1">
        <w:r w:rsidRPr="002B62A4">
          <w:rPr>
            <w:rStyle w:val="Hiperhivatkozs"/>
            <w:noProof/>
          </w:rPr>
          <w:t>2.3</w:t>
        </w:r>
        <w:r>
          <w:rPr>
            <w:rFonts w:asciiTheme="minorHAnsi" w:eastAsiaTheme="minorEastAsia" w:hAnsiTheme="minorHAnsi"/>
            <w:noProof/>
            <w:sz w:val="22"/>
            <w:lang w:eastAsia="hu-HU"/>
          </w:rPr>
          <w:tab/>
        </w:r>
        <w:r w:rsidRPr="002B62A4">
          <w:rPr>
            <w:rStyle w:val="Hiperhivatkozs"/>
            <w:noProof/>
          </w:rPr>
          <w:t>Szervezeti szocializáció</w:t>
        </w:r>
        <w:r>
          <w:rPr>
            <w:noProof/>
            <w:webHidden/>
          </w:rPr>
          <w:tab/>
        </w:r>
        <w:r>
          <w:rPr>
            <w:noProof/>
            <w:webHidden/>
          </w:rPr>
          <w:fldChar w:fldCharType="begin"/>
        </w:r>
        <w:r>
          <w:rPr>
            <w:noProof/>
            <w:webHidden/>
          </w:rPr>
          <w:instrText xml:space="preserve"> PAGEREF _Toc430796399 \h </w:instrText>
        </w:r>
        <w:r>
          <w:rPr>
            <w:noProof/>
            <w:webHidden/>
          </w:rPr>
        </w:r>
        <w:r>
          <w:rPr>
            <w:noProof/>
            <w:webHidden/>
          </w:rPr>
          <w:fldChar w:fldCharType="separate"/>
        </w:r>
        <w:r>
          <w:rPr>
            <w:noProof/>
            <w:webHidden/>
          </w:rPr>
          <w:t>7</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0" w:history="1">
        <w:r w:rsidRPr="002B62A4">
          <w:rPr>
            <w:rStyle w:val="Hiperhivatkozs"/>
            <w:noProof/>
          </w:rPr>
          <w:t>2.4</w:t>
        </w:r>
        <w:r>
          <w:rPr>
            <w:rFonts w:asciiTheme="minorHAnsi" w:eastAsiaTheme="minorEastAsia" w:hAnsiTheme="minorHAnsi"/>
            <w:noProof/>
            <w:sz w:val="22"/>
            <w:lang w:eastAsia="hu-HU"/>
          </w:rPr>
          <w:tab/>
        </w:r>
        <w:r w:rsidRPr="002B62A4">
          <w:rPr>
            <w:rStyle w:val="Hiperhivatkozs"/>
            <w:noProof/>
          </w:rPr>
          <w:t>A szervezeti kultúra</w:t>
        </w:r>
        <w:r>
          <w:rPr>
            <w:noProof/>
            <w:webHidden/>
          </w:rPr>
          <w:tab/>
        </w:r>
        <w:r>
          <w:rPr>
            <w:noProof/>
            <w:webHidden/>
          </w:rPr>
          <w:fldChar w:fldCharType="begin"/>
        </w:r>
        <w:r>
          <w:rPr>
            <w:noProof/>
            <w:webHidden/>
          </w:rPr>
          <w:instrText xml:space="preserve"> PAGEREF _Toc430796400 \h </w:instrText>
        </w:r>
        <w:r>
          <w:rPr>
            <w:noProof/>
            <w:webHidden/>
          </w:rPr>
        </w:r>
        <w:r>
          <w:rPr>
            <w:noProof/>
            <w:webHidden/>
          </w:rPr>
          <w:fldChar w:fldCharType="separate"/>
        </w:r>
        <w:r>
          <w:rPr>
            <w:noProof/>
            <w:webHidden/>
          </w:rPr>
          <w:t>8</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1" w:history="1">
        <w:r w:rsidRPr="002B62A4">
          <w:rPr>
            <w:rStyle w:val="Hiperhivatkozs"/>
            <w:noProof/>
          </w:rPr>
          <w:t>2.5</w:t>
        </w:r>
        <w:r>
          <w:rPr>
            <w:rFonts w:asciiTheme="minorHAnsi" w:eastAsiaTheme="minorEastAsia" w:hAnsiTheme="minorHAnsi"/>
            <w:noProof/>
            <w:sz w:val="22"/>
            <w:lang w:eastAsia="hu-HU"/>
          </w:rPr>
          <w:tab/>
        </w:r>
        <w:r w:rsidRPr="002B62A4">
          <w:rPr>
            <w:rStyle w:val="Hiperhivatkozs"/>
            <w:noProof/>
          </w:rPr>
          <w:t>Szubkultúrák</w:t>
        </w:r>
        <w:r>
          <w:rPr>
            <w:noProof/>
            <w:webHidden/>
          </w:rPr>
          <w:tab/>
        </w:r>
        <w:r>
          <w:rPr>
            <w:noProof/>
            <w:webHidden/>
          </w:rPr>
          <w:fldChar w:fldCharType="begin"/>
        </w:r>
        <w:r>
          <w:rPr>
            <w:noProof/>
            <w:webHidden/>
          </w:rPr>
          <w:instrText xml:space="preserve"> PAGEREF _Toc430796401 \h </w:instrText>
        </w:r>
        <w:r>
          <w:rPr>
            <w:noProof/>
            <w:webHidden/>
          </w:rPr>
        </w:r>
        <w:r>
          <w:rPr>
            <w:noProof/>
            <w:webHidden/>
          </w:rPr>
          <w:fldChar w:fldCharType="separate"/>
        </w:r>
        <w:r>
          <w:rPr>
            <w:noProof/>
            <w:webHidden/>
          </w:rPr>
          <w:t>8</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2" w:history="1">
        <w:r w:rsidRPr="002B62A4">
          <w:rPr>
            <w:rStyle w:val="Hiperhivatkozs"/>
            <w:noProof/>
          </w:rPr>
          <w:t>2.6</w:t>
        </w:r>
        <w:r>
          <w:rPr>
            <w:rFonts w:asciiTheme="minorHAnsi" w:eastAsiaTheme="minorEastAsia" w:hAnsiTheme="minorHAnsi"/>
            <w:noProof/>
            <w:sz w:val="22"/>
            <w:lang w:eastAsia="hu-HU"/>
          </w:rPr>
          <w:tab/>
        </w:r>
        <w:r w:rsidRPr="002B62A4">
          <w:rPr>
            <w:rStyle w:val="Hiperhivatkozs"/>
            <w:noProof/>
          </w:rPr>
          <w:t>Szervezeti kultúra modellekről</w:t>
        </w:r>
        <w:r>
          <w:rPr>
            <w:noProof/>
            <w:webHidden/>
          </w:rPr>
          <w:tab/>
        </w:r>
        <w:r>
          <w:rPr>
            <w:noProof/>
            <w:webHidden/>
          </w:rPr>
          <w:fldChar w:fldCharType="begin"/>
        </w:r>
        <w:r>
          <w:rPr>
            <w:noProof/>
            <w:webHidden/>
          </w:rPr>
          <w:instrText xml:space="preserve"> PAGEREF _Toc430796402 \h </w:instrText>
        </w:r>
        <w:r>
          <w:rPr>
            <w:noProof/>
            <w:webHidden/>
          </w:rPr>
        </w:r>
        <w:r>
          <w:rPr>
            <w:noProof/>
            <w:webHidden/>
          </w:rPr>
          <w:fldChar w:fldCharType="separate"/>
        </w:r>
        <w:r>
          <w:rPr>
            <w:noProof/>
            <w:webHidden/>
          </w:rPr>
          <w:t>9</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3" w:history="1">
        <w:r w:rsidRPr="002B62A4">
          <w:rPr>
            <w:rStyle w:val="Hiperhivatkozs"/>
            <w:noProof/>
          </w:rPr>
          <w:t>2.6.1</w:t>
        </w:r>
        <w:r>
          <w:rPr>
            <w:rFonts w:asciiTheme="minorHAnsi" w:eastAsiaTheme="minorEastAsia" w:hAnsiTheme="minorHAnsi"/>
            <w:noProof/>
            <w:sz w:val="22"/>
            <w:lang w:eastAsia="hu-HU"/>
          </w:rPr>
          <w:tab/>
        </w:r>
        <w:r w:rsidRPr="002B62A4">
          <w:rPr>
            <w:rStyle w:val="Hiperhivatkozs"/>
            <w:noProof/>
          </w:rPr>
          <w:t>Deal és Kennedy</w:t>
        </w:r>
        <w:r>
          <w:rPr>
            <w:noProof/>
            <w:webHidden/>
          </w:rPr>
          <w:tab/>
        </w:r>
        <w:r>
          <w:rPr>
            <w:noProof/>
            <w:webHidden/>
          </w:rPr>
          <w:fldChar w:fldCharType="begin"/>
        </w:r>
        <w:r>
          <w:rPr>
            <w:noProof/>
            <w:webHidden/>
          </w:rPr>
          <w:instrText xml:space="preserve"> PAGEREF _Toc430796403 \h </w:instrText>
        </w:r>
        <w:r>
          <w:rPr>
            <w:noProof/>
            <w:webHidden/>
          </w:rPr>
        </w:r>
        <w:r>
          <w:rPr>
            <w:noProof/>
            <w:webHidden/>
          </w:rPr>
          <w:fldChar w:fldCharType="separate"/>
        </w:r>
        <w:r>
          <w:rPr>
            <w:noProof/>
            <w:webHidden/>
          </w:rPr>
          <w:t>10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4" w:history="1">
        <w:r w:rsidRPr="002B62A4">
          <w:rPr>
            <w:rStyle w:val="Hiperhivatkozs"/>
            <w:noProof/>
          </w:rPr>
          <w:t>2.6.2</w:t>
        </w:r>
        <w:r>
          <w:rPr>
            <w:rFonts w:asciiTheme="minorHAnsi" w:eastAsiaTheme="minorEastAsia" w:hAnsiTheme="minorHAnsi"/>
            <w:noProof/>
            <w:sz w:val="22"/>
            <w:lang w:eastAsia="hu-HU"/>
          </w:rPr>
          <w:tab/>
        </w:r>
        <w:r w:rsidRPr="002B62A4">
          <w:rPr>
            <w:rStyle w:val="Hiperhivatkozs"/>
            <w:noProof/>
          </w:rPr>
          <w:t>Handy</w:t>
        </w:r>
        <w:r>
          <w:rPr>
            <w:noProof/>
            <w:webHidden/>
          </w:rPr>
          <w:tab/>
        </w:r>
        <w:r>
          <w:rPr>
            <w:noProof/>
            <w:webHidden/>
          </w:rPr>
          <w:fldChar w:fldCharType="begin"/>
        </w:r>
        <w:r>
          <w:rPr>
            <w:noProof/>
            <w:webHidden/>
          </w:rPr>
          <w:instrText xml:space="preserve"> PAGEREF _Toc430796404 \h </w:instrText>
        </w:r>
        <w:r>
          <w:rPr>
            <w:noProof/>
            <w:webHidden/>
          </w:rPr>
        </w:r>
        <w:r>
          <w:rPr>
            <w:noProof/>
            <w:webHidden/>
          </w:rPr>
          <w:fldChar w:fldCharType="separate"/>
        </w:r>
        <w:r>
          <w:rPr>
            <w:noProof/>
            <w:webHidden/>
          </w:rPr>
          <w:t>10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5" w:history="1">
        <w:r w:rsidRPr="002B62A4">
          <w:rPr>
            <w:rStyle w:val="Hiperhivatkozs"/>
            <w:noProof/>
          </w:rPr>
          <w:t>2.6.3</w:t>
        </w:r>
        <w:r>
          <w:rPr>
            <w:rFonts w:asciiTheme="minorHAnsi" w:eastAsiaTheme="minorEastAsia" w:hAnsiTheme="minorHAnsi"/>
            <w:noProof/>
            <w:sz w:val="22"/>
            <w:lang w:eastAsia="hu-HU"/>
          </w:rPr>
          <w:tab/>
        </w:r>
        <w:r w:rsidRPr="002B62A4">
          <w:rPr>
            <w:rStyle w:val="Hiperhivatkozs"/>
            <w:noProof/>
          </w:rPr>
          <w:t>Cameron és Quinn</w:t>
        </w:r>
        <w:r>
          <w:rPr>
            <w:noProof/>
            <w:webHidden/>
          </w:rPr>
          <w:tab/>
        </w:r>
        <w:r>
          <w:rPr>
            <w:noProof/>
            <w:webHidden/>
          </w:rPr>
          <w:fldChar w:fldCharType="begin"/>
        </w:r>
        <w:r>
          <w:rPr>
            <w:noProof/>
            <w:webHidden/>
          </w:rPr>
          <w:instrText xml:space="preserve"> PAGEREF _Toc430796405 \h </w:instrText>
        </w:r>
        <w:r>
          <w:rPr>
            <w:noProof/>
            <w:webHidden/>
          </w:rPr>
        </w:r>
        <w:r>
          <w:rPr>
            <w:noProof/>
            <w:webHidden/>
          </w:rPr>
          <w:fldChar w:fldCharType="separate"/>
        </w:r>
        <w:r>
          <w:rPr>
            <w:noProof/>
            <w:webHidden/>
          </w:rPr>
          <w:t>11</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06" w:history="1">
        <w:r w:rsidRPr="002B62A4">
          <w:rPr>
            <w:rStyle w:val="Hiperhivatkozs"/>
            <w:noProof/>
          </w:rPr>
          <w:t>2.6.4</w:t>
        </w:r>
        <w:r>
          <w:rPr>
            <w:rFonts w:asciiTheme="minorHAnsi" w:eastAsiaTheme="minorEastAsia" w:hAnsiTheme="minorHAnsi"/>
            <w:noProof/>
            <w:sz w:val="22"/>
            <w:lang w:eastAsia="hu-HU"/>
          </w:rPr>
          <w:tab/>
        </w:r>
        <w:r w:rsidRPr="002B62A4">
          <w:rPr>
            <w:rStyle w:val="Hiperhivatkozs"/>
            <w:noProof/>
          </w:rPr>
          <w:t>Schneider</w:t>
        </w:r>
        <w:r>
          <w:rPr>
            <w:noProof/>
            <w:webHidden/>
          </w:rPr>
          <w:tab/>
        </w:r>
        <w:r>
          <w:rPr>
            <w:noProof/>
            <w:webHidden/>
          </w:rPr>
          <w:fldChar w:fldCharType="begin"/>
        </w:r>
        <w:r>
          <w:rPr>
            <w:noProof/>
            <w:webHidden/>
          </w:rPr>
          <w:instrText xml:space="preserve"> PAGEREF _Toc430796406 \h </w:instrText>
        </w:r>
        <w:r>
          <w:rPr>
            <w:noProof/>
            <w:webHidden/>
          </w:rPr>
        </w:r>
        <w:r>
          <w:rPr>
            <w:noProof/>
            <w:webHidden/>
          </w:rPr>
          <w:fldChar w:fldCharType="separate"/>
        </w:r>
        <w:r>
          <w:rPr>
            <w:noProof/>
            <w:webHidden/>
          </w:rPr>
          <w:t>12</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7" w:history="1">
        <w:r w:rsidRPr="002B62A4">
          <w:rPr>
            <w:rStyle w:val="Hiperhivatkozs"/>
            <w:noProof/>
          </w:rPr>
          <w:t>2.7</w:t>
        </w:r>
        <w:r>
          <w:rPr>
            <w:rFonts w:asciiTheme="minorHAnsi" w:eastAsiaTheme="minorEastAsia" w:hAnsiTheme="minorHAnsi"/>
            <w:noProof/>
            <w:sz w:val="22"/>
            <w:lang w:eastAsia="hu-HU"/>
          </w:rPr>
          <w:tab/>
        </w:r>
        <w:r w:rsidRPr="002B62A4">
          <w:rPr>
            <w:rStyle w:val="Hiperhivatkozs"/>
            <w:noProof/>
          </w:rPr>
          <w:t>Beavatkozás a szervezeti kultúrába</w:t>
        </w:r>
        <w:r>
          <w:rPr>
            <w:noProof/>
            <w:webHidden/>
          </w:rPr>
          <w:tab/>
        </w:r>
        <w:r>
          <w:rPr>
            <w:noProof/>
            <w:webHidden/>
          </w:rPr>
          <w:fldChar w:fldCharType="begin"/>
        </w:r>
        <w:r>
          <w:rPr>
            <w:noProof/>
            <w:webHidden/>
          </w:rPr>
          <w:instrText xml:space="preserve"> PAGEREF _Toc430796407 \h </w:instrText>
        </w:r>
        <w:r>
          <w:rPr>
            <w:noProof/>
            <w:webHidden/>
          </w:rPr>
        </w:r>
        <w:r>
          <w:rPr>
            <w:noProof/>
            <w:webHidden/>
          </w:rPr>
          <w:fldChar w:fldCharType="separate"/>
        </w:r>
        <w:r>
          <w:rPr>
            <w:noProof/>
            <w:webHidden/>
          </w:rPr>
          <w:t>13</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8" w:history="1">
        <w:r w:rsidRPr="002B62A4">
          <w:rPr>
            <w:rStyle w:val="Hiperhivatkozs"/>
            <w:rFonts w:cs="Times New Roman"/>
            <w:noProof/>
          </w:rPr>
          <w:t>2.8</w:t>
        </w:r>
        <w:r>
          <w:rPr>
            <w:rFonts w:asciiTheme="minorHAnsi" w:eastAsiaTheme="minorEastAsia" w:hAnsiTheme="minorHAnsi"/>
            <w:noProof/>
            <w:sz w:val="22"/>
            <w:lang w:eastAsia="hu-HU"/>
          </w:rPr>
          <w:tab/>
        </w:r>
        <w:r w:rsidRPr="002B62A4">
          <w:rPr>
            <w:rStyle w:val="Hiperhivatkozs"/>
            <w:rFonts w:cs="Times New Roman"/>
            <w:noProof/>
          </w:rPr>
          <w:t>A szervezeti kultúra hatása a teljesítményre</w:t>
        </w:r>
        <w:r>
          <w:rPr>
            <w:noProof/>
            <w:webHidden/>
          </w:rPr>
          <w:tab/>
        </w:r>
        <w:r>
          <w:rPr>
            <w:noProof/>
            <w:webHidden/>
          </w:rPr>
          <w:fldChar w:fldCharType="begin"/>
        </w:r>
        <w:r>
          <w:rPr>
            <w:noProof/>
            <w:webHidden/>
          </w:rPr>
          <w:instrText xml:space="preserve"> PAGEREF _Toc430796408 \h </w:instrText>
        </w:r>
        <w:r>
          <w:rPr>
            <w:noProof/>
            <w:webHidden/>
          </w:rPr>
        </w:r>
        <w:r>
          <w:rPr>
            <w:noProof/>
            <w:webHidden/>
          </w:rPr>
          <w:fldChar w:fldCharType="separate"/>
        </w:r>
        <w:r>
          <w:rPr>
            <w:noProof/>
            <w:webHidden/>
          </w:rPr>
          <w:t>14</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09" w:history="1">
        <w:r w:rsidRPr="002B62A4">
          <w:rPr>
            <w:rStyle w:val="Hiperhivatkozs"/>
            <w:noProof/>
          </w:rPr>
          <w:t>2.9</w:t>
        </w:r>
        <w:r>
          <w:rPr>
            <w:rFonts w:asciiTheme="minorHAnsi" w:eastAsiaTheme="minorEastAsia" w:hAnsiTheme="minorHAnsi"/>
            <w:noProof/>
            <w:sz w:val="22"/>
            <w:lang w:eastAsia="hu-HU"/>
          </w:rPr>
          <w:tab/>
        </w:r>
        <w:r w:rsidRPr="002B62A4">
          <w:rPr>
            <w:rStyle w:val="Hiperhivatkozs"/>
            <w:noProof/>
          </w:rPr>
          <w:t>Learning organization</w:t>
        </w:r>
        <w:r>
          <w:rPr>
            <w:noProof/>
            <w:webHidden/>
          </w:rPr>
          <w:tab/>
        </w:r>
        <w:r>
          <w:rPr>
            <w:noProof/>
            <w:webHidden/>
          </w:rPr>
          <w:fldChar w:fldCharType="begin"/>
        </w:r>
        <w:r>
          <w:rPr>
            <w:noProof/>
            <w:webHidden/>
          </w:rPr>
          <w:instrText xml:space="preserve"> PAGEREF _Toc430796409 \h </w:instrText>
        </w:r>
        <w:r>
          <w:rPr>
            <w:noProof/>
            <w:webHidden/>
          </w:rPr>
        </w:r>
        <w:r>
          <w:rPr>
            <w:noProof/>
            <w:webHidden/>
          </w:rPr>
          <w:fldChar w:fldCharType="separate"/>
        </w:r>
        <w:r>
          <w:rPr>
            <w:noProof/>
            <w:webHidden/>
          </w:rPr>
          <w:t>18</w:t>
        </w:r>
        <w:r>
          <w:rPr>
            <w:noProof/>
            <w:webHidden/>
          </w:rPr>
          <w:fldChar w:fldCharType="end"/>
        </w:r>
      </w:hyperlink>
    </w:p>
    <w:p w:rsidR="0043786E" w:rsidRDefault="0043786E">
      <w:pPr>
        <w:pStyle w:val="TJ2"/>
        <w:tabs>
          <w:tab w:val="left" w:pos="1100"/>
          <w:tab w:val="right" w:leader="dot" w:pos="9062"/>
        </w:tabs>
        <w:rPr>
          <w:rFonts w:asciiTheme="minorHAnsi" w:eastAsiaTheme="minorEastAsia" w:hAnsiTheme="minorHAnsi"/>
          <w:noProof/>
          <w:sz w:val="22"/>
          <w:lang w:eastAsia="hu-HU"/>
        </w:rPr>
      </w:pPr>
      <w:hyperlink w:anchor="_Toc430796410" w:history="1">
        <w:r w:rsidRPr="002B62A4">
          <w:rPr>
            <w:rStyle w:val="Hiperhivatkozs"/>
            <w:noProof/>
          </w:rPr>
          <w:t>2.10</w:t>
        </w:r>
        <w:r>
          <w:rPr>
            <w:rFonts w:asciiTheme="minorHAnsi" w:eastAsiaTheme="minorEastAsia" w:hAnsiTheme="minorHAnsi"/>
            <w:noProof/>
            <w:sz w:val="22"/>
            <w:lang w:eastAsia="hu-HU"/>
          </w:rPr>
          <w:tab/>
        </w:r>
        <w:r w:rsidRPr="002B62A4">
          <w:rPr>
            <w:rStyle w:val="Hiperhivatkozs"/>
            <w:noProof/>
          </w:rPr>
          <w:t>Learning society</w:t>
        </w:r>
        <w:r>
          <w:rPr>
            <w:noProof/>
            <w:webHidden/>
          </w:rPr>
          <w:tab/>
        </w:r>
        <w:r>
          <w:rPr>
            <w:noProof/>
            <w:webHidden/>
          </w:rPr>
          <w:fldChar w:fldCharType="begin"/>
        </w:r>
        <w:r>
          <w:rPr>
            <w:noProof/>
            <w:webHidden/>
          </w:rPr>
          <w:instrText xml:space="preserve"> PAGEREF _Toc430796410 \h </w:instrText>
        </w:r>
        <w:r>
          <w:rPr>
            <w:noProof/>
            <w:webHidden/>
          </w:rPr>
        </w:r>
        <w:r>
          <w:rPr>
            <w:noProof/>
            <w:webHidden/>
          </w:rPr>
          <w:fldChar w:fldCharType="separate"/>
        </w:r>
        <w:r>
          <w:rPr>
            <w:noProof/>
            <w:webHidden/>
          </w:rPr>
          <w:t>20</w:t>
        </w:r>
        <w:r>
          <w:rPr>
            <w:noProof/>
            <w:webHidden/>
          </w:rPr>
          <w:fldChar w:fldCharType="end"/>
        </w:r>
      </w:hyperlink>
    </w:p>
    <w:p w:rsidR="0043786E" w:rsidRDefault="0043786E">
      <w:pPr>
        <w:pStyle w:val="TJ2"/>
        <w:tabs>
          <w:tab w:val="left" w:pos="1100"/>
          <w:tab w:val="right" w:leader="dot" w:pos="9062"/>
        </w:tabs>
        <w:rPr>
          <w:rFonts w:asciiTheme="minorHAnsi" w:eastAsiaTheme="minorEastAsia" w:hAnsiTheme="minorHAnsi"/>
          <w:noProof/>
          <w:sz w:val="22"/>
          <w:lang w:eastAsia="hu-HU"/>
        </w:rPr>
      </w:pPr>
      <w:hyperlink w:anchor="_Toc430796411" w:history="1">
        <w:r w:rsidRPr="002B62A4">
          <w:rPr>
            <w:rStyle w:val="Hiperhivatkozs"/>
            <w:noProof/>
          </w:rPr>
          <w:t>2.11</w:t>
        </w:r>
        <w:r>
          <w:rPr>
            <w:rFonts w:asciiTheme="minorHAnsi" w:eastAsiaTheme="minorEastAsia" w:hAnsiTheme="minorHAnsi"/>
            <w:noProof/>
            <w:sz w:val="22"/>
            <w:lang w:eastAsia="hu-HU"/>
          </w:rPr>
          <w:tab/>
        </w:r>
        <w:r w:rsidRPr="002B62A4">
          <w:rPr>
            <w:rStyle w:val="Hiperhivatkozs"/>
            <w:noProof/>
          </w:rPr>
          <w:t>A modern és posztmodern szervezet</w:t>
        </w:r>
        <w:r>
          <w:rPr>
            <w:noProof/>
            <w:webHidden/>
          </w:rPr>
          <w:tab/>
        </w:r>
        <w:r>
          <w:rPr>
            <w:noProof/>
            <w:webHidden/>
          </w:rPr>
          <w:fldChar w:fldCharType="begin"/>
        </w:r>
        <w:r>
          <w:rPr>
            <w:noProof/>
            <w:webHidden/>
          </w:rPr>
          <w:instrText xml:space="preserve"> PAGEREF _Toc430796411 \h </w:instrText>
        </w:r>
        <w:r>
          <w:rPr>
            <w:noProof/>
            <w:webHidden/>
          </w:rPr>
        </w:r>
        <w:r>
          <w:rPr>
            <w:noProof/>
            <w:webHidden/>
          </w:rPr>
          <w:fldChar w:fldCharType="separate"/>
        </w:r>
        <w:r>
          <w:rPr>
            <w:noProof/>
            <w:webHidden/>
          </w:rPr>
          <w:t>20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2" w:history="1">
        <w:r w:rsidRPr="002B62A4">
          <w:rPr>
            <w:rStyle w:val="Hiperhivatkozs"/>
            <w:noProof/>
          </w:rPr>
          <w:t>2.11.1</w:t>
        </w:r>
        <w:r>
          <w:rPr>
            <w:rFonts w:asciiTheme="minorHAnsi" w:eastAsiaTheme="minorEastAsia" w:hAnsiTheme="minorHAnsi"/>
            <w:noProof/>
            <w:sz w:val="22"/>
            <w:lang w:eastAsia="hu-HU"/>
          </w:rPr>
          <w:tab/>
        </w:r>
        <w:r w:rsidRPr="002B62A4">
          <w:rPr>
            <w:rStyle w:val="Hiperhivatkozs"/>
            <w:noProof/>
          </w:rPr>
          <w:t>Filozófiai irányvonal</w:t>
        </w:r>
        <w:r>
          <w:rPr>
            <w:noProof/>
            <w:webHidden/>
          </w:rPr>
          <w:tab/>
        </w:r>
        <w:r>
          <w:rPr>
            <w:noProof/>
            <w:webHidden/>
          </w:rPr>
          <w:fldChar w:fldCharType="begin"/>
        </w:r>
        <w:r>
          <w:rPr>
            <w:noProof/>
            <w:webHidden/>
          </w:rPr>
          <w:instrText xml:space="preserve"> PAGEREF _Toc430796412 \h </w:instrText>
        </w:r>
        <w:r>
          <w:rPr>
            <w:noProof/>
            <w:webHidden/>
          </w:rPr>
        </w:r>
        <w:r>
          <w:rPr>
            <w:noProof/>
            <w:webHidden/>
          </w:rPr>
          <w:fldChar w:fldCharType="separate"/>
        </w:r>
        <w:r>
          <w:rPr>
            <w:noProof/>
            <w:webHidden/>
          </w:rPr>
          <w:t>20</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3" w:history="1">
        <w:r w:rsidRPr="002B62A4">
          <w:rPr>
            <w:rStyle w:val="Hiperhivatkozs"/>
            <w:noProof/>
          </w:rPr>
          <w:t>2.11.2</w:t>
        </w:r>
        <w:r>
          <w:rPr>
            <w:rFonts w:asciiTheme="minorHAnsi" w:eastAsiaTheme="minorEastAsia" w:hAnsiTheme="minorHAnsi"/>
            <w:noProof/>
            <w:sz w:val="22"/>
            <w:lang w:eastAsia="hu-HU"/>
          </w:rPr>
          <w:tab/>
        </w:r>
        <w:r w:rsidRPr="002B62A4">
          <w:rPr>
            <w:rStyle w:val="Hiperhivatkozs"/>
            <w:noProof/>
          </w:rPr>
          <w:t>Modern és posztmodern a gyakorlatban</w:t>
        </w:r>
        <w:r>
          <w:rPr>
            <w:noProof/>
            <w:webHidden/>
          </w:rPr>
          <w:tab/>
        </w:r>
        <w:r>
          <w:rPr>
            <w:noProof/>
            <w:webHidden/>
          </w:rPr>
          <w:fldChar w:fldCharType="begin"/>
        </w:r>
        <w:r>
          <w:rPr>
            <w:noProof/>
            <w:webHidden/>
          </w:rPr>
          <w:instrText xml:space="preserve"> PAGEREF _Toc430796413 \h </w:instrText>
        </w:r>
        <w:r>
          <w:rPr>
            <w:noProof/>
            <w:webHidden/>
          </w:rPr>
        </w:r>
        <w:r>
          <w:rPr>
            <w:noProof/>
            <w:webHidden/>
          </w:rPr>
          <w:fldChar w:fldCharType="separate"/>
        </w:r>
        <w:r>
          <w:rPr>
            <w:noProof/>
            <w:webHidden/>
          </w:rPr>
          <w:t>22</w:t>
        </w:r>
        <w:r>
          <w:rPr>
            <w:noProof/>
            <w:webHidden/>
          </w:rPr>
          <w:fldChar w:fldCharType="end"/>
        </w:r>
      </w:hyperlink>
    </w:p>
    <w:p w:rsidR="0043786E" w:rsidRDefault="0043786E">
      <w:pPr>
        <w:pStyle w:val="TJ2"/>
        <w:tabs>
          <w:tab w:val="left" w:pos="1100"/>
          <w:tab w:val="right" w:leader="dot" w:pos="9062"/>
        </w:tabs>
        <w:rPr>
          <w:rFonts w:asciiTheme="minorHAnsi" w:eastAsiaTheme="minorEastAsia" w:hAnsiTheme="minorHAnsi"/>
          <w:noProof/>
          <w:sz w:val="22"/>
          <w:lang w:eastAsia="hu-HU"/>
        </w:rPr>
      </w:pPr>
      <w:hyperlink w:anchor="_Toc430796414" w:history="1">
        <w:r w:rsidRPr="002B62A4">
          <w:rPr>
            <w:rStyle w:val="Hiperhivatkozs"/>
            <w:noProof/>
          </w:rPr>
          <w:t>2.12</w:t>
        </w:r>
        <w:r>
          <w:rPr>
            <w:rFonts w:asciiTheme="minorHAnsi" w:eastAsiaTheme="minorEastAsia" w:hAnsiTheme="minorHAnsi"/>
            <w:noProof/>
            <w:sz w:val="22"/>
            <w:lang w:eastAsia="hu-HU"/>
          </w:rPr>
          <w:tab/>
        </w:r>
        <w:r w:rsidRPr="002B62A4">
          <w:rPr>
            <w:rStyle w:val="Hiperhivatkozs"/>
            <w:noProof/>
          </w:rPr>
          <w:t>A szervezeti kultúra feltárása</w:t>
        </w:r>
        <w:r>
          <w:rPr>
            <w:noProof/>
            <w:webHidden/>
          </w:rPr>
          <w:tab/>
        </w:r>
        <w:r>
          <w:rPr>
            <w:noProof/>
            <w:webHidden/>
          </w:rPr>
          <w:fldChar w:fldCharType="begin"/>
        </w:r>
        <w:r>
          <w:rPr>
            <w:noProof/>
            <w:webHidden/>
          </w:rPr>
          <w:instrText xml:space="preserve"> PAGEREF _Toc430796414 \h </w:instrText>
        </w:r>
        <w:r>
          <w:rPr>
            <w:noProof/>
            <w:webHidden/>
          </w:rPr>
        </w:r>
        <w:r>
          <w:rPr>
            <w:noProof/>
            <w:webHidden/>
          </w:rPr>
          <w:fldChar w:fldCharType="separate"/>
        </w:r>
        <w:r>
          <w:rPr>
            <w:noProof/>
            <w:webHidden/>
          </w:rPr>
          <w:t>23</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5" w:history="1">
        <w:r w:rsidRPr="002B62A4">
          <w:rPr>
            <w:rStyle w:val="Hiperhivatkozs"/>
            <w:noProof/>
          </w:rPr>
          <w:t>2.12.1</w:t>
        </w:r>
        <w:r>
          <w:rPr>
            <w:rFonts w:asciiTheme="minorHAnsi" w:eastAsiaTheme="minorEastAsia" w:hAnsiTheme="minorHAnsi"/>
            <w:noProof/>
            <w:sz w:val="22"/>
            <w:lang w:eastAsia="hu-HU"/>
          </w:rPr>
          <w:tab/>
        </w:r>
        <w:r w:rsidRPr="002B62A4">
          <w:rPr>
            <w:rStyle w:val="Hiperhivatkozs"/>
            <w:noProof/>
          </w:rPr>
          <w:t>Problémák és megközelítésük</w:t>
        </w:r>
        <w:r>
          <w:rPr>
            <w:noProof/>
            <w:webHidden/>
          </w:rPr>
          <w:tab/>
        </w:r>
        <w:r>
          <w:rPr>
            <w:noProof/>
            <w:webHidden/>
          </w:rPr>
          <w:fldChar w:fldCharType="begin"/>
        </w:r>
        <w:r>
          <w:rPr>
            <w:noProof/>
            <w:webHidden/>
          </w:rPr>
          <w:instrText xml:space="preserve"> PAGEREF _Toc430796415 \h </w:instrText>
        </w:r>
        <w:r>
          <w:rPr>
            <w:noProof/>
            <w:webHidden/>
          </w:rPr>
        </w:r>
        <w:r>
          <w:rPr>
            <w:noProof/>
            <w:webHidden/>
          </w:rPr>
          <w:fldChar w:fldCharType="separate"/>
        </w:r>
        <w:r>
          <w:rPr>
            <w:noProof/>
            <w:webHidden/>
          </w:rPr>
          <w:t>23</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6" w:history="1">
        <w:r w:rsidRPr="002B62A4">
          <w:rPr>
            <w:rStyle w:val="Hiperhivatkozs"/>
            <w:noProof/>
          </w:rPr>
          <w:t>2.12.2</w:t>
        </w:r>
        <w:r>
          <w:rPr>
            <w:rFonts w:asciiTheme="minorHAnsi" w:eastAsiaTheme="minorEastAsia" w:hAnsiTheme="minorHAnsi"/>
            <w:noProof/>
            <w:sz w:val="22"/>
            <w:lang w:eastAsia="hu-HU"/>
          </w:rPr>
          <w:tab/>
        </w:r>
        <w:r w:rsidRPr="002B62A4">
          <w:rPr>
            <w:rStyle w:val="Hiperhivatkozs"/>
            <w:noProof/>
          </w:rPr>
          <w:t>Módszerek a feltárásra</w:t>
        </w:r>
        <w:r>
          <w:rPr>
            <w:noProof/>
            <w:webHidden/>
          </w:rPr>
          <w:tab/>
        </w:r>
        <w:r>
          <w:rPr>
            <w:noProof/>
            <w:webHidden/>
          </w:rPr>
          <w:fldChar w:fldCharType="begin"/>
        </w:r>
        <w:r>
          <w:rPr>
            <w:noProof/>
            <w:webHidden/>
          </w:rPr>
          <w:instrText xml:space="preserve"> PAGEREF _Toc430796416 \h </w:instrText>
        </w:r>
        <w:r>
          <w:rPr>
            <w:noProof/>
            <w:webHidden/>
          </w:rPr>
        </w:r>
        <w:r>
          <w:rPr>
            <w:noProof/>
            <w:webHidden/>
          </w:rPr>
          <w:fldChar w:fldCharType="separate"/>
        </w:r>
        <w:r>
          <w:rPr>
            <w:noProof/>
            <w:webHidden/>
          </w:rPr>
          <w:t>24</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17" w:history="1">
        <w:r w:rsidRPr="002B62A4">
          <w:rPr>
            <w:rStyle w:val="Hiperhivatkozs"/>
            <w:noProof/>
          </w:rPr>
          <w:t>3</w:t>
        </w:r>
        <w:r>
          <w:rPr>
            <w:rFonts w:asciiTheme="minorHAnsi" w:eastAsiaTheme="minorEastAsia" w:hAnsiTheme="minorHAnsi"/>
            <w:noProof/>
            <w:sz w:val="22"/>
            <w:lang w:eastAsia="hu-HU"/>
          </w:rPr>
          <w:tab/>
        </w:r>
        <w:r w:rsidRPr="002B62A4">
          <w:rPr>
            <w:rStyle w:val="Hiperhivatkozs"/>
            <w:noProof/>
          </w:rPr>
          <w:t>Saját vizsgálat bemutatása</w:t>
        </w:r>
        <w:r>
          <w:rPr>
            <w:noProof/>
            <w:webHidden/>
          </w:rPr>
          <w:tab/>
        </w:r>
        <w:r>
          <w:rPr>
            <w:noProof/>
            <w:webHidden/>
          </w:rPr>
          <w:fldChar w:fldCharType="begin"/>
        </w:r>
        <w:r>
          <w:rPr>
            <w:noProof/>
            <w:webHidden/>
          </w:rPr>
          <w:instrText xml:space="preserve"> PAGEREF _Toc430796417 \h </w:instrText>
        </w:r>
        <w:r>
          <w:rPr>
            <w:noProof/>
            <w:webHidden/>
          </w:rPr>
        </w:r>
        <w:r>
          <w:rPr>
            <w:noProof/>
            <w:webHidden/>
          </w:rPr>
          <w:fldChar w:fldCharType="separate"/>
        </w:r>
        <w:r>
          <w:rPr>
            <w:noProof/>
            <w:webHidden/>
          </w:rPr>
          <w:t>28</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18" w:history="1">
        <w:r w:rsidRPr="002B62A4">
          <w:rPr>
            <w:rStyle w:val="Hiperhivatkozs"/>
            <w:noProof/>
          </w:rPr>
          <w:t>3.1</w:t>
        </w:r>
        <w:r>
          <w:rPr>
            <w:rFonts w:asciiTheme="minorHAnsi" w:eastAsiaTheme="minorEastAsia" w:hAnsiTheme="minorHAnsi"/>
            <w:noProof/>
            <w:sz w:val="22"/>
            <w:lang w:eastAsia="hu-HU"/>
          </w:rPr>
          <w:tab/>
        </w:r>
        <w:r w:rsidRPr="002B62A4">
          <w:rPr>
            <w:rStyle w:val="Hiperhivatkozs"/>
            <w:noProof/>
          </w:rPr>
          <w:t>Módszertani áttekintés: tartalomelemzés</w:t>
        </w:r>
        <w:r>
          <w:rPr>
            <w:noProof/>
            <w:webHidden/>
          </w:rPr>
          <w:tab/>
        </w:r>
        <w:r>
          <w:rPr>
            <w:noProof/>
            <w:webHidden/>
          </w:rPr>
          <w:fldChar w:fldCharType="begin"/>
        </w:r>
        <w:r>
          <w:rPr>
            <w:noProof/>
            <w:webHidden/>
          </w:rPr>
          <w:instrText xml:space="preserve"> PAGEREF _Toc430796418 \h </w:instrText>
        </w:r>
        <w:r>
          <w:rPr>
            <w:noProof/>
            <w:webHidden/>
          </w:rPr>
        </w:r>
        <w:r>
          <w:rPr>
            <w:noProof/>
            <w:webHidden/>
          </w:rPr>
          <w:fldChar w:fldCharType="separate"/>
        </w:r>
        <w:r>
          <w:rPr>
            <w:noProof/>
            <w:webHidden/>
          </w:rPr>
          <w:t>28</w:t>
        </w:r>
        <w:r>
          <w:rPr>
            <w:noProof/>
            <w:webHidden/>
          </w:rPr>
          <w:fldChar w:fldCharType="end"/>
        </w:r>
      </w:hyperlink>
    </w:p>
    <w:p w:rsidR="0043786E" w:rsidRDefault="0043786E">
      <w:pPr>
        <w:pStyle w:val="TJ3"/>
        <w:tabs>
          <w:tab w:val="left" w:pos="1320"/>
          <w:tab w:val="right" w:leader="dot" w:pos="9062"/>
        </w:tabs>
        <w:rPr>
          <w:rFonts w:asciiTheme="minorHAnsi" w:eastAsiaTheme="minorEastAsia" w:hAnsiTheme="minorHAnsi"/>
          <w:noProof/>
          <w:sz w:val="22"/>
          <w:lang w:eastAsia="hu-HU"/>
        </w:rPr>
      </w:pPr>
      <w:hyperlink w:anchor="_Toc430796419" w:history="1">
        <w:r w:rsidRPr="002B62A4">
          <w:rPr>
            <w:rStyle w:val="Hiperhivatkozs"/>
            <w:noProof/>
          </w:rPr>
          <w:t>3.1.1</w:t>
        </w:r>
        <w:r>
          <w:rPr>
            <w:rFonts w:asciiTheme="minorHAnsi" w:eastAsiaTheme="minorEastAsia" w:hAnsiTheme="minorHAnsi"/>
            <w:noProof/>
            <w:sz w:val="22"/>
            <w:lang w:eastAsia="hu-HU"/>
          </w:rPr>
          <w:tab/>
        </w:r>
        <w:r w:rsidRPr="002B62A4">
          <w:rPr>
            <w:rStyle w:val="Hiperhivatkozs"/>
            <w:noProof/>
          </w:rPr>
          <w:t>A tartalomelemzés folyamata</w:t>
        </w:r>
        <w:r>
          <w:rPr>
            <w:noProof/>
            <w:webHidden/>
          </w:rPr>
          <w:tab/>
        </w:r>
        <w:r>
          <w:rPr>
            <w:noProof/>
            <w:webHidden/>
          </w:rPr>
          <w:fldChar w:fldCharType="begin"/>
        </w:r>
        <w:r>
          <w:rPr>
            <w:noProof/>
            <w:webHidden/>
          </w:rPr>
          <w:instrText xml:space="preserve"> PAGEREF _Toc430796419 \h </w:instrText>
        </w:r>
        <w:r>
          <w:rPr>
            <w:noProof/>
            <w:webHidden/>
          </w:rPr>
        </w:r>
        <w:r>
          <w:rPr>
            <w:noProof/>
            <w:webHidden/>
          </w:rPr>
          <w:fldChar w:fldCharType="separate"/>
        </w:r>
        <w:r>
          <w:rPr>
            <w:noProof/>
            <w:webHidden/>
          </w:rPr>
          <w:t>30</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0" w:history="1">
        <w:r w:rsidRPr="002B62A4">
          <w:rPr>
            <w:rStyle w:val="Hiperhivatkozs"/>
            <w:noProof/>
          </w:rPr>
          <w:t>3.2</w:t>
        </w:r>
        <w:r>
          <w:rPr>
            <w:rFonts w:asciiTheme="minorHAnsi" w:eastAsiaTheme="minorEastAsia" w:hAnsiTheme="minorHAnsi"/>
            <w:noProof/>
            <w:sz w:val="22"/>
            <w:lang w:eastAsia="hu-HU"/>
          </w:rPr>
          <w:tab/>
        </w:r>
        <w:r w:rsidRPr="002B62A4">
          <w:rPr>
            <w:rStyle w:val="Hiperhivatkozs"/>
            <w:noProof/>
          </w:rPr>
          <w:t>Vizsgálatom tárgya, célja</w:t>
        </w:r>
        <w:r>
          <w:rPr>
            <w:noProof/>
            <w:webHidden/>
          </w:rPr>
          <w:tab/>
        </w:r>
        <w:r>
          <w:rPr>
            <w:noProof/>
            <w:webHidden/>
          </w:rPr>
          <w:fldChar w:fldCharType="begin"/>
        </w:r>
        <w:r>
          <w:rPr>
            <w:noProof/>
            <w:webHidden/>
          </w:rPr>
          <w:instrText xml:space="preserve"> PAGEREF _Toc430796420 \h </w:instrText>
        </w:r>
        <w:r>
          <w:rPr>
            <w:noProof/>
            <w:webHidden/>
          </w:rPr>
        </w:r>
        <w:r>
          <w:rPr>
            <w:noProof/>
            <w:webHidden/>
          </w:rPr>
          <w:fldChar w:fldCharType="separate"/>
        </w:r>
        <w:r>
          <w:rPr>
            <w:noProof/>
            <w:webHidden/>
          </w:rPr>
          <w:t>32</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1" w:history="1">
        <w:r w:rsidRPr="002B62A4">
          <w:rPr>
            <w:rStyle w:val="Hiperhivatkozs"/>
            <w:noProof/>
          </w:rPr>
          <w:t>3.3</w:t>
        </w:r>
        <w:r>
          <w:rPr>
            <w:rFonts w:asciiTheme="minorHAnsi" w:eastAsiaTheme="minorEastAsia" w:hAnsiTheme="minorHAnsi"/>
            <w:noProof/>
            <w:sz w:val="22"/>
            <w:lang w:eastAsia="hu-HU"/>
          </w:rPr>
          <w:tab/>
        </w:r>
        <w:r w:rsidRPr="002B62A4">
          <w:rPr>
            <w:rStyle w:val="Hiperhivatkozs"/>
            <w:noProof/>
          </w:rPr>
          <w:t>Kvantitatív megközelítés</w:t>
        </w:r>
        <w:r>
          <w:rPr>
            <w:noProof/>
            <w:webHidden/>
          </w:rPr>
          <w:tab/>
        </w:r>
        <w:r>
          <w:rPr>
            <w:noProof/>
            <w:webHidden/>
          </w:rPr>
          <w:fldChar w:fldCharType="begin"/>
        </w:r>
        <w:r>
          <w:rPr>
            <w:noProof/>
            <w:webHidden/>
          </w:rPr>
          <w:instrText xml:space="preserve"> PAGEREF _Toc430796421 \h </w:instrText>
        </w:r>
        <w:r>
          <w:rPr>
            <w:noProof/>
            <w:webHidden/>
          </w:rPr>
        </w:r>
        <w:r>
          <w:rPr>
            <w:noProof/>
            <w:webHidden/>
          </w:rPr>
          <w:fldChar w:fldCharType="separate"/>
        </w:r>
        <w:r>
          <w:rPr>
            <w:noProof/>
            <w:webHidden/>
          </w:rPr>
          <w:t>34</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2" w:history="1">
        <w:r w:rsidRPr="002B62A4">
          <w:rPr>
            <w:rStyle w:val="Hiperhivatkozs"/>
            <w:noProof/>
          </w:rPr>
          <w:t>3.4</w:t>
        </w:r>
        <w:r>
          <w:rPr>
            <w:rFonts w:asciiTheme="minorHAnsi" w:eastAsiaTheme="minorEastAsia" w:hAnsiTheme="minorHAnsi"/>
            <w:noProof/>
            <w:sz w:val="22"/>
            <w:lang w:eastAsia="hu-HU"/>
          </w:rPr>
          <w:tab/>
        </w:r>
        <w:r w:rsidRPr="002B62A4">
          <w:rPr>
            <w:rStyle w:val="Hiperhivatkozs"/>
            <w:noProof/>
          </w:rPr>
          <w:t>Kvalitatív megközelítés</w:t>
        </w:r>
        <w:r>
          <w:rPr>
            <w:noProof/>
            <w:webHidden/>
          </w:rPr>
          <w:tab/>
        </w:r>
        <w:r>
          <w:rPr>
            <w:noProof/>
            <w:webHidden/>
          </w:rPr>
          <w:fldChar w:fldCharType="begin"/>
        </w:r>
        <w:r>
          <w:rPr>
            <w:noProof/>
            <w:webHidden/>
          </w:rPr>
          <w:instrText xml:space="preserve"> PAGEREF _Toc430796422 \h </w:instrText>
        </w:r>
        <w:r>
          <w:rPr>
            <w:noProof/>
            <w:webHidden/>
          </w:rPr>
        </w:r>
        <w:r>
          <w:rPr>
            <w:noProof/>
            <w:webHidden/>
          </w:rPr>
          <w:fldChar w:fldCharType="separate"/>
        </w:r>
        <w:r>
          <w:rPr>
            <w:noProof/>
            <w:webHidden/>
          </w:rPr>
          <w:t>39</w:t>
        </w:r>
        <w:r>
          <w:rPr>
            <w:noProof/>
            <w:webHidden/>
          </w:rPr>
          <w:fldChar w:fldCharType="end"/>
        </w:r>
      </w:hyperlink>
    </w:p>
    <w:p w:rsidR="0043786E" w:rsidRDefault="0043786E">
      <w:pPr>
        <w:pStyle w:val="TJ2"/>
        <w:tabs>
          <w:tab w:val="left" w:pos="880"/>
          <w:tab w:val="right" w:leader="dot" w:pos="9062"/>
        </w:tabs>
        <w:rPr>
          <w:rFonts w:asciiTheme="minorHAnsi" w:eastAsiaTheme="minorEastAsia" w:hAnsiTheme="minorHAnsi"/>
          <w:noProof/>
          <w:sz w:val="22"/>
          <w:lang w:eastAsia="hu-HU"/>
        </w:rPr>
      </w:pPr>
      <w:hyperlink w:anchor="_Toc430796423" w:history="1">
        <w:r w:rsidRPr="002B62A4">
          <w:rPr>
            <w:rStyle w:val="Hiperhivatkozs"/>
            <w:noProof/>
          </w:rPr>
          <w:t>3.5</w:t>
        </w:r>
        <w:r>
          <w:rPr>
            <w:rFonts w:asciiTheme="minorHAnsi" w:eastAsiaTheme="minorEastAsia" w:hAnsiTheme="minorHAnsi"/>
            <w:noProof/>
            <w:sz w:val="22"/>
            <w:lang w:eastAsia="hu-HU"/>
          </w:rPr>
          <w:tab/>
        </w:r>
        <w:r w:rsidRPr="002B62A4">
          <w:rPr>
            <w:rStyle w:val="Hiperhivatkozs"/>
            <w:noProof/>
          </w:rPr>
          <w:t>Következtetések</w:t>
        </w:r>
        <w:r>
          <w:rPr>
            <w:noProof/>
            <w:webHidden/>
          </w:rPr>
          <w:tab/>
        </w:r>
        <w:r>
          <w:rPr>
            <w:noProof/>
            <w:webHidden/>
          </w:rPr>
          <w:fldChar w:fldCharType="begin"/>
        </w:r>
        <w:r>
          <w:rPr>
            <w:noProof/>
            <w:webHidden/>
          </w:rPr>
          <w:instrText xml:space="preserve"> PAGEREF _Toc430796423 \h </w:instrText>
        </w:r>
        <w:r>
          <w:rPr>
            <w:noProof/>
            <w:webHidden/>
          </w:rPr>
        </w:r>
        <w:r>
          <w:rPr>
            <w:noProof/>
            <w:webHidden/>
          </w:rPr>
          <w:fldChar w:fldCharType="separate"/>
        </w:r>
        <w:r>
          <w:rPr>
            <w:noProof/>
            <w:webHidden/>
          </w:rPr>
          <w:t>40</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24" w:history="1">
        <w:r w:rsidRPr="002B62A4">
          <w:rPr>
            <w:rStyle w:val="Hiperhivatkozs"/>
            <w:noProof/>
          </w:rPr>
          <w:t>4</w:t>
        </w:r>
        <w:r>
          <w:rPr>
            <w:rFonts w:asciiTheme="minorHAnsi" w:eastAsiaTheme="minorEastAsia" w:hAnsiTheme="minorHAnsi"/>
            <w:noProof/>
            <w:sz w:val="22"/>
            <w:lang w:eastAsia="hu-HU"/>
          </w:rPr>
          <w:tab/>
        </w:r>
        <w:r w:rsidRPr="002B62A4">
          <w:rPr>
            <w:rStyle w:val="Hiperhivatkozs"/>
            <w:noProof/>
          </w:rPr>
          <w:t>Összefoglalás</w:t>
        </w:r>
        <w:r>
          <w:rPr>
            <w:noProof/>
            <w:webHidden/>
          </w:rPr>
          <w:tab/>
        </w:r>
        <w:r>
          <w:rPr>
            <w:noProof/>
            <w:webHidden/>
          </w:rPr>
          <w:fldChar w:fldCharType="begin"/>
        </w:r>
        <w:r>
          <w:rPr>
            <w:noProof/>
            <w:webHidden/>
          </w:rPr>
          <w:instrText xml:space="preserve"> PAGEREF _Toc430796424 \h </w:instrText>
        </w:r>
        <w:r>
          <w:rPr>
            <w:noProof/>
            <w:webHidden/>
          </w:rPr>
        </w:r>
        <w:r>
          <w:rPr>
            <w:noProof/>
            <w:webHidden/>
          </w:rPr>
          <w:fldChar w:fldCharType="separate"/>
        </w:r>
        <w:r>
          <w:rPr>
            <w:noProof/>
            <w:webHidden/>
          </w:rPr>
          <w:t>42</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25" w:history="1">
        <w:r w:rsidRPr="002B62A4">
          <w:rPr>
            <w:rStyle w:val="Hiperhivatkozs"/>
            <w:noProof/>
          </w:rPr>
          <w:t>5</w:t>
        </w:r>
        <w:r>
          <w:rPr>
            <w:rFonts w:asciiTheme="minorHAnsi" w:eastAsiaTheme="minorEastAsia" w:hAnsiTheme="minorHAnsi"/>
            <w:noProof/>
            <w:sz w:val="22"/>
            <w:lang w:eastAsia="hu-HU"/>
          </w:rPr>
          <w:tab/>
        </w:r>
        <w:r w:rsidRPr="002B62A4">
          <w:rPr>
            <w:rStyle w:val="Hiperhivatkozs"/>
            <w:noProof/>
          </w:rPr>
          <w:t>Irodalomjegyzék</w:t>
        </w:r>
        <w:r>
          <w:rPr>
            <w:noProof/>
            <w:webHidden/>
          </w:rPr>
          <w:tab/>
        </w:r>
        <w:r>
          <w:rPr>
            <w:noProof/>
            <w:webHidden/>
          </w:rPr>
          <w:fldChar w:fldCharType="begin"/>
        </w:r>
        <w:r>
          <w:rPr>
            <w:noProof/>
            <w:webHidden/>
          </w:rPr>
          <w:instrText xml:space="preserve"> PAGEREF _Toc430796425 \h </w:instrText>
        </w:r>
        <w:r>
          <w:rPr>
            <w:noProof/>
            <w:webHidden/>
          </w:rPr>
        </w:r>
        <w:r>
          <w:rPr>
            <w:noProof/>
            <w:webHidden/>
          </w:rPr>
          <w:fldChar w:fldCharType="separate"/>
        </w:r>
        <w:r>
          <w:rPr>
            <w:noProof/>
            <w:webHidden/>
          </w:rPr>
          <w:t>43</w:t>
        </w:r>
        <w:r>
          <w:rPr>
            <w:noProof/>
            <w:webHidden/>
          </w:rPr>
          <w:fldChar w:fldCharType="end"/>
        </w:r>
      </w:hyperlink>
    </w:p>
    <w:p w:rsidR="0043786E" w:rsidRDefault="0043786E">
      <w:pPr>
        <w:pStyle w:val="TJ1"/>
        <w:rPr>
          <w:rFonts w:asciiTheme="minorHAnsi" w:eastAsiaTheme="minorEastAsia" w:hAnsiTheme="minorHAnsi"/>
          <w:noProof/>
          <w:sz w:val="22"/>
          <w:lang w:eastAsia="hu-HU"/>
        </w:rPr>
      </w:pPr>
      <w:hyperlink w:anchor="_Toc430796426" w:history="1">
        <w:r w:rsidRPr="002B62A4">
          <w:rPr>
            <w:rStyle w:val="Hiperhivatkozs"/>
            <w:noProof/>
          </w:rPr>
          <w:t>6</w:t>
        </w:r>
        <w:r>
          <w:rPr>
            <w:rFonts w:asciiTheme="minorHAnsi" w:eastAsiaTheme="minorEastAsia" w:hAnsiTheme="minorHAnsi"/>
            <w:noProof/>
            <w:sz w:val="22"/>
            <w:lang w:eastAsia="hu-HU"/>
          </w:rPr>
          <w:tab/>
        </w:r>
        <w:r w:rsidRPr="002B62A4">
          <w:rPr>
            <w:rStyle w:val="Hiperhivatkozs"/>
            <w:noProof/>
          </w:rPr>
          <w:t>Mellékletek</w:t>
        </w:r>
        <w:r>
          <w:rPr>
            <w:noProof/>
            <w:webHidden/>
          </w:rPr>
          <w:tab/>
        </w:r>
        <w:r>
          <w:rPr>
            <w:noProof/>
            <w:webHidden/>
          </w:rPr>
          <w:fldChar w:fldCharType="begin"/>
        </w:r>
        <w:r>
          <w:rPr>
            <w:noProof/>
            <w:webHidden/>
          </w:rPr>
          <w:instrText xml:space="preserve"> PAGEREF _Toc430796426 \h </w:instrText>
        </w:r>
        <w:r>
          <w:rPr>
            <w:noProof/>
            <w:webHidden/>
          </w:rPr>
        </w:r>
        <w:r>
          <w:rPr>
            <w:noProof/>
            <w:webHidden/>
          </w:rPr>
          <w:fldChar w:fldCharType="separate"/>
        </w:r>
        <w:r>
          <w:rPr>
            <w:noProof/>
            <w:webHidden/>
          </w:rPr>
          <w:t>47</w:t>
        </w:r>
        <w:r>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796395"/>
      <w:r>
        <w:lastRenderedPageBreak/>
        <w:t>Bevezető</w:t>
      </w:r>
      <w:bookmarkEnd w:id="0"/>
    </w:p>
    <w:p w:rsidR="003E10BF" w:rsidRPr="00643315"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796396"/>
      <w:r>
        <w:lastRenderedPageBreak/>
        <w:t>Szakirodalmi áttekintés</w:t>
      </w:r>
      <w:bookmarkEnd w:id="1"/>
    </w:p>
    <w:p w:rsidR="0029608C" w:rsidRPr="00FE2BF8" w:rsidRDefault="0029608C" w:rsidP="004B6B18">
      <w:pPr>
        <w:pStyle w:val="Cmsor2"/>
      </w:pPr>
      <w:bookmarkStart w:id="2" w:name="_Toc430796397"/>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796398"/>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796399"/>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796400"/>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bookmarkStart w:id="6" w:name="_Toc430796401"/>
      <w:r>
        <w:t>Szubkultúrák</w:t>
      </w:r>
      <w:bookmarkEnd w:id="6"/>
    </w:p>
    <w:p w:rsidR="00E86A46" w:rsidRDefault="00E86A46" w:rsidP="00E86A46">
      <w:r>
        <w:t xml:space="preserve">A sikeres és kellően nagyméretű szervezetekben azáltal, hogy az egymástól egészen különböző feladatokat különböző csoportok végzik, ezekben a kisebb csoportokban </w:t>
      </w:r>
      <w:r>
        <w:lastRenderedPageBreak/>
        <w:t>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796402"/>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lastRenderedPageBreak/>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796403"/>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796404"/>
      <w:r w:rsidRPr="00D43B9D">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 xml:space="preserve">ta </w:t>
      </w:r>
      <w:r w:rsidR="009057A4">
        <w:rPr>
          <w:rFonts w:cs="Times New Roman"/>
        </w:rPr>
        <w:lastRenderedPageBreak/>
        <w:t>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796405"/>
      <w:r w:rsidRPr="008B7B8D">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lastRenderedPageBreak/>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1" w:name="_Toc430796406"/>
      <w:r>
        <w:t>Schneider</w:t>
      </w:r>
      <w:bookmarkEnd w:id="11"/>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lastRenderedPageBreak/>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535512" w:rsidRPr="003D7307" w:rsidRDefault="00535512" w:rsidP="00803A51">
      <w:pPr>
        <w:rPr>
          <w:color w:val="F79646" w:themeColor="accent6"/>
        </w:rPr>
      </w:pPr>
      <w:r w:rsidRPr="003D7307">
        <w:rPr>
          <w:color w:val="F79646" w:themeColor="accent6"/>
        </w:rPr>
        <w:t>Véleményem szerint a fenti négyes csoportosítás</w:t>
      </w:r>
      <w:r w:rsidR="00FB006E" w:rsidRPr="003D7307">
        <w:rPr>
          <w:color w:val="F79646" w:themeColor="accent6"/>
        </w:rPr>
        <w:t>ok</w:t>
      </w:r>
      <w:r w:rsidRPr="003D7307">
        <w:rPr>
          <w:color w:val="F79646" w:themeColor="accent6"/>
        </w:rPr>
        <w:t xml:space="preserve">ban rengeteg átfedést találunk a különböző kutatók munkáit tekintve, nagyrészt azonos megfigyeléseket tettek az osztályozást illetően. </w:t>
      </w:r>
      <w:r w:rsidR="00D37DCB" w:rsidRPr="003D7307">
        <w:rPr>
          <w:color w:val="F79646" w:themeColor="accent6"/>
        </w:rPr>
        <w:t>Úgy érzem</w:t>
      </w:r>
      <w:r w:rsidR="007558D2" w:rsidRPr="003D7307">
        <w:rPr>
          <w:color w:val="F79646" w:themeColor="accent6"/>
        </w:rPr>
        <w:t>,</w:t>
      </w:r>
      <w:r w:rsidR="00E56949" w:rsidRPr="003D7307">
        <w:rPr>
          <w:color w:val="F79646" w:themeColor="accent6"/>
        </w:rPr>
        <w:t xml:space="preserve"> mind</w:t>
      </w:r>
      <w:r w:rsidR="00D37DCB" w:rsidRPr="003D7307">
        <w:rPr>
          <w:color w:val="F79646" w:themeColor="accent6"/>
        </w:rPr>
        <w:t xml:space="preserve"> </w:t>
      </w:r>
      <w:r w:rsidR="00DB5745" w:rsidRPr="003D7307">
        <w:rPr>
          <w:color w:val="F79646" w:themeColor="accent6"/>
        </w:rPr>
        <w:t>ugyanazt a modellt alkottá</w:t>
      </w:r>
      <w:r w:rsidR="00D37DCB" w:rsidRPr="003D7307">
        <w:rPr>
          <w:color w:val="F79646" w:themeColor="accent6"/>
        </w:rPr>
        <w:t xml:space="preserve">k </w:t>
      </w:r>
      <w:r w:rsidR="00DB5745" w:rsidRPr="003D7307">
        <w:rPr>
          <w:color w:val="F79646" w:themeColor="accent6"/>
        </w:rPr>
        <w:t>meg különböző elnevezésekkel</w:t>
      </w:r>
      <w:r w:rsidR="009337E0" w:rsidRPr="003D7307">
        <w:rPr>
          <w:color w:val="F79646" w:themeColor="accent6"/>
        </w:rPr>
        <w:t>.</w:t>
      </w:r>
    </w:p>
    <w:p w:rsidR="00ED6292" w:rsidRDefault="00ED6292" w:rsidP="00ED6292">
      <w:pPr>
        <w:pStyle w:val="Cmsor2"/>
      </w:pPr>
      <w:bookmarkStart w:id="12" w:name="_Toc430796407"/>
      <w:r>
        <w:t>Beavatkozás a szervezeti kultúrába</w:t>
      </w:r>
      <w:bookmarkEnd w:id="12"/>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lastRenderedPageBreak/>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3" w:name="_Toc430796408"/>
      <w:r w:rsidRPr="00FE2BF8">
        <w:rPr>
          <w:rFonts w:cs="Times New Roman"/>
        </w:rPr>
        <w:t xml:space="preserve">A szervezeti kultúra </w:t>
      </w:r>
      <w:r w:rsidR="00497C31">
        <w:rPr>
          <w:rFonts w:cs="Times New Roman"/>
        </w:rPr>
        <w:t>hatása a teljesítményre</w:t>
      </w:r>
      <w:bookmarkEnd w:id="13"/>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w:t>
      </w:r>
      <w:r w:rsidR="00D50362">
        <w:lastRenderedPageBreak/>
        <w:t>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 xml:space="preserve">(1998)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 A leglényegesebb faktor</w:t>
      </w:r>
      <w:r w:rsidR="00D23A76">
        <w:t>,</w:t>
      </w:r>
      <w:r>
        <w:t xml:space="preserve"> </w:t>
      </w:r>
      <w:r>
        <w:lastRenderedPageBreak/>
        <w:t xml:space="preserve">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 xml:space="preserve">Denison (1990) szerint a konzisztens értékek és normák egy egységesen működő szervezetet eredményeznek, vagyis a fejlett szervezeti kultúra pozitív hatással van a teljesítményre, 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w:t>
      </w:r>
      <w:r>
        <w:rPr>
          <w:rFonts w:cs="Times New Roman"/>
        </w:rPr>
        <w:lastRenderedPageBreak/>
        <w:t>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4" w:name="_Toc430796409"/>
      <w:r>
        <w:t>Learning organization</w:t>
      </w:r>
      <w:bookmarkEnd w:id="14"/>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5" w:name="_Toc430796410"/>
      <w:r>
        <w:t>Learning society</w:t>
      </w:r>
      <w:bookmarkEnd w:id="15"/>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6" w:name="_Toc430796411"/>
      <w:r>
        <w:lastRenderedPageBreak/>
        <w:t>A modern és posztmodern szervezet</w:t>
      </w:r>
      <w:bookmarkEnd w:id="16"/>
    </w:p>
    <w:p w:rsidR="008E4805" w:rsidRPr="00E03229" w:rsidRDefault="008E4805" w:rsidP="008E4805">
      <w:pPr>
        <w:pStyle w:val="Cmsor3"/>
      </w:pPr>
      <w:bookmarkStart w:id="17" w:name="_Toc430796412"/>
      <w:r>
        <w:t>Filozófiai irányvonal</w:t>
      </w:r>
      <w:bookmarkEnd w:id="17"/>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lastRenderedPageBreak/>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8" w:name="_Toc430796413"/>
      <w:r>
        <w:t>Modern és posztmodern a gyakorlatban</w:t>
      </w:r>
      <w:bookmarkEnd w:id="18"/>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w:t>
      </w:r>
      <w:r w:rsidR="008916AA">
        <w:t>en a posztmodern szervezet nagy</w:t>
      </w:r>
      <w:r>
        <w:t xml:space="preserve">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w:t>
      </w:r>
      <w:r>
        <w:lastRenderedPageBreak/>
        <w:t>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19" w:name="_Toc430796414"/>
      <w:r>
        <w:t xml:space="preserve">A szervezeti kultúra </w:t>
      </w:r>
      <w:r w:rsidR="00DF010B">
        <w:t>feltárás</w:t>
      </w:r>
      <w:r w:rsidR="00145618">
        <w:t>a</w:t>
      </w:r>
      <w:bookmarkEnd w:id="19"/>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0" w:name="_Toc430796415"/>
      <w:r>
        <w:t>Problémák és megközelítés</w:t>
      </w:r>
      <w:r w:rsidR="002D2653">
        <w:t>ük</w:t>
      </w:r>
      <w:bookmarkEnd w:id="20"/>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1" w:name="_Toc430796416"/>
      <w:r>
        <w:t>Módszerek a feltárásra</w:t>
      </w:r>
      <w:bookmarkEnd w:id="21"/>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w:t>
      </w:r>
      <w:r w:rsidR="00773EAC">
        <w:lastRenderedPageBreak/>
        <w:t>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2" w:name="_Toc430796417"/>
      <w:r>
        <w:lastRenderedPageBreak/>
        <w:t>Saját vizsgálat bemutatása</w:t>
      </w:r>
      <w:bookmarkEnd w:id="22"/>
    </w:p>
    <w:p w:rsidR="00DF5797" w:rsidRDefault="000A251F" w:rsidP="00DF5797">
      <w:pPr>
        <w:pStyle w:val="Cmsor2"/>
      </w:pPr>
      <w:bookmarkStart w:id="23" w:name="_Toc430796418"/>
      <w:r>
        <w:t>Módszertani á</w:t>
      </w:r>
      <w:r w:rsidR="00DF5797">
        <w:t>ttekintés</w:t>
      </w:r>
      <w:r w:rsidR="00352E6E">
        <w:t>: tartalomelemzés</w:t>
      </w:r>
      <w:bookmarkEnd w:id="23"/>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4" w:name="_Toc430796419"/>
      <w:r>
        <w:t>A tartalomelemzés folyamata</w:t>
      </w:r>
      <w:bookmarkEnd w:id="24"/>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5" w:name="_Toc430796420"/>
      <w:r>
        <w:t>Vizsgálatom tárgya</w:t>
      </w:r>
      <w:r w:rsidR="00B65C13">
        <w:t>, célja</w:t>
      </w:r>
      <w:bookmarkEnd w:id="25"/>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6" w:name="_Toc430796421"/>
      <w:r>
        <w:t>Kvantitatív</w:t>
      </w:r>
      <w:r w:rsidR="007321B9">
        <w:t xml:space="preserve"> megközelíté</w:t>
      </w:r>
      <w:r w:rsidR="00910D4B">
        <w:t>s</w:t>
      </w:r>
      <w:bookmarkEnd w:id="26"/>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7"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7"/>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8" w:name="_Toc430796422"/>
      <w:r>
        <w:t>Kvalitatív</w:t>
      </w:r>
      <w:r w:rsidR="007321B9">
        <w:t xml:space="preserve"> megközelítés</w:t>
      </w:r>
      <w:bookmarkEnd w:id="28"/>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FF0D66"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E8468D" w:rsidRPr="00E8468D" w:rsidRDefault="00E8468D" w:rsidP="00FE78A0">
      <w:pPr>
        <w:rPr>
          <w:color w:val="F79646" w:themeColor="accent6"/>
        </w:rPr>
      </w:pPr>
      <w:r w:rsidRPr="00E8468D">
        <w:rPr>
          <w:color w:val="F79646" w:themeColor="accent6"/>
        </w:rPr>
        <w:t>túl rövid?</w:t>
      </w:r>
    </w:p>
    <w:p w:rsidR="004112A5" w:rsidRDefault="009120E3" w:rsidP="0086434A">
      <w:pPr>
        <w:pStyle w:val="Cmsor2"/>
      </w:pPr>
      <w:bookmarkStart w:id="29" w:name="_Toc430796423"/>
      <w:r>
        <w:t>Következtetések</w:t>
      </w:r>
      <w:bookmarkEnd w:id="29"/>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682B09" w:rsidRDefault="00964EEC" w:rsidP="009E6E60">
      <w:pPr>
        <w:pStyle w:val="Listaszerbekezds"/>
        <w:numPr>
          <w:ilvl w:val="0"/>
          <w:numId w:val="36"/>
        </w:numPr>
        <w:rPr>
          <w:color w:val="F79646" w:themeColor="accent6"/>
        </w:rPr>
      </w:pPr>
      <w:r>
        <w:rPr>
          <w:color w:val="F79646" w:themeColor="accent6"/>
        </w:rPr>
        <w:t xml:space="preserve">piaci résztvevőként </w:t>
      </w:r>
      <w:r w:rsidR="009C3144">
        <w:rPr>
          <w:color w:val="F79646" w:themeColor="accent6"/>
        </w:rPr>
        <w:t xml:space="preserve">képet kaphatunk </w:t>
      </w:r>
      <w:r w:rsidR="009E6E60">
        <w:rPr>
          <w:color w:val="F79646" w:themeColor="accent6"/>
        </w:rPr>
        <w:t>egy konkurens vagy potenciális partnercégről</w:t>
      </w:r>
      <w:r w:rsidR="009C3144">
        <w:rPr>
          <w:color w:val="F79646" w:themeColor="accent6"/>
        </w:rPr>
        <w:t xml:space="preserve"> vezetői szemléletéről</w:t>
      </w:r>
    </w:p>
    <w:p w:rsidR="009E6E60" w:rsidRDefault="009E6E60" w:rsidP="009E6E60">
      <w:pPr>
        <w:pStyle w:val="Listaszerbekezds"/>
        <w:numPr>
          <w:ilvl w:val="0"/>
          <w:numId w:val="36"/>
        </w:numPr>
        <w:rPr>
          <w:color w:val="F79646" w:themeColor="accent6"/>
        </w:rPr>
      </w:pPr>
      <w:r>
        <w:rPr>
          <w:color w:val="F79646" w:themeColor="accent6"/>
        </w:rPr>
        <w:t>elemezhetünk múltbéli kiadványokat hosszú ideje fennálló szervezetektől és ismerve a jelen állapotot modelleket alkothatunk teljesítmény előrejelzéshez</w:t>
      </w:r>
    </w:p>
    <w:p w:rsidR="009E6E60" w:rsidRPr="00682B09" w:rsidRDefault="009E6E60" w:rsidP="009E6E60">
      <w:pPr>
        <w:pStyle w:val="Listaszerbekezds"/>
        <w:numPr>
          <w:ilvl w:val="0"/>
          <w:numId w:val="36"/>
        </w:numPr>
        <w:rPr>
          <w:color w:val="F79646" w:themeColor="accent6"/>
        </w:rPr>
      </w:pPr>
      <w:r>
        <w:rPr>
          <w:color w:val="F79646" w:themeColor="accent6"/>
        </w:rPr>
        <w:t>iparágakra jellemző egyedi kulturális vonásokat fedhetünk fel</w:t>
      </w:r>
    </w:p>
    <w:p w:rsidR="00944B8A" w:rsidRPr="005C08B9" w:rsidRDefault="00944B8A" w:rsidP="00A10553">
      <w:r>
        <w:br w:type="page"/>
      </w:r>
    </w:p>
    <w:p w:rsidR="004977AA" w:rsidRDefault="004977AA" w:rsidP="004977AA">
      <w:pPr>
        <w:pStyle w:val="Cmsor1"/>
      </w:pPr>
      <w:bookmarkStart w:id="30" w:name="_Toc430796424"/>
      <w:r>
        <w:lastRenderedPageBreak/>
        <w:t>Összefoglalás</w:t>
      </w:r>
      <w:bookmarkEnd w:id="30"/>
    </w:p>
    <w:p w:rsidR="00947B8D" w:rsidRDefault="00077FC7" w:rsidP="00A10553">
      <w:r>
        <w:t xml:space="preserve">Munkám során összefoglaltam a szervezeti kultúra szerepéről </w:t>
      </w:r>
      <w:r w:rsidR="00AF6D67">
        <w:t>alkotott elképzeléseket,</w:t>
      </w:r>
      <w:r>
        <w:t xml:space="preserve"> bemutattam feltárásában rejlő lehetőségeket. </w:t>
      </w:r>
      <w:r w:rsidR="00DF142A">
        <w:t>Összegyűjtöttem az ismert kutatók álláspontját a szerve</w:t>
      </w:r>
      <w:r w:rsidR="00711D1C">
        <w:t>zeti kultúra és a szervezet tel</w:t>
      </w:r>
      <w:r w:rsidR="00DF142A">
        <w:t>je</w:t>
      </w:r>
      <w:r w:rsidR="000374AB">
        <w:t xml:space="preserve">sítményének kapcsolatáról. </w:t>
      </w:r>
      <w:r>
        <w:t xml:space="preserve">Saját vizsgálatként </w:t>
      </w:r>
      <w:r w:rsidR="00C43D32">
        <w:t>a módszertan</w:t>
      </w:r>
      <w:r w:rsidR="006563F2">
        <w:t>i</w:t>
      </w:r>
      <w:r w:rsidR="00C43D32">
        <w:t xml:space="preserve"> áttekintés</w:t>
      </w:r>
      <w:r w:rsidR="006563F2">
        <w:t>em alapján</w:t>
      </w:r>
      <w:r w:rsidR="00C43D32">
        <w:t xml:space="preserve"> </w:t>
      </w:r>
      <w:r w:rsidR="006563F2">
        <w:t xml:space="preserve">a létező és bevált kutatási módszereket </w:t>
      </w:r>
      <w:r w:rsidR="00C50900">
        <w:t xml:space="preserve">alkalmazva, azokat </w:t>
      </w:r>
      <w:r w:rsidR="006563F2">
        <w:t xml:space="preserve">némileg saját ízlésemre alakítva </w:t>
      </w:r>
      <w:r>
        <w:t xml:space="preserve">elvégeztem a Robert Bosch Kft. sajtóközleményeinek </w:t>
      </w:r>
      <w:r w:rsidR="006437D6">
        <w:t>k</w:t>
      </w:r>
      <w:r w:rsidR="006437D6">
        <w:t>valitatív és kvantitatív</w:t>
      </w:r>
      <w:r w:rsidR="006437D6">
        <w:t xml:space="preserve"> </w:t>
      </w:r>
      <w:r w:rsidR="00FC38B1">
        <w:t>tartalom</w:t>
      </w:r>
      <w:bookmarkStart w:id="31" w:name="_GoBack"/>
      <w:bookmarkEnd w:id="31"/>
      <w:r>
        <w:t xml:space="preserve">elemzését és </w:t>
      </w:r>
      <w:r w:rsidR="00583F62">
        <w:t>bemutattam</w:t>
      </w:r>
      <w:r>
        <w:t xml:space="preserve">, miként fedezhetők fel a </w:t>
      </w:r>
      <w:r w:rsidR="006437D6">
        <w:t xml:space="preserve">szervezeti kultúra valamint a </w:t>
      </w:r>
      <w:r>
        <w:t>vezetői szemlélet különböző jegyei az ilyen jellegű publikus kiadványokban</w:t>
      </w:r>
      <w:r w:rsidR="00583F62">
        <w:t>,</w:t>
      </w:r>
      <w:r w:rsidR="006437D6">
        <w:t xml:space="preserve"> ez hogyan hozható összefüggésbe a szervezet telj</w:t>
      </w:r>
      <w:r w:rsidR="009D76FB">
        <w:t>e</w:t>
      </w:r>
      <w:r w:rsidR="006437D6">
        <w:t>sítményével</w:t>
      </w:r>
      <w:r w:rsidR="00947B8D">
        <w:t xml:space="preserve"> és milyen módon nyerhetünk értékes információkat egy hasonló vizsgálat által</w:t>
      </w:r>
      <w:r>
        <w:t>.</w:t>
      </w:r>
    </w:p>
    <w:p w:rsidR="001279BE" w:rsidRPr="009E6E60" w:rsidRDefault="009E6E60" w:rsidP="00A10553">
      <w:pPr>
        <w:rPr>
          <w:color w:val="F79646" w:themeColor="accent6"/>
        </w:rPr>
      </w:pPr>
      <w:r w:rsidRPr="009E6E60">
        <w:rPr>
          <w:color w:val="F79646" w:themeColor="accent6"/>
        </w:rPr>
        <w:t xml:space="preserve">Vizsgálatom </w:t>
      </w:r>
      <w:r w:rsidR="00A114D9">
        <w:rPr>
          <w:color w:val="F79646" w:themeColor="accent6"/>
        </w:rPr>
        <w:t xml:space="preserve">folytatásaként vagy kiegészítéseként </w:t>
      </w:r>
      <w:r w:rsidR="00411F54">
        <w:rPr>
          <w:color w:val="F79646" w:themeColor="accent6"/>
        </w:rPr>
        <w:t>ideális lehet egy olyan kutatás, melyben a Robert Bosch Kft-t belülről vizsgáljuk a vezetőség vagy az alkalmazottak szemszögéből, interjú vagy kérdőív formájában.</w:t>
      </w:r>
      <w:r w:rsidR="006A1C8D">
        <w:rPr>
          <w:color w:val="F79646" w:themeColor="accent6"/>
        </w:rPr>
        <w:t xml:space="preserve"> </w:t>
      </w:r>
      <w:r w:rsidR="00586D87">
        <w:rPr>
          <w:color w:val="F79646" w:themeColor="accent6"/>
        </w:rPr>
        <w:t>K</w:t>
      </w:r>
      <w:r w:rsidR="00964730">
        <w:rPr>
          <w:color w:val="F79646" w:themeColor="accent6"/>
        </w:rPr>
        <w:t>öltséges</w:t>
      </w:r>
      <w:r w:rsidR="00586D87">
        <w:rPr>
          <w:color w:val="F79646" w:themeColor="accent6"/>
        </w:rPr>
        <w:t>ebb</w:t>
      </w:r>
      <w:r w:rsidR="00964730">
        <w:rPr>
          <w:color w:val="F79646" w:themeColor="accent6"/>
        </w:rPr>
        <w:t xml:space="preserve"> és időigényes</w:t>
      </w:r>
      <w:r w:rsidR="00586D87">
        <w:rPr>
          <w:color w:val="F79646" w:themeColor="accent6"/>
        </w:rPr>
        <w:t>ebb</w:t>
      </w:r>
      <w:r w:rsidR="00964730">
        <w:rPr>
          <w:color w:val="F79646" w:themeColor="accent6"/>
        </w:rPr>
        <w:t xml:space="preserve"> lenne,</w:t>
      </w:r>
      <w:r w:rsidR="00AF0542">
        <w:rPr>
          <w:color w:val="F79646" w:themeColor="accent6"/>
        </w:rPr>
        <w:t xml:space="preserve"> mint az itt</w:t>
      </w:r>
      <w:r w:rsidR="00097FFE">
        <w:rPr>
          <w:color w:val="F79646" w:themeColor="accent6"/>
        </w:rPr>
        <w:t xml:space="preserve"> bemutatott tartalomelemző munkám</w:t>
      </w:r>
      <w:r w:rsidR="00AF0542">
        <w:rPr>
          <w:color w:val="F79646" w:themeColor="accent6"/>
        </w:rPr>
        <w:t>,</w:t>
      </w:r>
      <w:r w:rsidR="00964730">
        <w:rPr>
          <w:color w:val="F79646" w:themeColor="accent6"/>
        </w:rPr>
        <w:t xml:space="preserve"> de e</w:t>
      </w:r>
      <w:r w:rsidR="00411F54">
        <w:rPr>
          <w:color w:val="F79646" w:themeColor="accent6"/>
        </w:rPr>
        <w:t xml:space="preserve">gy ilyen vizsgálat lényegesen </w:t>
      </w:r>
      <w:r w:rsidR="000B4A21">
        <w:rPr>
          <w:color w:val="F79646" w:themeColor="accent6"/>
        </w:rPr>
        <w:t>több információt hordozna</w:t>
      </w:r>
      <w:r w:rsidR="00411F54">
        <w:rPr>
          <w:color w:val="F79646" w:themeColor="accent6"/>
        </w:rPr>
        <w:t xml:space="preserve"> a szervezeti kultúra vizsgálatára nézve és lehetővé tenné, hogy összehasonlítsuk a szervezet kifelé mutatott képét a belső</w:t>
      </w:r>
      <w:r w:rsidR="000536A2">
        <w:rPr>
          <w:color w:val="F79646" w:themeColor="accent6"/>
        </w:rPr>
        <w:t xml:space="preserve"> állapotokkal, potenciálisan fényt derítve ellentmondásokra</w:t>
      </w:r>
      <w:r w:rsidR="00C776C4">
        <w:rPr>
          <w:color w:val="F79646" w:themeColor="accent6"/>
        </w:rPr>
        <w:t>, torzulásokra, keretrendszert képezve hason</w:t>
      </w:r>
      <w:r w:rsidR="001575BD">
        <w:rPr>
          <w:color w:val="F79646" w:themeColor="accent6"/>
        </w:rPr>
        <w:t>ló jellegű jövőbeli kutatásokhoz</w:t>
      </w:r>
      <w:r w:rsidR="00C776C4">
        <w:rPr>
          <w:color w:val="F79646" w:themeColor="accent6"/>
        </w:rPr>
        <w:t>.</w:t>
      </w:r>
      <w:r w:rsidR="001279BE" w:rsidRPr="009E6E60">
        <w:rPr>
          <w:color w:val="F79646" w:themeColor="accent6"/>
        </w:rPr>
        <w:br w:type="page"/>
      </w:r>
    </w:p>
    <w:p w:rsidR="00E30D27" w:rsidRPr="00E30D27" w:rsidRDefault="00E30D27" w:rsidP="00BD00BF">
      <w:pPr>
        <w:pStyle w:val="Cmsor1"/>
      </w:pPr>
      <w:bookmarkStart w:id="32" w:name="_Toc430796425"/>
      <w:r>
        <w:lastRenderedPageBreak/>
        <w:t>Irodalomjegyzék</w:t>
      </w:r>
      <w:bookmarkEnd w:id="32"/>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3" w:name="_Toc430796426"/>
      <w:r>
        <w:lastRenderedPageBreak/>
        <w:t>Mellékletek</w:t>
      </w:r>
      <w:bookmarkEnd w:id="33"/>
    </w:p>
    <w:p w:rsidR="001B76D7" w:rsidRPr="002041E9" w:rsidRDefault="001B76D7" w:rsidP="001B76D7">
      <w:pPr>
        <w:jc w:val="left"/>
        <w:rPr>
          <w:color w:val="E36C0A" w:themeColor="accent6" w:themeShade="BF"/>
        </w:rPr>
      </w:pPr>
      <w:r w:rsidRPr="002041E9">
        <w:rPr>
          <w:color w:val="E36C0A" w:themeColor="accent6" w:themeShade="BF"/>
        </w:rPr>
        <w:t>kell-e csatolnom a ~20 kiadványt, amit elemeztem?</w:t>
      </w:r>
    </w:p>
    <w:p w:rsidR="001B76D7" w:rsidRPr="002041E9" w:rsidRDefault="001B76D7" w:rsidP="001B76D7">
      <w:pPr>
        <w:rPr>
          <w:color w:val="E36C0A" w:themeColor="accent6" w:themeShade="BF"/>
        </w:rPr>
      </w:pPr>
      <w:r w:rsidRPr="002041E9">
        <w:rPr>
          <w:color w:val="E36C0A" w:themeColor="accent6" w:themeShade="BF"/>
        </w:rPr>
        <w:t>ha nem, akkor nincs egyéb mellékletem</w:t>
      </w:r>
    </w:p>
    <w:p w:rsidR="001B76D7" w:rsidRDefault="001B76D7" w:rsidP="001B76D7">
      <w:pPr>
        <w:pStyle w:val="Cmsor1"/>
      </w:pPr>
      <w:r>
        <w:t>Függelék</w:t>
      </w:r>
    </w:p>
    <w:p w:rsidR="002041E9" w:rsidRDefault="007B0D83" w:rsidP="007B0D83">
      <w:pPr>
        <w:rPr>
          <w:color w:val="E36C0A" w:themeColor="accent6" w:themeShade="BF"/>
        </w:rPr>
      </w:pPr>
      <w:r>
        <w:rPr>
          <w:color w:val="E36C0A" w:themeColor="accent6" w:themeShade="BF"/>
        </w:rPr>
        <w:t>konzultációk igazolása</w:t>
      </w:r>
    </w:p>
    <w:p w:rsidR="007B0D83" w:rsidRDefault="007B0D83" w:rsidP="007B0D83">
      <w:pPr>
        <w:rPr>
          <w:color w:val="E36C0A" w:themeColor="accent6" w:themeShade="BF"/>
        </w:rPr>
      </w:pPr>
      <w:r>
        <w:rPr>
          <w:color w:val="E36C0A" w:themeColor="accent6" w:themeShade="BF"/>
        </w:rPr>
        <w:t>nyilatkozat saját munkáról</w:t>
      </w:r>
    </w:p>
    <w:p w:rsidR="007B0D83" w:rsidRDefault="007B0D83" w:rsidP="007B0D83">
      <w:pPr>
        <w:rPr>
          <w:color w:val="E36C0A" w:themeColor="accent6" w:themeShade="BF"/>
        </w:rPr>
      </w:pPr>
      <w:r>
        <w:rPr>
          <w:color w:val="E36C0A" w:themeColor="accent6" w:themeShade="BF"/>
        </w:rPr>
        <w:t xml:space="preserve">? </w:t>
      </w:r>
      <w:r w:rsidR="0022596F">
        <w:rPr>
          <w:color w:val="E36C0A" w:themeColor="accent6" w:themeShade="BF"/>
        </w:rPr>
        <w:t>„</w:t>
      </w:r>
      <w:r>
        <w:rPr>
          <w:color w:val="E36C0A" w:themeColor="accent6" w:themeShade="BF"/>
        </w:rPr>
        <w:t>nyilatkozat vizsgálat</w:t>
      </w:r>
      <w:r w:rsidR="00F55475">
        <w:rPr>
          <w:color w:val="E36C0A" w:themeColor="accent6" w:themeShade="BF"/>
        </w:rPr>
        <w:t xml:space="preserve"> helyszínéről, cégszerű aláírás</w:t>
      </w:r>
      <w:r>
        <w:rPr>
          <w:color w:val="E36C0A" w:themeColor="accent6" w:themeShade="BF"/>
        </w:rPr>
        <w:t>sal</w:t>
      </w:r>
      <w:r w:rsidR="0022596F">
        <w:rPr>
          <w:color w:val="E36C0A" w:themeColor="accent6" w:themeShade="BF"/>
        </w:rPr>
        <w:t>”</w:t>
      </w:r>
      <w:r>
        <w:rPr>
          <w:color w:val="E36C0A" w:themeColor="accent6" w:themeShade="BF"/>
        </w:rPr>
        <w:t xml:space="preserve"> ?</w:t>
      </w:r>
    </w:p>
    <w:p w:rsidR="0022596F" w:rsidRDefault="0022596F" w:rsidP="007B0D83">
      <w:pPr>
        <w:rPr>
          <w:color w:val="E36C0A" w:themeColor="accent6" w:themeShade="BF"/>
        </w:rPr>
      </w:pPr>
      <w:r>
        <w:rPr>
          <w:color w:val="E36C0A" w:themeColor="accent6" w:themeShade="BF"/>
        </w:rPr>
        <w:t>? „diploma szakdolgozat rövid bemutatása” ? ez nem a korábbi Összefoglaló?</w:t>
      </w:r>
    </w:p>
    <w:p w:rsidR="007B0D83" w:rsidRPr="002041E9" w:rsidRDefault="007B0D83" w:rsidP="007B0D83"/>
    <w:sectPr w:rsidR="007B0D83" w:rsidRPr="002041E9" w:rsidSect="0052404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AFD" w:rsidRDefault="00B94AFD" w:rsidP="001E4E73">
      <w:pPr>
        <w:spacing w:after="0" w:line="240" w:lineRule="auto"/>
      </w:pPr>
      <w:r>
        <w:separator/>
      </w:r>
    </w:p>
  </w:endnote>
  <w:endnote w:type="continuationSeparator" w:id="0">
    <w:p w:rsidR="00B94AFD" w:rsidRDefault="00B94AFD"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Content>
      <w:p w:rsidR="00AF6D67" w:rsidRDefault="00AF6D67">
        <w:pPr>
          <w:pStyle w:val="llb"/>
          <w:jc w:val="center"/>
        </w:pPr>
        <w:r>
          <w:fldChar w:fldCharType="begin"/>
        </w:r>
        <w:r>
          <w:instrText>PAGE   \* MERGEFORMAT</w:instrText>
        </w:r>
        <w:r>
          <w:fldChar w:fldCharType="separate"/>
        </w:r>
        <w:r w:rsidR="00FC38B1">
          <w:rPr>
            <w:noProof/>
          </w:rPr>
          <w:t>46</w:t>
        </w:r>
        <w:r>
          <w:fldChar w:fldCharType="end"/>
        </w:r>
      </w:p>
    </w:sdtContent>
  </w:sdt>
  <w:p w:rsidR="00AF6D67" w:rsidRDefault="00AF6D6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AFD" w:rsidRDefault="00B94AFD" w:rsidP="001E4E73">
      <w:pPr>
        <w:spacing w:after="0" w:line="240" w:lineRule="auto"/>
      </w:pPr>
      <w:r>
        <w:separator/>
      </w:r>
    </w:p>
  </w:footnote>
  <w:footnote w:type="continuationSeparator" w:id="0">
    <w:p w:rsidR="00B94AFD" w:rsidRDefault="00B94AFD" w:rsidP="001E4E73">
      <w:pPr>
        <w:spacing w:after="0" w:line="240" w:lineRule="auto"/>
      </w:pPr>
      <w:r>
        <w:continuationSeparator/>
      </w:r>
    </w:p>
  </w:footnote>
  <w:footnote w:id="1">
    <w:p w:rsidR="00AF6D67" w:rsidRDefault="00AF6D67"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AF6D67" w:rsidRPr="00C045E9" w:rsidRDefault="00AF6D67"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AF6D67" w:rsidRDefault="00AF6D67" w:rsidP="008E4805">
      <w:pPr>
        <w:pStyle w:val="Lbjegyzetszveg"/>
      </w:pPr>
    </w:p>
  </w:footnote>
  <w:footnote w:id="3">
    <w:p w:rsidR="00AF6D67" w:rsidRDefault="00AF6D67"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AF6D67" w:rsidRDefault="00AF6D67">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4"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2"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0"/>
  </w:num>
  <w:num w:numId="2">
    <w:abstractNumId w:val="14"/>
  </w:num>
  <w:num w:numId="3">
    <w:abstractNumId w:val="2"/>
  </w:num>
  <w:num w:numId="4">
    <w:abstractNumId w:val="5"/>
  </w:num>
  <w:num w:numId="5">
    <w:abstractNumId w:val="28"/>
  </w:num>
  <w:num w:numId="6">
    <w:abstractNumId w:val="9"/>
  </w:num>
  <w:num w:numId="7">
    <w:abstractNumId w:val="24"/>
  </w:num>
  <w:num w:numId="8">
    <w:abstractNumId w:val="35"/>
  </w:num>
  <w:num w:numId="9">
    <w:abstractNumId w:val="30"/>
  </w:num>
  <w:num w:numId="10">
    <w:abstractNumId w:val="25"/>
  </w:num>
  <w:num w:numId="11">
    <w:abstractNumId w:val="13"/>
  </w:num>
  <w:num w:numId="12">
    <w:abstractNumId w:val="11"/>
  </w:num>
  <w:num w:numId="13">
    <w:abstractNumId w:val="10"/>
  </w:num>
  <w:num w:numId="14">
    <w:abstractNumId w:val="34"/>
  </w:num>
  <w:num w:numId="15">
    <w:abstractNumId w:val="36"/>
  </w:num>
  <w:num w:numId="16">
    <w:abstractNumId w:val="3"/>
  </w:num>
  <w:num w:numId="17">
    <w:abstractNumId w:val="22"/>
  </w:num>
  <w:num w:numId="18">
    <w:abstractNumId w:val="12"/>
  </w:num>
  <w:num w:numId="19">
    <w:abstractNumId w:val="21"/>
  </w:num>
  <w:num w:numId="20">
    <w:abstractNumId w:val="19"/>
  </w:num>
  <w:num w:numId="21">
    <w:abstractNumId w:val="6"/>
  </w:num>
  <w:num w:numId="22">
    <w:abstractNumId w:val="27"/>
  </w:num>
  <w:num w:numId="23">
    <w:abstractNumId w:val="16"/>
  </w:num>
  <w:num w:numId="24">
    <w:abstractNumId w:val="7"/>
  </w:num>
  <w:num w:numId="25">
    <w:abstractNumId w:val="18"/>
  </w:num>
  <w:num w:numId="26">
    <w:abstractNumId w:val="15"/>
  </w:num>
  <w:num w:numId="27">
    <w:abstractNumId w:val="23"/>
  </w:num>
  <w:num w:numId="28">
    <w:abstractNumId w:val="8"/>
  </w:num>
  <w:num w:numId="29">
    <w:abstractNumId w:val="33"/>
  </w:num>
  <w:num w:numId="30">
    <w:abstractNumId w:val="37"/>
  </w:num>
  <w:num w:numId="31">
    <w:abstractNumId w:val="26"/>
  </w:num>
  <w:num w:numId="32">
    <w:abstractNumId w:val="17"/>
  </w:num>
  <w:num w:numId="33">
    <w:abstractNumId w:val="4"/>
  </w:num>
  <w:num w:numId="34">
    <w:abstractNumId w:val="0"/>
  </w:num>
  <w:num w:numId="35">
    <w:abstractNumId w:val="31"/>
  </w:num>
  <w:num w:numId="36">
    <w:abstractNumId w:val="29"/>
  </w:num>
  <w:num w:numId="37">
    <w:abstractNumId w:val="3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4AB"/>
    <w:rsid w:val="00037C9B"/>
    <w:rsid w:val="00041AE1"/>
    <w:rsid w:val="00043812"/>
    <w:rsid w:val="00043993"/>
    <w:rsid w:val="00043A52"/>
    <w:rsid w:val="000447E8"/>
    <w:rsid w:val="00046D25"/>
    <w:rsid w:val="00051896"/>
    <w:rsid w:val="000536A2"/>
    <w:rsid w:val="00054F6A"/>
    <w:rsid w:val="000550E2"/>
    <w:rsid w:val="000556B3"/>
    <w:rsid w:val="00061088"/>
    <w:rsid w:val="0006144D"/>
    <w:rsid w:val="00061635"/>
    <w:rsid w:val="000627F1"/>
    <w:rsid w:val="0006535D"/>
    <w:rsid w:val="00066836"/>
    <w:rsid w:val="000671EC"/>
    <w:rsid w:val="000725F8"/>
    <w:rsid w:val="00073178"/>
    <w:rsid w:val="00074378"/>
    <w:rsid w:val="00075438"/>
    <w:rsid w:val="00076530"/>
    <w:rsid w:val="00076B80"/>
    <w:rsid w:val="00076DB5"/>
    <w:rsid w:val="00077FC7"/>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97FFE"/>
    <w:rsid w:val="000A251F"/>
    <w:rsid w:val="000A5449"/>
    <w:rsid w:val="000A5DA6"/>
    <w:rsid w:val="000B1DE3"/>
    <w:rsid w:val="000B24C9"/>
    <w:rsid w:val="000B2A80"/>
    <w:rsid w:val="000B2D9E"/>
    <w:rsid w:val="000B31D1"/>
    <w:rsid w:val="000B42D3"/>
    <w:rsid w:val="000B4A21"/>
    <w:rsid w:val="000B4AAB"/>
    <w:rsid w:val="000B6B64"/>
    <w:rsid w:val="000B75FE"/>
    <w:rsid w:val="000C0FF4"/>
    <w:rsid w:val="000C117C"/>
    <w:rsid w:val="000C59A0"/>
    <w:rsid w:val="000D1134"/>
    <w:rsid w:val="000D17D3"/>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618"/>
    <w:rsid w:val="00146D05"/>
    <w:rsid w:val="00150E70"/>
    <w:rsid w:val="001542B9"/>
    <w:rsid w:val="0015568D"/>
    <w:rsid w:val="00155802"/>
    <w:rsid w:val="00155D2D"/>
    <w:rsid w:val="00155FB5"/>
    <w:rsid w:val="00156691"/>
    <w:rsid w:val="001575BD"/>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1A54"/>
    <w:rsid w:val="001828CA"/>
    <w:rsid w:val="00186672"/>
    <w:rsid w:val="0018677A"/>
    <w:rsid w:val="00187B6D"/>
    <w:rsid w:val="00190D57"/>
    <w:rsid w:val="001913D3"/>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2D95"/>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1F54"/>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5E4"/>
    <w:rsid w:val="0045734A"/>
    <w:rsid w:val="00457555"/>
    <w:rsid w:val="0045776C"/>
    <w:rsid w:val="00457B57"/>
    <w:rsid w:val="004613B0"/>
    <w:rsid w:val="00461AF6"/>
    <w:rsid w:val="00463946"/>
    <w:rsid w:val="00463A7C"/>
    <w:rsid w:val="0046419C"/>
    <w:rsid w:val="0046618E"/>
    <w:rsid w:val="0047063B"/>
    <w:rsid w:val="00474518"/>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3F62"/>
    <w:rsid w:val="00585225"/>
    <w:rsid w:val="005864BE"/>
    <w:rsid w:val="0058651A"/>
    <w:rsid w:val="00586AA3"/>
    <w:rsid w:val="00586B32"/>
    <w:rsid w:val="00586D87"/>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37D6"/>
    <w:rsid w:val="006456A3"/>
    <w:rsid w:val="00647E20"/>
    <w:rsid w:val="006509A5"/>
    <w:rsid w:val="006510B4"/>
    <w:rsid w:val="00651826"/>
    <w:rsid w:val="00651E8B"/>
    <w:rsid w:val="00652EC7"/>
    <w:rsid w:val="0065586E"/>
    <w:rsid w:val="00656250"/>
    <w:rsid w:val="006563F2"/>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A060A"/>
    <w:rsid w:val="006A0BCE"/>
    <w:rsid w:val="006A1C8D"/>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7001E3"/>
    <w:rsid w:val="0070115B"/>
    <w:rsid w:val="0070511D"/>
    <w:rsid w:val="007054C1"/>
    <w:rsid w:val="0070662E"/>
    <w:rsid w:val="00706902"/>
    <w:rsid w:val="007101A3"/>
    <w:rsid w:val="00710E49"/>
    <w:rsid w:val="00711151"/>
    <w:rsid w:val="00711BEC"/>
    <w:rsid w:val="00711D1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6E39"/>
    <w:rsid w:val="007D720F"/>
    <w:rsid w:val="007D73DA"/>
    <w:rsid w:val="007D7888"/>
    <w:rsid w:val="007E0561"/>
    <w:rsid w:val="007E3023"/>
    <w:rsid w:val="007E4630"/>
    <w:rsid w:val="007E58F5"/>
    <w:rsid w:val="007E7361"/>
    <w:rsid w:val="007E7BD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222E"/>
    <w:rsid w:val="00863198"/>
    <w:rsid w:val="0086434A"/>
    <w:rsid w:val="00870713"/>
    <w:rsid w:val="00871714"/>
    <w:rsid w:val="00873C0B"/>
    <w:rsid w:val="00876061"/>
    <w:rsid w:val="0088175D"/>
    <w:rsid w:val="008819AC"/>
    <w:rsid w:val="008829EC"/>
    <w:rsid w:val="00882C33"/>
    <w:rsid w:val="008842D8"/>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15E"/>
    <w:rsid w:val="009057A4"/>
    <w:rsid w:val="0091009C"/>
    <w:rsid w:val="00910758"/>
    <w:rsid w:val="00910D4B"/>
    <w:rsid w:val="00911154"/>
    <w:rsid w:val="009111E9"/>
    <w:rsid w:val="009116F7"/>
    <w:rsid w:val="00911F0A"/>
    <w:rsid w:val="009120E3"/>
    <w:rsid w:val="0091471E"/>
    <w:rsid w:val="00915057"/>
    <w:rsid w:val="0091539A"/>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B8D"/>
    <w:rsid w:val="00947EB4"/>
    <w:rsid w:val="00950F2B"/>
    <w:rsid w:val="00951D40"/>
    <w:rsid w:val="00952101"/>
    <w:rsid w:val="0095419C"/>
    <w:rsid w:val="00955379"/>
    <w:rsid w:val="009556ED"/>
    <w:rsid w:val="0095737B"/>
    <w:rsid w:val="009615F8"/>
    <w:rsid w:val="00961AE1"/>
    <w:rsid w:val="00962A9F"/>
    <w:rsid w:val="00964035"/>
    <w:rsid w:val="00964730"/>
    <w:rsid w:val="00964EEC"/>
    <w:rsid w:val="00966E30"/>
    <w:rsid w:val="009679D7"/>
    <w:rsid w:val="009719BF"/>
    <w:rsid w:val="00971D4F"/>
    <w:rsid w:val="00971E3C"/>
    <w:rsid w:val="0097247E"/>
    <w:rsid w:val="0097291C"/>
    <w:rsid w:val="009734EB"/>
    <w:rsid w:val="00974FA3"/>
    <w:rsid w:val="00975944"/>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067"/>
    <w:rsid w:val="009C273C"/>
    <w:rsid w:val="009C3144"/>
    <w:rsid w:val="009C3424"/>
    <w:rsid w:val="009C3D57"/>
    <w:rsid w:val="009C640D"/>
    <w:rsid w:val="009C6FE5"/>
    <w:rsid w:val="009C761C"/>
    <w:rsid w:val="009D08D1"/>
    <w:rsid w:val="009D2F77"/>
    <w:rsid w:val="009D3366"/>
    <w:rsid w:val="009D3825"/>
    <w:rsid w:val="009D76FB"/>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14D9"/>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DA3"/>
    <w:rsid w:val="00AE3469"/>
    <w:rsid w:val="00AE382D"/>
    <w:rsid w:val="00AE3DE3"/>
    <w:rsid w:val="00AE5BCC"/>
    <w:rsid w:val="00AE7CD3"/>
    <w:rsid w:val="00AF0542"/>
    <w:rsid w:val="00AF1B72"/>
    <w:rsid w:val="00AF3581"/>
    <w:rsid w:val="00AF3D7A"/>
    <w:rsid w:val="00AF6C61"/>
    <w:rsid w:val="00AF6D67"/>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4AFD"/>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3D32"/>
    <w:rsid w:val="00C447D1"/>
    <w:rsid w:val="00C46E8E"/>
    <w:rsid w:val="00C478BF"/>
    <w:rsid w:val="00C47D4E"/>
    <w:rsid w:val="00C50900"/>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776C4"/>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42A"/>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8B1"/>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numPr>
        <w:numId w:val="35"/>
      </w:numPr>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numPr>
        <w:ilvl w:val="1"/>
        <w:numId w:val="35"/>
      </w:numPr>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numPr>
        <w:ilvl w:val="2"/>
        <w:numId w:val="35"/>
      </w:numPr>
      <w:spacing w:before="200" w:after="0"/>
      <w:outlineLvl w:val="2"/>
    </w:pPr>
    <w:rPr>
      <w:rFonts w:asciiTheme="majorHAnsi" w:eastAsiaTheme="majorEastAsia" w:hAnsiTheme="majorHAnsi" w:cstheme="majorBidi"/>
      <w:bCs/>
      <w:color w:val="4F81BD" w:themeColor="accent1"/>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DAD3FC-3377-4E7A-970E-5867F6D8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57136</TotalTime>
  <Pages>47</Pages>
  <Words>11478</Words>
  <Characters>79200</Characters>
  <Application>Microsoft Office Word</Application>
  <DocSecurity>0</DocSecurity>
  <Lines>660</Lines>
  <Paragraphs>180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1753</cp:revision>
  <dcterms:created xsi:type="dcterms:W3CDTF">2014-02-05T18:19:00Z</dcterms:created>
  <dcterms:modified xsi:type="dcterms:W3CDTF">2015-09-23T21:04:00Z</dcterms:modified>
</cp:coreProperties>
</file>