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6D0" w:rsidRDefault="0008435E" w:rsidP="00C53B1B">
      <w:pPr>
        <w:jc w:val="center"/>
        <w:rPr>
          <w:sz w:val="32"/>
          <w:szCs w:val="32"/>
        </w:rPr>
      </w:pPr>
      <w:r w:rsidRPr="007D46D0">
        <w:rPr>
          <w:sz w:val="32"/>
          <w:szCs w:val="32"/>
        </w:rPr>
        <w:t>Szent István Egyetem</w:t>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7C7B7A" w:rsidRDefault="00FC126D" w:rsidP="00BA4FE8">
      <w:pPr>
        <w:jc w:val="center"/>
      </w:pPr>
      <w:r w:rsidRPr="007C7B7A">
        <w:t xml:space="preserve">Komor Levente </w:t>
      </w:r>
      <w:r w:rsidR="00CE6591">
        <w:t>e</w:t>
      </w:r>
      <w:r w:rsidRPr="007C7B7A">
        <w:t>gyetemi docens</w:t>
      </w:r>
    </w:p>
    <w:p w:rsidR="00BA4FE8" w:rsidRDefault="00BA4FE8" w:rsidP="00BA4FE8">
      <w:pPr>
        <w:jc w:val="center"/>
      </w:pPr>
      <w:r>
        <w:t>Készítette: Sallai András</w:t>
      </w:r>
    </w:p>
    <w:p w:rsidR="00985510" w:rsidRDefault="00985510" w:rsidP="00BA4FE8">
      <w:pPr>
        <w:jc w:val="center"/>
      </w:pPr>
      <w:r>
        <w:t xml:space="preserve">Emberi Erőforrás </w:t>
      </w:r>
      <w:r w:rsidRPr="00F05905">
        <w:rPr>
          <w:color w:val="E36C0A" w:themeColor="accent6" w:themeShade="BF"/>
        </w:rPr>
        <w:t>Menedzsment</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B55925" w:rsidP="004B6B18">
      <w:pPr>
        <w:pStyle w:val="Heading1"/>
      </w:pPr>
      <w:r>
        <w:lastRenderedPageBreak/>
        <w:t>Bevezető</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3E10BF" w:rsidRDefault="003E10BF" w:rsidP="00873C0B">
      <w:r>
        <w:t>megvizsgálom…..</w:t>
      </w:r>
    </w:p>
    <w:p w:rsidR="003E10BF" w:rsidRDefault="003E10BF" w:rsidP="00873C0B">
      <w:r>
        <w:t>elemzem</w:t>
      </w:r>
    </w:p>
    <w:p w:rsidR="003E10BF" w:rsidRDefault="003E10BF" w:rsidP="00873C0B">
      <w:r>
        <w:t>értékelem</w:t>
      </w:r>
    </w:p>
    <w:p w:rsidR="003E10BF" w:rsidRDefault="003E10BF" w:rsidP="00873C0B">
      <w:r>
        <w:t>következ</w:t>
      </w:r>
      <w:bookmarkStart w:id="0" w:name="_GoBack"/>
      <w:bookmarkEnd w:id="0"/>
      <w:r>
        <w:t>tetéseket vonok</w:t>
      </w:r>
      <w:r w:rsidR="00821C94">
        <w:t xml:space="preserve"> </w:t>
      </w:r>
      <w:r>
        <w:t>le</w:t>
      </w:r>
    </w:p>
    <w:p w:rsidR="003E10BF" w:rsidRDefault="003E10BF" w:rsidP="00873C0B">
      <w:r>
        <w:t>javaslatokat fogalmazok meg</w:t>
      </w:r>
    </w:p>
    <w:p w:rsidR="003E10BF" w:rsidRDefault="003E10BF" w:rsidP="00873C0B">
      <w:r>
        <w:t>a módszertan alapvetően</w:t>
      </w:r>
    </w:p>
    <w:p w:rsidR="003E10BF" w:rsidRDefault="003E10BF" w:rsidP="00873C0B">
      <w:r>
        <w:t>a vizsgálatom helye,célcsoportja, a minta…</w:t>
      </w:r>
    </w:p>
    <w:p w:rsidR="003E10BF" w:rsidRDefault="003E10BF" w:rsidP="00873C0B">
      <w:r>
        <w:t>a végére egy jó gondolatot, valami szubjektív dolog</w:t>
      </w:r>
    </w:p>
    <w:p w:rsidR="00155802" w:rsidRDefault="00155802" w:rsidP="00155802">
      <w:pPr>
        <w:rPr>
          <w:color w:val="E36C0A" w:themeColor="accent6" w:themeShade="BF"/>
        </w:rPr>
      </w:pPr>
      <w:r w:rsidRPr="004B3D05">
        <w:rPr>
          <w:color w:val="E36C0A" w:themeColor="accent6" w:themeShade="BF"/>
        </w:rPr>
        <w:t>Hipotézis 1 / 2 / 3</w:t>
      </w:r>
      <w:r w:rsidR="00CC04EB" w:rsidRPr="004B3D05">
        <w:rPr>
          <w:color w:val="E36C0A" w:themeColor="accent6" w:themeShade="BF"/>
        </w:rPr>
        <w:t xml:space="preserve">  [</w:t>
      </w:r>
      <w:r w:rsidRPr="004B3D05">
        <w:rPr>
          <w:color w:val="E36C0A" w:themeColor="accent6" w:themeShade="BF"/>
        </w:rPr>
        <w:t xml:space="preserve"> / 4 / 5</w:t>
      </w:r>
      <w:r w:rsidR="00CC04EB" w:rsidRPr="004B3D05">
        <w:rPr>
          <w:color w:val="E36C0A" w:themeColor="accent6" w:themeShade="BF"/>
        </w:rPr>
        <w:t>]</w:t>
      </w:r>
    </w:p>
    <w:p w:rsidR="004B3D05" w:rsidRDefault="004B3D05" w:rsidP="004B3D05">
      <w:pPr>
        <w:pStyle w:val="ListParagraph"/>
        <w:numPr>
          <w:ilvl w:val="0"/>
          <w:numId w:val="26"/>
        </w:numPr>
        <w:rPr>
          <w:color w:val="E36C0A" w:themeColor="accent6" w:themeShade="BF"/>
        </w:rPr>
      </w:pPr>
      <w:r>
        <w:rPr>
          <w:color w:val="E36C0A" w:themeColor="accent6" w:themeShade="BF"/>
        </w:rPr>
        <w:t xml:space="preserve">Rohamosan fejlődő iparágának (gépjárműelektronika, kéziszerszámok) jellegéből </w:t>
      </w:r>
      <w:r w:rsidR="003534E1">
        <w:rPr>
          <w:color w:val="E36C0A" w:themeColor="accent6" w:themeShade="BF"/>
        </w:rPr>
        <w:t xml:space="preserve">valamint az erős globális versenyből </w:t>
      </w:r>
      <w:r>
        <w:rPr>
          <w:color w:val="E36C0A" w:themeColor="accent6" w:themeShade="BF"/>
        </w:rPr>
        <w:t xml:space="preserve">adódóan arra számítok, hogy a Robert Bosch </w:t>
      </w:r>
      <w:r w:rsidR="003534E1">
        <w:rPr>
          <w:color w:val="E36C0A" w:themeColor="accent6" w:themeShade="BF"/>
        </w:rPr>
        <w:t>Kft. vezetési szemléletében kitüntetett szerepet kap a dinamizmus és az innováció.</w:t>
      </w:r>
    </w:p>
    <w:p w:rsidR="00CE2887" w:rsidRPr="004B3D05" w:rsidRDefault="00CE2887" w:rsidP="004B3D05">
      <w:pPr>
        <w:pStyle w:val="ListParagraph"/>
        <w:numPr>
          <w:ilvl w:val="0"/>
          <w:numId w:val="26"/>
        </w:numPr>
        <w:rPr>
          <w:color w:val="E36C0A" w:themeColor="accent6" w:themeShade="BF"/>
        </w:rPr>
      </w:pPr>
    </w:p>
    <w:p w:rsidR="00A15B29" w:rsidRPr="006A2E23" w:rsidRDefault="00A15B29" w:rsidP="00A15B29">
      <w:pPr>
        <w:pStyle w:val="Heading1"/>
      </w:pPr>
      <w:r>
        <w:lastRenderedPageBreak/>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FB18F1" w:rsidRPr="00940D05" w:rsidRDefault="00FB18F1" w:rsidP="00BD25A3">
      <w:pPr>
        <w:ind w:left="708" w:hanging="708"/>
        <w:rPr>
          <w:rFonts w:cs="Times New Roman"/>
          <w:color w:val="E36C0A" w:themeColor="accent6" w:themeShade="BF"/>
        </w:rPr>
      </w:pPr>
      <w:r w:rsidRPr="00940D05">
        <w:rPr>
          <w:rFonts w:cs="Times New Roman"/>
          <w:color w:val="E36C0A" w:themeColor="accent6" w:themeShade="BF"/>
        </w:rPr>
        <w:t xml:space="preserve">Feischmidt Margit </w:t>
      </w:r>
      <w:r w:rsidR="007001E3" w:rsidRPr="00940D05">
        <w:rPr>
          <w:rFonts w:cs="Times New Roman"/>
          <w:color w:val="E36C0A" w:themeColor="accent6" w:themeShade="BF"/>
        </w:rPr>
        <w:t xml:space="preserve">: </w:t>
      </w:r>
      <w:r w:rsidRPr="00940D05">
        <w:rPr>
          <w:rFonts w:cs="Times New Roman"/>
          <w:color w:val="E36C0A" w:themeColor="accent6" w:themeShade="BF"/>
        </w:rPr>
        <w:t>multikulturalizmus</w:t>
      </w:r>
      <w:r w:rsidR="007001E3" w:rsidRPr="00940D05">
        <w:rPr>
          <w:rFonts w:cs="Times New Roman"/>
          <w:color w:val="E36C0A" w:themeColor="accent6" w:themeShade="BF"/>
        </w:rPr>
        <w:t xml:space="preserve"> – kultúra fogalmát jobban áttekinteni a szervezeti kultúra fogalmának tárgyalása elött</w:t>
      </w:r>
    </w:p>
    <w:p w:rsidR="00B67F54" w:rsidRPr="00940D05" w:rsidRDefault="00B67F54" w:rsidP="00BD25A3">
      <w:pPr>
        <w:ind w:left="708" w:hanging="708"/>
        <w:rPr>
          <w:rFonts w:cs="Times New Roman"/>
          <w:color w:val="E36C0A" w:themeColor="accent6" w:themeShade="BF"/>
        </w:rPr>
      </w:pPr>
      <w:r w:rsidRPr="00940D05">
        <w:rPr>
          <w:rFonts w:cs="Times New Roman"/>
          <w:color w:val="E36C0A" w:themeColor="accent6" w:themeShade="BF"/>
        </w:rPr>
        <w:t>társadalom genetikája</w:t>
      </w:r>
    </w:p>
    <w:p w:rsidR="00B67F54" w:rsidRPr="00940D05" w:rsidRDefault="00B67F54" w:rsidP="00BD25A3">
      <w:pPr>
        <w:ind w:left="708" w:hanging="708"/>
        <w:rPr>
          <w:rFonts w:cs="Times New Roman"/>
          <w:color w:val="E36C0A" w:themeColor="accent6" w:themeShade="BF"/>
        </w:rPr>
      </w:pPr>
      <w:r w:rsidRPr="00940D05">
        <w:rPr>
          <w:rFonts w:cs="Times New Roman"/>
          <w:color w:val="E36C0A" w:themeColor="accent6" w:themeShade="BF"/>
        </w:rPr>
        <w:t>minek kell egy cégnek kultúra- mert túlélni akar - túléléshez szükséges eszközök, környezethe való alkalmazkodási eszközök</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lastRenderedPageBreak/>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w:t>
      </w:r>
      <w:r>
        <w:lastRenderedPageBreak/>
        <w:t>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 xml:space="preserve">A szocializációs </w:t>
      </w:r>
      <w:r w:rsidR="009615F8">
        <w:lastRenderedPageBreak/>
        <w:t>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lastRenderedPageBreak/>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lastRenderedPageBreak/>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lastRenderedPageBreak/>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lastRenderedPageBreak/>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w:t>
      </w:r>
      <w:r>
        <w:lastRenderedPageBreak/>
        <w:t xml:space="preserve">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lastRenderedPageBreak/>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lastRenderedPageBreak/>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lastRenderedPageBreak/>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w:t>
      </w:r>
      <w:r>
        <w:rPr>
          <w:rFonts w:cs="Times New Roman"/>
        </w:rPr>
        <w:lastRenderedPageBreak/>
        <w:t>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w:t>
      </w:r>
      <w:r w:rsidR="00076DB5">
        <w:lastRenderedPageBreak/>
        <w:t xml:space="preserve">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lastRenderedPageBreak/>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C339B7" w:rsidRDefault="0015568D" w:rsidP="0015568D">
      <w:pPr>
        <w:pStyle w:val="Heading2"/>
        <w:rPr>
          <w:color w:val="E36C0A" w:themeColor="accent6" w:themeShade="BF"/>
        </w:rPr>
      </w:pPr>
      <w:r w:rsidRPr="00C339B7">
        <w:rPr>
          <w:color w:val="E36C0A" w:themeColor="accent6" w:themeShade="BF"/>
        </w:rPr>
        <w:t>Saját véleményem</w:t>
      </w:r>
    </w:p>
    <w:p w:rsidR="0015568D" w:rsidRPr="00C339B7" w:rsidRDefault="0015568D" w:rsidP="0015568D">
      <w:pPr>
        <w:rPr>
          <w:rFonts w:cs="Times New Roman"/>
          <w:color w:val="E36C0A" w:themeColor="accent6" w:themeShade="BF"/>
        </w:rPr>
      </w:pPr>
      <w:r w:rsidRPr="00C339B7">
        <w:rPr>
          <w:rFonts w:cs="Times New Roman"/>
          <w:color w:val="E36C0A" w:themeColor="accent6" w:themeShade="BF"/>
        </w:rPr>
        <w:t xml:space="preserve">A szakirodalmi áttekintést, fentebb bemutatott modelleket és elképzeléseket szeretném </w:t>
      </w:r>
      <w:r w:rsidR="00D00959" w:rsidRPr="00C339B7">
        <w:rPr>
          <w:rFonts w:cs="Times New Roman"/>
          <w:color w:val="E36C0A" w:themeColor="accent6" w:themeShade="BF"/>
        </w:rPr>
        <w:t>tanulmányaim során szerzett tudásom</w:t>
      </w:r>
      <w:r w:rsidR="00EA5076" w:rsidRPr="00C339B7">
        <w:rPr>
          <w:rFonts w:cs="Times New Roman"/>
          <w:color w:val="E36C0A" w:themeColor="accent6" w:themeShade="BF"/>
        </w:rPr>
        <w:t>mal</w:t>
      </w:r>
      <w:r w:rsidR="00D00959" w:rsidRPr="00C339B7">
        <w:rPr>
          <w:rFonts w:cs="Times New Roman"/>
          <w:color w:val="E36C0A" w:themeColor="accent6" w:themeShade="BF"/>
        </w:rPr>
        <w:t xml:space="preserve"> illetve saját tapasztaltaim</w:t>
      </w:r>
      <w:r w:rsidR="00EA5076" w:rsidRPr="00C339B7">
        <w:rPr>
          <w:rFonts w:cs="Times New Roman"/>
          <w:color w:val="E36C0A" w:themeColor="accent6" w:themeShade="BF"/>
        </w:rPr>
        <w:t xml:space="preserve">mal </w:t>
      </w:r>
      <w:r w:rsidRPr="00C339B7">
        <w:rPr>
          <w:rFonts w:cs="Times New Roman"/>
          <w:color w:val="E36C0A" w:themeColor="accent6" w:themeShade="BF"/>
        </w:rPr>
        <w:t>kiegészítve összefoglalni</w:t>
      </w:r>
      <w:r w:rsidR="00EE64A4" w:rsidRPr="00C339B7">
        <w:rPr>
          <w:rFonts w:cs="Times New Roman"/>
          <w:color w:val="E36C0A" w:themeColor="accent6" w:themeShade="BF"/>
        </w:rPr>
        <w:t>…</w:t>
      </w:r>
      <w:r w:rsidR="00D00959" w:rsidRPr="00C339B7">
        <w:rPr>
          <w:rFonts w:cs="Times New Roman"/>
          <w:color w:val="E36C0A" w:themeColor="accent6" w:themeShade="BF"/>
        </w:rPr>
        <w:t xml:space="preserve"> </w:t>
      </w:r>
      <w:r w:rsidR="00B6318F" w:rsidRPr="00C339B7">
        <w:rPr>
          <w:rFonts w:cs="Times New Roman"/>
          <w:color w:val="E36C0A" w:themeColor="accent6" w:themeShade="BF"/>
        </w:rPr>
        <w:t>(???)</w:t>
      </w:r>
      <w:r w:rsidR="00F53635" w:rsidRPr="00C339B7">
        <w:rPr>
          <w:rFonts w:cs="Times New Roman"/>
          <w:color w:val="E36C0A" w:themeColor="accent6" w:themeShade="BF"/>
        </w:rPr>
        <w:t xml:space="preserve"> MARADHAT,</w:t>
      </w:r>
      <w:r w:rsidR="00104155">
        <w:rPr>
          <w:rFonts w:cs="Times New Roman"/>
          <w:color w:val="E36C0A" w:themeColor="accent6" w:themeShade="BF"/>
        </w:rPr>
        <w:t>de</w:t>
      </w:r>
      <w:r w:rsidR="00F53635" w:rsidRPr="00C339B7">
        <w:rPr>
          <w:rFonts w:cs="Times New Roman"/>
          <w:color w:val="E36C0A" w:themeColor="accent6" w:themeShade="BF"/>
        </w:rPr>
        <w:t xml:space="preserve"> óvatosan!</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w:t>
      </w:r>
      <w:r w:rsidR="00C40E96">
        <w:t>at</w:t>
      </w:r>
      <w:r w:rsidR="006C1C0D">
        <w:t>í</w:t>
      </w:r>
      <w:r w:rsidR="00EF1045">
        <w:t>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nnek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725B21" w:rsidP="006818FF">
      <w:pPr>
        <w:pStyle w:val="Heading1"/>
      </w:pPr>
      <w:r>
        <w:lastRenderedPageBreak/>
        <w:t xml:space="preserve">Saját </w:t>
      </w:r>
      <w:r w:rsidR="003D3FF0">
        <w:t>vi</w:t>
      </w:r>
      <w:r w:rsidR="00E447A4">
        <w:t>z</w:t>
      </w:r>
      <w:r w:rsidR="003D3FF0">
        <w:t>s</w:t>
      </w:r>
      <w:r w:rsidR="00E447A4">
        <w:t>gálatom</w:t>
      </w:r>
      <w:r w:rsidR="00D35FD4">
        <w:t xml:space="preserve">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t xml:space="preserve">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r w:rsidR="00B65A7F">
        <w:t xml:space="preserve"> majd összehasonlítom őket</w:t>
      </w:r>
      <w:r w:rsidR="00BE44AC">
        <w:t>.</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 xml:space="preserve">nagy szervezet, </w:t>
      </w:r>
      <w:r w:rsidR="0095737B">
        <w:t xml:space="preserve">~ </w:t>
      </w:r>
      <w:r>
        <w:t>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lastRenderedPageBreak/>
        <w:t>Konzulensem javaslatára döntöttem</w:t>
      </w:r>
      <w:r w:rsidR="005F1453">
        <w:t xml:space="preserve"> úgy</w:t>
      </w:r>
      <w:r>
        <w:t>,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 xml:space="preserve">Ennek megfelelően úgy gondolom, hogy ezek az anyagok nem ideálisak a szervezeti kultúra feltárásához.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ehhez pedig megfelelő alapanyagok a sajtóközlemények</w:t>
      </w:r>
      <w:r w:rsidRPr="003251EE">
        <w:t>.</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94586F" w:rsidRDefault="0094586F" w:rsidP="00725B21">
      <w:r>
        <w:t>Forrásanyagom felkutatásakor több hasonló kiadványsorozat közül döntöttem, mint például a MOL Rt. sajtóanyagai, vagy az MVM kiadványai, ezeket áttekintve azt figyeltem meg, hogy a sajtókiadványok általában fél úton helyezkednek el a reklámanyagok és a hivatalos jelentések között. A formátum és a tartalmuk kötetlen, ugyanakkor a kiadó szervezetnek célszerű releváns szakmai és gazdasági adatokat közölniük, mert ezek azok az információk, melyekből az olvasótáboruk tagjai valamilyen haszonra tehetnek szert. Feltételezhetjük hogy az ilyen kiadványok célja, hogy tájékoztassa az érintettjeit a közelmúlt változásairól, jó képet alakítson ki magáról, pozitívan befolyásolja a saját megítélését, vásárlásra ösztönözze vevőit. Az adott sz</w:t>
      </w:r>
      <w:r w:rsidR="007462F0">
        <w:t>ervezetre nézve negatív tartalmú</w:t>
      </w:r>
      <w:r>
        <w:t xml:space="preserve"> információkat nem tesznek közzé az ilyen kiadványokban, </w:t>
      </w:r>
      <w:r>
        <w:lastRenderedPageBreak/>
        <w:t>ezzel némileg torzítva a valóságot. Ezeket a tény</w:t>
      </w:r>
      <w:r w:rsidR="009000F7">
        <w:t>e</w:t>
      </w:r>
      <w:r>
        <w:t>ket szem előtt tartottam az adatok kiértékelése során.</w:t>
      </w:r>
    </w:p>
    <w:p w:rsidR="00AB0AC1" w:rsidRDefault="00AB0AC1" w:rsidP="005523C6">
      <w:pPr>
        <w:pStyle w:val="Heading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D52162">
        <w:t>a</w:t>
      </w:r>
      <w:r w:rsidR="00E8023C">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Vizsgálatom szempontjából irreleváns részeket nem kódoltam, ilyenek azok a szövegrészek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lastRenderedPageBreak/>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 xml:space="preserve">szótár nélkül. Csak explicit módon megjelenő tartalmak </w:t>
      </w:r>
      <w:r w:rsidR="00F9582C" w:rsidRPr="009475E9">
        <w:lastRenderedPageBreak/>
        <w:t>alapján kódoltam, tehát a szövegben elvont fogalmakra történő utalásokat nem vettem figyelembe, ezekre a kvalitatív vizsgálat során térek ki.</w:t>
      </w:r>
    </w:p>
    <w:p w:rsidR="00032ED1" w:rsidRDefault="005523C6" w:rsidP="005523C6">
      <w:pPr>
        <w:pStyle w:val="Heading3"/>
      </w:pPr>
      <w:r>
        <w:t>Kutatási eredmények</w:t>
      </w:r>
    </w:p>
    <w:p w:rsidR="002D47E4" w:rsidRDefault="00EF5CF8" w:rsidP="008B1431">
      <w:r w:rsidRPr="00EF5CF8">
        <w:t>A teljes feldolgozás során összesen 258 szövegegységet kódoltam.</w:t>
      </w:r>
      <w:r>
        <w:t xml:space="preserve"> </w:t>
      </w:r>
      <w:r w:rsidR="006669E1">
        <w:t>A sajtóközlemények kódolásának eredményét az alábbi</w:t>
      </w:r>
      <w:r w:rsidR="002206A1">
        <w:t xml:space="preserve"> </w:t>
      </w:r>
      <w:r w:rsidR="002206A1" w:rsidRPr="0017321F">
        <w:rPr>
          <w:color w:val="E36C0A" w:themeColor="accent6" w:themeShade="BF"/>
        </w:rPr>
        <w:t>( xyz ábra ! )</w:t>
      </w:r>
      <w:r w:rsidR="002206A1">
        <w:t xml:space="preserve"> </w:t>
      </w:r>
      <w:r w:rsidR="006669E1">
        <w:t xml:space="preserve"> 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kiadványban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Paragraph"/>
        <w:numPr>
          <w:ilvl w:val="0"/>
          <w:numId w:val="28"/>
        </w:numPr>
      </w:pPr>
      <w:r>
        <w:t>„</w:t>
      </w:r>
      <w:r w:rsidRPr="00346372">
        <w:rPr>
          <w:b/>
        </w:rPr>
        <w:t>Σ</w:t>
      </w:r>
      <w:r>
        <w:t>”: Az adott kategóriába kódolt, teljes adathalmazra vett összesített érték</w:t>
      </w:r>
    </w:p>
    <w:p w:rsidR="002D47E4" w:rsidRDefault="002D47E4" w:rsidP="002D47E4">
      <w:pPr>
        <w:pStyle w:val="ListParagraph"/>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Paragraph"/>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utalásokat </w:t>
      </w:r>
      <w:r w:rsidR="00B06B63">
        <w:t>a kiadványba</w:t>
      </w:r>
      <w:r>
        <w:t>n.</w:t>
      </w:r>
    </w:p>
    <w:p w:rsidR="008B1431" w:rsidRDefault="009E6427" w:rsidP="00811103">
      <w:r>
        <w:t>Az</w:t>
      </w:r>
      <w:r w:rsidR="00C16C3B">
        <w:t xml:space="preserve"> </w:t>
      </w:r>
      <w:r w:rsidR="00C16C3B">
        <w:rPr>
          <w:color w:val="E36C0A" w:themeColor="accent6" w:themeShade="BF"/>
        </w:rPr>
        <w:t xml:space="preserve">( xyz ábrán </w:t>
      </w:r>
      <w:r w:rsidR="00C16C3B" w:rsidRPr="0017321F">
        <w:rPr>
          <w:color w:val="E36C0A" w:themeColor="accent6" w:themeShade="BF"/>
        </w:rPr>
        <w:t>)</w:t>
      </w:r>
      <w:r w:rsidR="00C16C3B">
        <w:t xml:space="preserve">  </w:t>
      </w:r>
      <w:r>
        <w:t xml:space="preserve">a számadatokat színkódolással is elláttam, hogy </w:t>
      </w:r>
      <w:r w:rsidR="00CC55E2">
        <w:t>könnyebben</w:t>
      </w:r>
      <w:r>
        <w:t xml:space="preserve"> kitűnjenek a kiugró értékek.</w:t>
      </w:r>
      <w:r w:rsidR="006669E1">
        <w:t xml:space="preserve"> </w:t>
      </w:r>
      <w:r w:rsidR="00337CA0">
        <w:t xml:space="preserve">Több különböző színskálát használtam, mindegyikben közös viszont az, hogy az adott </w:t>
      </w:r>
      <w:r w:rsidR="00F46E5A">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Default="007A2850" w:rsidP="00811103"/>
    <w:p w:rsidR="007A2850" w:rsidRPr="008B1431" w:rsidRDefault="007A2850" w:rsidP="00811103"/>
    <w:tbl>
      <w:tblPr>
        <w:tblW w:w="5000" w:type="pct"/>
        <w:tblCellMar>
          <w:left w:w="70" w:type="dxa"/>
          <w:right w:w="70" w:type="dxa"/>
        </w:tblCellMar>
        <w:tblLook w:val="04A0"/>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lastRenderedPageBreak/>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p w:rsidR="006D3A35" w:rsidRDefault="006D3A35" w:rsidP="00811103">
      <w:pPr>
        <w:spacing w:before="0" w:after="200"/>
        <w:rPr>
          <w:color w:val="FF0000"/>
        </w:rPr>
      </w:pPr>
    </w:p>
    <w:p w:rsidR="006D3A35" w:rsidRDefault="0021016C" w:rsidP="00811103">
      <w:pPr>
        <w:spacing w:before="0" w:after="200"/>
      </w:pPr>
      <w:r>
        <w:t>Az e</w:t>
      </w:r>
      <w:r w:rsidR="000809C0">
        <w:t>mlítések számát tekintve a következő hat kulturális vonás emelkedik ki:</w:t>
      </w:r>
    </w:p>
    <w:p w:rsidR="00112F6D" w:rsidRPr="00112F6D" w:rsidRDefault="00112F6D" w:rsidP="00112F6D">
      <w:pPr>
        <w:pStyle w:val="ListParagraph"/>
        <w:numPr>
          <w:ilvl w:val="0"/>
          <w:numId w:val="25"/>
        </w:numPr>
        <w:spacing w:before="0" w:after="200"/>
        <w:jc w:val="left"/>
      </w:pPr>
      <w:r w:rsidRPr="00112F6D">
        <w:t>dinamikus, innovatív jelleg (44 szövegegység)</w:t>
      </w:r>
    </w:p>
    <w:p w:rsidR="00112F6D" w:rsidRPr="00112F6D" w:rsidRDefault="00C8526C" w:rsidP="00112F6D">
      <w:pPr>
        <w:pStyle w:val="ListParagraph"/>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Paragraph"/>
        <w:numPr>
          <w:ilvl w:val="0"/>
          <w:numId w:val="25"/>
        </w:numPr>
        <w:spacing w:before="0" w:after="200"/>
        <w:jc w:val="left"/>
      </w:pPr>
      <w:r w:rsidRPr="00112F6D">
        <w:t>hosszú távú tervezés (31 szövegegység)</w:t>
      </w:r>
    </w:p>
    <w:p w:rsidR="00112F6D" w:rsidRPr="00112F6D" w:rsidRDefault="00112F6D" w:rsidP="00112F6D">
      <w:pPr>
        <w:pStyle w:val="ListParagraph"/>
        <w:numPr>
          <w:ilvl w:val="0"/>
          <w:numId w:val="25"/>
        </w:numPr>
        <w:spacing w:before="0" w:after="200"/>
        <w:jc w:val="left"/>
      </w:pPr>
      <w:r w:rsidRPr="00112F6D">
        <w:t>státusz megszerzése - külső motivációk (30 szövegegység)</w:t>
      </w:r>
    </w:p>
    <w:p w:rsidR="00112F6D" w:rsidRPr="00112F6D" w:rsidRDefault="00112F6D" w:rsidP="00112F6D">
      <w:pPr>
        <w:pStyle w:val="ListParagraph"/>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Paragraph"/>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Paragraph"/>
        <w:numPr>
          <w:ilvl w:val="0"/>
          <w:numId w:val="30"/>
        </w:numPr>
        <w:spacing w:before="0" w:after="200"/>
        <w:jc w:val="left"/>
      </w:pPr>
      <w:r>
        <w:t>külső környezetre fordított figyelem (67%)</w:t>
      </w:r>
    </w:p>
    <w:p w:rsidR="00B61D72" w:rsidRDefault="00B61D72" w:rsidP="00B61D72">
      <w:pPr>
        <w:pStyle w:val="ListParagraph"/>
        <w:numPr>
          <w:ilvl w:val="0"/>
          <w:numId w:val="30"/>
        </w:numPr>
        <w:spacing w:before="0" w:after="200"/>
        <w:jc w:val="left"/>
      </w:pPr>
      <w:r>
        <w:t>státusz megszerzése – külső motivációk (63%)</w:t>
      </w:r>
    </w:p>
    <w:p w:rsidR="00B61D72" w:rsidRDefault="00B61D72" w:rsidP="00B61D72">
      <w:pPr>
        <w:pStyle w:val="ListParagraph"/>
        <w:numPr>
          <w:ilvl w:val="0"/>
          <w:numId w:val="30"/>
        </w:numPr>
        <w:spacing w:before="0" w:after="200"/>
        <w:jc w:val="left"/>
      </w:pPr>
      <w:r>
        <w:t>dinamikus, innovatív jelleg (58%)</w:t>
      </w:r>
    </w:p>
    <w:p w:rsidR="00B61D72" w:rsidRDefault="00B61D72" w:rsidP="00B61D72">
      <w:pPr>
        <w:pStyle w:val="ListParagraph"/>
        <w:numPr>
          <w:ilvl w:val="0"/>
          <w:numId w:val="30"/>
        </w:numPr>
        <w:spacing w:before="0" w:after="200"/>
        <w:jc w:val="left"/>
      </w:pPr>
      <w:r>
        <w:t>hosszú távú tervezés (58%)</w:t>
      </w:r>
    </w:p>
    <w:p w:rsidR="00B61D72" w:rsidRDefault="008C5D93" w:rsidP="00B61D72">
      <w:pPr>
        <w:spacing w:before="0" w:after="200"/>
        <w:jc w:val="left"/>
      </w:pPr>
      <w:r>
        <w:lastRenderedPageBreak/>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Paragraph"/>
        <w:numPr>
          <w:ilvl w:val="0"/>
          <w:numId w:val="31"/>
        </w:numPr>
        <w:spacing w:before="0" w:after="200"/>
        <w:jc w:val="left"/>
      </w:pPr>
      <w:r>
        <w:t>státusz megszerzése – külső motivációk (1,76)</w:t>
      </w:r>
    </w:p>
    <w:p w:rsidR="00A809DD" w:rsidRDefault="00A809DD" w:rsidP="00A809DD">
      <w:pPr>
        <w:pStyle w:val="ListParagraph"/>
        <w:numPr>
          <w:ilvl w:val="0"/>
          <w:numId w:val="31"/>
        </w:numPr>
        <w:spacing w:before="0" w:after="200"/>
        <w:jc w:val="left"/>
      </w:pPr>
      <w:r>
        <w:t>belső környezetre fordított figyelem (1,99)</w:t>
      </w:r>
    </w:p>
    <w:p w:rsidR="00A809DD" w:rsidRDefault="00A809DD" w:rsidP="00A809DD">
      <w:pPr>
        <w:pStyle w:val="ListParagraph"/>
        <w:numPr>
          <w:ilvl w:val="0"/>
          <w:numId w:val="31"/>
        </w:numPr>
        <w:spacing w:before="0" w:after="200"/>
        <w:jc w:val="left"/>
      </w:pPr>
      <w:r>
        <w:t>hosszú távú tervezés (2,3)</w:t>
      </w:r>
    </w:p>
    <w:p w:rsidR="00A809DD" w:rsidRDefault="00A809DD" w:rsidP="00A809DD">
      <w:pPr>
        <w:pStyle w:val="ListParagraph"/>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Paragraph"/>
        <w:numPr>
          <w:ilvl w:val="0"/>
          <w:numId w:val="27"/>
        </w:numPr>
      </w:pPr>
      <w:r>
        <w:t>hit / meggyőződés alapú magatartás</w:t>
      </w:r>
    </w:p>
    <w:p w:rsidR="00404981" w:rsidRDefault="00404981" w:rsidP="00404981">
      <w:pPr>
        <w:pStyle w:val="ListParagraph"/>
        <w:numPr>
          <w:ilvl w:val="0"/>
          <w:numId w:val="27"/>
        </w:numPr>
      </w:pPr>
      <w:r>
        <w:t>egyéni munkavégzés</w:t>
      </w:r>
    </w:p>
    <w:p w:rsidR="00404981" w:rsidRDefault="00404981" w:rsidP="00404981">
      <w:pPr>
        <w:pStyle w:val="ListParagraph"/>
        <w:numPr>
          <w:ilvl w:val="0"/>
          <w:numId w:val="27"/>
        </w:numPr>
      </w:pPr>
      <w:r>
        <w:t>rövid távú tervezés</w:t>
      </w:r>
    </w:p>
    <w:p w:rsidR="00CC55E2" w:rsidRPr="00CC55E2" w:rsidRDefault="00404981" w:rsidP="00CA109F">
      <w:r>
        <w:t>Nem tartom meglepőnek e három jellemző hiányát. A meggyőződés illetve hit alapú döntéshozás valószínűtlen egy olyan szervezetben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multinacionális vállalat esetében. Ugyanez igaz a rövid távú tervezésre.</w:t>
      </w:r>
    </w:p>
    <w:p w:rsidR="007B3976" w:rsidRPr="006F678E" w:rsidRDefault="007B3976" w:rsidP="00CA109F">
      <w:pPr>
        <w:rPr>
          <w:color w:val="E36C0A" w:themeColor="accent6" w:themeShade="BF"/>
        </w:rPr>
      </w:pPr>
      <w:r w:rsidRPr="006F678E">
        <w:rPr>
          <w:color w:val="E36C0A" w:themeColor="accent6" w:themeShade="BF"/>
        </w:rPr>
        <w:t xml:space="preserve">mi mindenről írjak még a </w:t>
      </w:r>
      <w:r w:rsidR="00195A6E">
        <w:rPr>
          <w:color w:val="E36C0A" w:themeColor="accent6" w:themeShade="BF"/>
        </w:rPr>
        <w:t>kvantitatív</w:t>
      </w:r>
      <w:r w:rsidRPr="006F678E">
        <w:rPr>
          <w:color w:val="E36C0A" w:themeColor="accent6" w:themeShade="BF"/>
        </w:rPr>
        <w:t xml:space="preserve"> elemzéssel kapcsolatban?</w:t>
      </w:r>
    </w:p>
    <w:p w:rsidR="00C51966" w:rsidRPr="00C427C4" w:rsidRDefault="00AB0AC1" w:rsidP="005523C6">
      <w:pPr>
        <w:pStyle w:val="Heading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E60462"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 xml:space="preserve">HOGY KELL </w:t>
      </w:r>
      <w:r w:rsidR="0058651A">
        <w:rPr>
          <w:color w:val="E36C0A" w:themeColor="accent6" w:themeShade="BF"/>
        </w:rPr>
        <w:t>KVALITATÍV</w:t>
      </w:r>
      <w:r w:rsidR="00F43DEF">
        <w:rPr>
          <w:color w:val="E36C0A" w:themeColor="accent6" w:themeShade="BF"/>
        </w:rPr>
        <w:t xml:space="preserve"> ELEMZÉST VÉGEZNI A MEGLÉVŐ ALAPJÁN</w:t>
      </w:r>
      <w:r w:rsidR="00CE4FF0">
        <w:rPr>
          <w:color w:val="E36C0A" w:themeColor="accent6" w:themeShade="BF"/>
        </w:rPr>
        <w:t xml:space="preserve"> ?</w:t>
      </w: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lastRenderedPageBreak/>
        <w:t>Önrevízió (</w:t>
      </w:r>
      <w:r w:rsidR="005B0E4D">
        <w:rPr>
          <w:color w:val="E36C0A" w:themeColor="accent6" w:themeShade="BF"/>
        </w:rPr>
        <w:t>kellene</w:t>
      </w:r>
      <w:r w:rsidRPr="001A06C4">
        <w:rPr>
          <w:color w:val="E36C0A" w:themeColor="accent6" w:themeShade="BF"/>
        </w:rPr>
        <w:t>?)</w:t>
      </w:r>
    </w:p>
    <w:p w:rsidR="00E60462" w:rsidRDefault="007A4407" w:rsidP="00FE78A0">
      <w:pPr>
        <w:rPr>
          <w:color w:val="E36C0A" w:themeColor="accent6" w:themeShade="BF"/>
        </w:rPr>
      </w:pPr>
      <w:r w:rsidRPr="006B4BB2">
        <w:rPr>
          <w:color w:val="E36C0A" w:themeColor="accent6" w:themeShade="BF"/>
        </w:rPr>
        <w:t>saját vizsgálat kritikája</w:t>
      </w: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8F77CE" w:rsidRDefault="008F77CE" w:rsidP="007A3CB4">
      <w:pPr>
        <w:jc w:val="left"/>
        <w:rPr>
          <w:color w:val="E36C0A" w:themeColor="accent6" w:themeShade="BF"/>
        </w:rPr>
      </w:pPr>
      <w:r>
        <w:rPr>
          <w:color w:val="E36C0A" w:themeColor="accent6" w:themeShade="BF"/>
        </w:rPr>
        <w:t>BEKOTTETVE LESZNEK A MELLÉKLETEK!</w:t>
      </w:r>
    </w:p>
    <w:p w:rsidR="009E2223" w:rsidRPr="00B26BEA" w:rsidRDefault="009E2223" w:rsidP="007A3CB4">
      <w:pPr>
        <w:jc w:val="left"/>
        <w:rPr>
          <w:color w:val="E36C0A" w:themeColor="accent6" w:themeShade="BF"/>
        </w:rPr>
      </w:pPr>
      <w:r>
        <w:rPr>
          <w:color w:val="E36C0A" w:themeColor="accent6" w:themeShade="BF"/>
        </w:rPr>
        <w:t>néhány helyen hiányzik a kiadó illetve a helyszín, volt amit hosszas keresés után sem találtam. ez nagy baj?</w:t>
      </w:r>
      <w:r w:rsidR="00AB3785">
        <w:rPr>
          <w:color w:val="E36C0A" w:themeColor="accent6" w:themeShade="BF"/>
        </w:rPr>
        <w:t xml:space="preserve"> NEM GÁZ</w:t>
      </w:r>
    </w:p>
    <w:sectPr w:rsidR="009E2223" w:rsidRPr="00B26BEA" w:rsidSect="0052404E">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C98" w:rsidRDefault="00C65C98" w:rsidP="001E4E73">
      <w:pPr>
        <w:spacing w:after="0" w:line="240" w:lineRule="auto"/>
      </w:pPr>
      <w:r>
        <w:separator/>
      </w:r>
    </w:p>
  </w:endnote>
  <w:endnote w:type="continuationSeparator" w:id="0">
    <w:p w:rsidR="00C65C98" w:rsidRDefault="00C65C98"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CA1" w:rsidRDefault="00B91CA1" w:rsidP="001E4E73">
    <w:pPr>
      <w:pStyle w:val="Footer"/>
    </w:pPr>
  </w:p>
  <w:p w:rsidR="00B91CA1" w:rsidRDefault="00B91C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C98" w:rsidRDefault="00C65C98" w:rsidP="001E4E73">
      <w:pPr>
        <w:spacing w:after="0" w:line="240" w:lineRule="auto"/>
      </w:pPr>
      <w:r>
        <w:separator/>
      </w:r>
    </w:p>
  </w:footnote>
  <w:footnote w:type="continuationSeparator" w:id="0">
    <w:p w:rsidR="00C65C98" w:rsidRDefault="00C65C98" w:rsidP="001E4E73">
      <w:pPr>
        <w:spacing w:after="0" w:line="240" w:lineRule="auto"/>
      </w:pPr>
      <w:r>
        <w:continuationSeparator/>
      </w:r>
    </w:p>
  </w:footnote>
  <w:footnote w:id="1">
    <w:p w:rsidR="00B91CA1" w:rsidRDefault="00B91CA1"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91CA1" w:rsidRPr="00C045E9" w:rsidRDefault="00B91CA1"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B91CA1" w:rsidRDefault="00B91CA1" w:rsidP="008E4805">
      <w:pPr>
        <w:pStyle w:val="FootnoteText"/>
      </w:pPr>
    </w:p>
  </w:footnote>
  <w:footnote w:id="3">
    <w:p w:rsidR="00B91CA1" w:rsidRDefault="00B91CA1"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11"/>
  </w:num>
  <w:num w:numId="3">
    <w:abstractNumId w:val="0"/>
  </w:num>
  <w:num w:numId="4">
    <w:abstractNumId w:val="2"/>
  </w:num>
  <w:num w:numId="5">
    <w:abstractNumId w:val="24"/>
  </w:num>
  <w:num w:numId="6">
    <w:abstractNumId w:val="6"/>
  </w:num>
  <w:num w:numId="7">
    <w:abstractNumId w:val="20"/>
  </w:num>
  <w:num w:numId="8">
    <w:abstractNumId w:val="28"/>
  </w:num>
  <w:num w:numId="9">
    <w:abstractNumId w:val="25"/>
  </w:num>
  <w:num w:numId="10">
    <w:abstractNumId w:val="21"/>
  </w:num>
  <w:num w:numId="11">
    <w:abstractNumId w:val="10"/>
  </w:num>
  <w:num w:numId="12">
    <w:abstractNumId w:val="8"/>
  </w:num>
  <w:num w:numId="13">
    <w:abstractNumId w:val="7"/>
  </w:num>
  <w:num w:numId="14">
    <w:abstractNumId w:val="27"/>
  </w:num>
  <w:num w:numId="15">
    <w:abstractNumId w:val="29"/>
  </w:num>
  <w:num w:numId="16">
    <w:abstractNumId w:val="1"/>
  </w:num>
  <w:num w:numId="17">
    <w:abstractNumId w:val="18"/>
  </w:num>
  <w:num w:numId="18">
    <w:abstractNumId w:val="9"/>
  </w:num>
  <w:num w:numId="19">
    <w:abstractNumId w:val="17"/>
  </w:num>
  <w:num w:numId="20">
    <w:abstractNumId w:val="15"/>
  </w:num>
  <w:num w:numId="21">
    <w:abstractNumId w:val="3"/>
  </w:num>
  <w:num w:numId="22">
    <w:abstractNumId w:val="23"/>
  </w:num>
  <w:num w:numId="23">
    <w:abstractNumId w:val="13"/>
  </w:num>
  <w:num w:numId="24">
    <w:abstractNumId w:val="4"/>
  </w:num>
  <w:num w:numId="25">
    <w:abstractNumId w:val="14"/>
  </w:num>
  <w:num w:numId="26">
    <w:abstractNumId w:val="12"/>
  </w:num>
  <w:num w:numId="27">
    <w:abstractNumId w:val="19"/>
  </w:num>
  <w:num w:numId="28">
    <w:abstractNumId w:val="5"/>
  </w:num>
  <w:num w:numId="29">
    <w:abstractNumId w:val="26"/>
  </w:num>
  <w:num w:numId="30">
    <w:abstractNumId w:val="30"/>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550E2"/>
    <w:rsid w:val="00061088"/>
    <w:rsid w:val="0006144D"/>
    <w:rsid w:val="00061635"/>
    <w:rsid w:val="000627F1"/>
    <w:rsid w:val="0006535D"/>
    <w:rsid w:val="00066836"/>
    <w:rsid w:val="000671EC"/>
    <w:rsid w:val="000725F8"/>
    <w:rsid w:val="00073178"/>
    <w:rsid w:val="00076530"/>
    <w:rsid w:val="00076B80"/>
    <w:rsid w:val="00076DB5"/>
    <w:rsid w:val="00080056"/>
    <w:rsid w:val="000809C0"/>
    <w:rsid w:val="00080A71"/>
    <w:rsid w:val="00080F46"/>
    <w:rsid w:val="0008390A"/>
    <w:rsid w:val="0008435E"/>
    <w:rsid w:val="0008519E"/>
    <w:rsid w:val="00086539"/>
    <w:rsid w:val="00086774"/>
    <w:rsid w:val="00086C3A"/>
    <w:rsid w:val="00087895"/>
    <w:rsid w:val="000906B8"/>
    <w:rsid w:val="00092D8A"/>
    <w:rsid w:val="000963E8"/>
    <w:rsid w:val="00097FF4"/>
    <w:rsid w:val="000A251F"/>
    <w:rsid w:val="000B1DE3"/>
    <w:rsid w:val="000B24C9"/>
    <w:rsid w:val="000B2A80"/>
    <w:rsid w:val="000B2D9E"/>
    <w:rsid w:val="000B42D3"/>
    <w:rsid w:val="000B4AAB"/>
    <w:rsid w:val="000B75FE"/>
    <w:rsid w:val="000C0FF4"/>
    <w:rsid w:val="000C117C"/>
    <w:rsid w:val="000C59A0"/>
    <w:rsid w:val="000D17D3"/>
    <w:rsid w:val="000D5797"/>
    <w:rsid w:val="000D5B23"/>
    <w:rsid w:val="000E4EC5"/>
    <w:rsid w:val="000E5626"/>
    <w:rsid w:val="000E623D"/>
    <w:rsid w:val="000E6337"/>
    <w:rsid w:val="000E6FC8"/>
    <w:rsid w:val="000E700D"/>
    <w:rsid w:val="000F102E"/>
    <w:rsid w:val="000F17A2"/>
    <w:rsid w:val="000F2DEB"/>
    <w:rsid w:val="000F2FCD"/>
    <w:rsid w:val="000F3C85"/>
    <w:rsid w:val="000F58E8"/>
    <w:rsid w:val="000F5999"/>
    <w:rsid w:val="000F6F15"/>
    <w:rsid w:val="00101037"/>
    <w:rsid w:val="001010F7"/>
    <w:rsid w:val="00104155"/>
    <w:rsid w:val="00104909"/>
    <w:rsid w:val="001055E4"/>
    <w:rsid w:val="001072B5"/>
    <w:rsid w:val="00111E8B"/>
    <w:rsid w:val="00112F6D"/>
    <w:rsid w:val="00113685"/>
    <w:rsid w:val="00113A2F"/>
    <w:rsid w:val="00114A81"/>
    <w:rsid w:val="00123C1B"/>
    <w:rsid w:val="001241BE"/>
    <w:rsid w:val="001245CE"/>
    <w:rsid w:val="00126F95"/>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61BC0"/>
    <w:rsid w:val="00162A54"/>
    <w:rsid w:val="0016337E"/>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5A6E"/>
    <w:rsid w:val="001962A0"/>
    <w:rsid w:val="00196521"/>
    <w:rsid w:val="00196848"/>
    <w:rsid w:val="001A06C4"/>
    <w:rsid w:val="001A2219"/>
    <w:rsid w:val="001A2B1D"/>
    <w:rsid w:val="001A307E"/>
    <w:rsid w:val="001A3299"/>
    <w:rsid w:val="001A454D"/>
    <w:rsid w:val="001A4849"/>
    <w:rsid w:val="001B2423"/>
    <w:rsid w:val="001B2B49"/>
    <w:rsid w:val="001B4C61"/>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016C"/>
    <w:rsid w:val="00211E23"/>
    <w:rsid w:val="002129E7"/>
    <w:rsid w:val="00212B63"/>
    <w:rsid w:val="00213F5B"/>
    <w:rsid w:val="0021568E"/>
    <w:rsid w:val="0021657D"/>
    <w:rsid w:val="00216CD2"/>
    <w:rsid w:val="002206A1"/>
    <w:rsid w:val="0022142E"/>
    <w:rsid w:val="002215A9"/>
    <w:rsid w:val="00221DBB"/>
    <w:rsid w:val="0022235C"/>
    <w:rsid w:val="00222439"/>
    <w:rsid w:val="00223607"/>
    <w:rsid w:val="00225E11"/>
    <w:rsid w:val="00230F42"/>
    <w:rsid w:val="00235F7C"/>
    <w:rsid w:val="002369BD"/>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AD"/>
    <w:rsid w:val="002C27F8"/>
    <w:rsid w:val="002C5E14"/>
    <w:rsid w:val="002C7050"/>
    <w:rsid w:val="002D2653"/>
    <w:rsid w:val="002D356C"/>
    <w:rsid w:val="002D3ED5"/>
    <w:rsid w:val="002D4682"/>
    <w:rsid w:val="002D47E4"/>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51EE"/>
    <w:rsid w:val="00327D1B"/>
    <w:rsid w:val="00327F88"/>
    <w:rsid w:val="003340FF"/>
    <w:rsid w:val="00334238"/>
    <w:rsid w:val="0033564A"/>
    <w:rsid w:val="00335BCF"/>
    <w:rsid w:val="003376CA"/>
    <w:rsid w:val="00337CA0"/>
    <w:rsid w:val="003413E9"/>
    <w:rsid w:val="003431B1"/>
    <w:rsid w:val="003441D2"/>
    <w:rsid w:val="00344252"/>
    <w:rsid w:val="00344DE6"/>
    <w:rsid w:val="0034502B"/>
    <w:rsid w:val="00345362"/>
    <w:rsid w:val="00346372"/>
    <w:rsid w:val="00346CEF"/>
    <w:rsid w:val="00352114"/>
    <w:rsid w:val="0035319A"/>
    <w:rsid w:val="003534E1"/>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3FF0"/>
    <w:rsid w:val="003D4A7F"/>
    <w:rsid w:val="003D6DE2"/>
    <w:rsid w:val="003E10BF"/>
    <w:rsid w:val="003E1667"/>
    <w:rsid w:val="003E2FB4"/>
    <w:rsid w:val="003E34C2"/>
    <w:rsid w:val="003E5005"/>
    <w:rsid w:val="003F4300"/>
    <w:rsid w:val="003F4B8C"/>
    <w:rsid w:val="003F53DF"/>
    <w:rsid w:val="003F74FD"/>
    <w:rsid w:val="0040084A"/>
    <w:rsid w:val="00402C09"/>
    <w:rsid w:val="00403299"/>
    <w:rsid w:val="00404981"/>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1FB5"/>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3F5D"/>
    <w:rsid w:val="00487667"/>
    <w:rsid w:val="00487F23"/>
    <w:rsid w:val="00493D67"/>
    <w:rsid w:val="004949B1"/>
    <w:rsid w:val="00495071"/>
    <w:rsid w:val="0049585F"/>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D17FF"/>
    <w:rsid w:val="004D1992"/>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3351"/>
    <w:rsid w:val="00505098"/>
    <w:rsid w:val="00505F2F"/>
    <w:rsid w:val="005062AF"/>
    <w:rsid w:val="0051022F"/>
    <w:rsid w:val="00511BBF"/>
    <w:rsid w:val="00513322"/>
    <w:rsid w:val="00517A87"/>
    <w:rsid w:val="00520880"/>
    <w:rsid w:val="00521765"/>
    <w:rsid w:val="0052404E"/>
    <w:rsid w:val="00524AB4"/>
    <w:rsid w:val="00532B2F"/>
    <w:rsid w:val="00532BDA"/>
    <w:rsid w:val="005336D6"/>
    <w:rsid w:val="00533B21"/>
    <w:rsid w:val="00535C26"/>
    <w:rsid w:val="00540AD2"/>
    <w:rsid w:val="00543FC7"/>
    <w:rsid w:val="00545A3A"/>
    <w:rsid w:val="005515AD"/>
    <w:rsid w:val="00551AE9"/>
    <w:rsid w:val="00551D38"/>
    <w:rsid w:val="00551F8B"/>
    <w:rsid w:val="005523C6"/>
    <w:rsid w:val="00560536"/>
    <w:rsid w:val="00560AA2"/>
    <w:rsid w:val="00561DCB"/>
    <w:rsid w:val="00563677"/>
    <w:rsid w:val="00563B2E"/>
    <w:rsid w:val="00563BC4"/>
    <w:rsid w:val="00565186"/>
    <w:rsid w:val="00565B11"/>
    <w:rsid w:val="00567DD7"/>
    <w:rsid w:val="005718FD"/>
    <w:rsid w:val="00571D73"/>
    <w:rsid w:val="00572765"/>
    <w:rsid w:val="005737C2"/>
    <w:rsid w:val="00573B1E"/>
    <w:rsid w:val="00574D41"/>
    <w:rsid w:val="00575F2B"/>
    <w:rsid w:val="00577660"/>
    <w:rsid w:val="0058102A"/>
    <w:rsid w:val="00581E86"/>
    <w:rsid w:val="00585225"/>
    <w:rsid w:val="0058651A"/>
    <w:rsid w:val="00586AA3"/>
    <w:rsid w:val="00586B32"/>
    <w:rsid w:val="00587667"/>
    <w:rsid w:val="005915D9"/>
    <w:rsid w:val="00595C37"/>
    <w:rsid w:val="00595D15"/>
    <w:rsid w:val="00596081"/>
    <w:rsid w:val="00596BE8"/>
    <w:rsid w:val="005A2CBD"/>
    <w:rsid w:val="005A38D5"/>
    <w:rsid w:val="005A7531"/>
    <w:rsid w:val="005B0D97"/>
    <w:rsid w:val="005B0E4D"/>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453"/>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1C99"/>
    <w:rsid w:val="00633725"/>
    <w:rsid w:val="0063372A"/>
    <w:rsid w:val="00633B0A"/>
    <w:rsid w:val="00636802"/>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684"/>
    <w:rsid w:val="00690A4D"/>
    <w:rsid w:val="0069265A"/>
    <w:rsid w:val="006968BC"/>
    <w:rsid w:val="006A060A"/>
    <w:rsid w:val="006A0BCE"/>
    <w:rsid w:val="006A2E23"/>
    <w:rsid w:val="006A388A"/>
    <w:rsid w:val="006A3C79"/>
    <w:rsid w:val="006A5921"/>
    <w:rsid w:val="006A5C92"/>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3A35"/>
    <w:rsid w:val="006D4CE8"/>
    <w:rsid w:val="006D607C"/>
    <w:rsid w:val="006E2456"/>
    <w:rsid w:val="006E2623"/>
    <w:rsid w:val="006E3237"/>
    <w:rsid w:val="006E42BA"/>
    <w:rsid w:val="006E432B"/>
    <w:rsid w:val="006E583E"/>
    <w:rsid w:val="006E5AE5"/>
    <w:rsid w:val="006E68B6"/>
    <w:rsid w:val="006E6F8E"/>
    <w:rsid w:val="006F0E85"/>
    <w:rsid w:val="006F179D"/>
    <w:rsid w:val="006F678E"/>
    <w:rsid w:val="007001E3"/>
    <w:rsid w:val="0070115B"/>
    <w:rsid w:val="0070662E"/>
    <w:rsid w:val="00706902"/>
    <w:rsid w:val="007101A3"/>
    <w:rsid w:val="00710E49"/>
    <w:rsid w:val="00711151"/>
    <w:rsid w:val="00711E60"/>
    <w:rsid w:val="007124C3"/>
    <w:rsid w:val="00714FDF"/>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129B"/>
    <w:rsid w:val="007449FE"/>
    <w:rsid w:val="007462F0"/>
    <w:rsid w:val="00746C44"/>
    <w:rsid w:val="00746F79"/>
    <w:rsid w:val="007513B9"/>
    <w:rsid w:val="00752275"/>
    <w:rsid w:val="00754487"/>
    <w:rsid w:val="0076059E"/>
    <w:rsid w:val="007608F9"/>
    <w:rsid w:val="00760E7B"/>
    <w:rsid w:val="00763645"/>
    <w:rsid w:val="00764552"/>
    <w:rsid w:val="00764869"/>
    <w:rsid w:val="00764BA1"/>
    <w:rsid w:val="00765F84"/>
    <w:rsid w:val="0076724D"/>
    <w:rsid w:val="007706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850"/>
    <w:rsid w:val="007A2FCC"/>
    <w:rsid w:val="007A3608"/>
    <w:rsid w:val="007A3CB4"/>
    <w:rsid w:val="007A4407"/>
    <w:rsid w:val="007B0736"/>
    <w:rsid w:val="007B0FF7"/>
    <w:rsid w:val="007B1648"/>
    <w:rsid w:val="007B1EB5"/>
    <w:rsid w:val="007B3976"/>
    <w:rsid w:val="007B40CD"/>
    <w:rsid w:val="007B5E90"/>
    <w:rsid w:val="007C1324"/>
    <w:rsid w:val="007C19DE"/>
    <w:rsid w:val="007C2463"/>
    <w:rsid w:val="007C594B"/>
    <w:rsid w:val="007C60BA"/>
    <w:rsid w:val="007C6EED"/>
    <w:rsid w:val="007C7B7A"/>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1103"/>
    <w:rsid w:val="00816E32"/>
    <w:rsid w:val="00816EB0"/>
    <w:rsid w:val="00821C94"/>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F41"/>
    <w:rsid w:val="008F77CE"/>
    <w:rsid w:val="009000F7"/>
    <w:rsid w:val="00900DF6"/>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0D05"/>
    <w:rsid w:val="00944011"/>
    <w:rsid w:val="009446F5"/>
    <w:rsid w:val="009448CA"/>
    <w:rsid w:val="009449E0"/>
    <w:rsid w:val="0094586F"/>
    <w:rsid w:val="009465C3"/>
    <w:rsid w:val="009475E9"/>
    <w:rsid w:val="00950F2B"/>
    <w:rsid w:val="00951D40"/>
    <w:rsid w:val="00952101"/>
    <w:rsid w:val="0095419C"/>
    <w:rsid w:val="00955379"/>
    <w:rsid w:val="009556ED"/>
    <w:rsid w:val="0095737B"/>
    <w:rsid w:val="009615F8"/>
    <w:rsid w:val="00961AE1"/>
    <w:rsid w:val="00962A9F"/>
    <w:rsid w:val="00966E30"/>
    <w:rsid w:val="009679D7"/>
    <w:rsid w:val="009719BF"/>
    <w:rsid w:val="00971D4F"/>
    <w:rsid w:val="00971E3C"/>
    <w:rsid w:val="0097291C"/>
    <w:rsid w:val="00975944"/>
    <w:rsid w:val="009810E8"/>
    <w:rsid w:val="009815CF"/>
    <w:rsid w:val="0098230E"/>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0D83"/>
    <w:rsid w:val="009C18B0"/>
    <w:rsid w:val="009C1D60"/>
    <w:rsid w:val="009C273C"/>
    <w:rsid w:val="009C3D57"/>
    <w:rsid w:val="009C640D"/>
    <w:rsid w:val="009C6FE5"/>
    <w:rsid w:val="009C761C"/>
    <w:rsid w:val="009D08D1"/>
    <w:rsid w:val="009D2F77"/>
    <w:rsid w:val="009D3366"/>
    <w:rsid w:val="009D3825"/>
    <w:rsid w:val="009E2069"/>
    <w:rsid w:val="009E2223"/>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270ED"/>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3785"/>
    <w:rsid w:val="00AB532C"/>
    <w:rsid w:val="00AC17B5"/>
    <w:rsid w:val="00AC1C5F"/>
    <w:rsid w:val="00AC5135"/>
    <w:rsid w:val="00AD0A60"/>
    <w:rsid w:val="00AD13DF"/>
    <w:rsid w:val="00AD27B9"/>
    <w:rsid w:val="00AD4BA9"/>
    <w:rsid w:val="00AD4CDC"/>
    <w:rsid w:val="00AD4D8B"/>
    <w:rsid w:val="00AD6351"/>
    <w:rsid w:val="00AE06DE"/>
    <w:rsid w:val="00AE078A"/>
    <w:rsid w:val="00AE2DA3"/>
    <w:rsid w:val="00AE3469"/>
    <w:rsid w:val="00AE3DE3"/>
    <w:rsid w:val="00AE5BCC"/>
    <w:rsid w:val="00AE7CD3"/>
    <w:rsid w:val="00AF1B72"/>
    <w:rsid w:val="00AF3581"/>
    <w:rsid w:val="00AF6C61"/>
    <w:rsid w:val="00AF76FA"/>
    <w:rsid w:val="00AF79B1"/>
    <w:rsid w:val="00B02154"/>
    <w:rsid w:val="00B029D1"/>
    <w:rsid w:val="00B03E01"/>
    <w:rsid w:val="00B041DC"/>
    <w:rsid w:val="00B06A16"/>
    <w:rsid w:val="00B06B63"/>
    <w:rsid w:val="00B078B7"/>
    <w:rsid w:val="00B07EA4"/>
    <w:rsid w:val="00B11EC0"/>
    <w:rsid w:val="00B131BA"/>
    <w:rsid w:val="00B13A05"/>
    <w:rsid w:val="00B176B9"/>
    <w:rsid w:val="00B24092"/>
    <w:rsid w:val="00B24C55"/>
    <w:rsid w:val="00B24D32"/>
    <w:rsid w:val="00B2576B"/>
    <w:rsid w:val="00B26BEA"/>
    <w:rsid w:val="00B278E8"/>
    <w:rsid w:val="00B27FB1"/>
    <w:rsid w:val="00B301FA"/>
    <w:rsid w:val="00B3263B"/>
    <w:rsid w:val="00B332AA"/>
    <w:rsid w:val="00B33741"/>
    <w:rsid w:val="00B33B03"/>
    <w:rsid w:val="00B358F5"/>
    <w:rsid w:val="00B3614D"/>
    <w:rsid w:val="00B41A6B"/>
    <w:rsid w:val="00B41AF3"/>
    <w:rsid w:val="00B420D6"/>
    <w:rsid w:val="00B446F3"/>
    <w:rsid w:val="00B46022"/>
    <w:rsid w:val="00B47430"/>
    <w:rsid w:val="00B515A4"/>
    <w:rsid w:val="00B51E74"/>
    <w:rsid w:val="00B525C3"/>
    <w:rsid w:val="00B531BB"/>
    <w:rsid w:val="00B55519"/>
    <w:rsid w:val="00B55925"/>
    <w:rsid w:val="00B55E9E"/>
    <w:rsid w:val="00B5650A"/>
    <w:rsid w:val="00B56A74"/>
    <w:rsid w:val="00B577F9"/>
    <w:rsid w:val="00B57EF8"/>
    <w:rsid w:val="00B6029A"/>
    <w:rsid w:val="00B60A9D"/>
    <w:rsid w:val="00B60D80"/>
    <w:rsid w:val="00B61D72"/>
    <w:rsid w:val="00B61E60"/>
    <w:rsid w:val="00B6318F"/>
    <w:rsid w:val="00B63CF2"/>
    <w:rsid w:val="00B65A7F"/>
    <w:rsid w:val="00B6717D"/>
    <w:rsid w:val="00B67F54"/>
    <w:rsid w:val="00B707E2"/>
    <w:rsid w:val="00B72D07"/>
    <w:rsid w:val="00B74413"/>
    <w:rsid w:val="00B76472"/>
    <w:rsid w:val="00B77BA0"/>
    <w:rsid w:val="00B8355F"/>
    <w:rsid w:val="00B836B9"/>
    <w:rsid w:val="00B838D3"/>
    <w:rsid w:val="00B83BD0"/>
    <w:rsid w:val="00B83F93"/>
    <w:rsid w:val="00B8764D"/>
    <w:rsid w:val="00B90207"/>
    <w:rsid w:val="00B909A5"/>
    <w:rsid w:val="00B91CA1"/>
    <w:rsid w:val="00B93734"/>
    <w:rsid w:val="00B97037"/>
    <w:rsid w:val="00BA04A7"/>
    <w:rsid w:val="00BA1EB2"/>
    <w:rsid w:val="00BA4A5E"/>
    <w:rsid w:val="00BA4FE8"/>
    <w:rsid w:val="00BB1E9A"/>
    <w:rsid w:val="00BB265F"/>
    <w:rsid w:val="00BB41DD"/>
    <w:rsid w:val="00BB48F9"/>
    <w:rsid w:val="00BB56AD"/>
    <w:rsid w:val="00BB7E81"/>
    <w:rsid w:val="00BC45CF"/>
    <w:rsid w:val="00BD2482"/>
    <w:rsid w:val="00BD25A3"/>
    <w:rsid w:val="00BD3839"/>
    <w:rsid w:val="00BD617C"/>
    <w:rsid w:val="00BD6BD9"/>
    <w:rsid w:val="00BD6CC2"/>
    <w:rsid w:val="00BD7DFB"/>
    <w:rsid w:val="00BE00B6"/>
    <w:rsid w:val="00BE37FD"/>
    <w:rsid w:val="00BE44AC"/>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71"/>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47D1"/>
    <w:rsid w:val="00C46E8E"/>
    <w:rsid w:val="00C478BF"/>
    <w:rsid w:val="00C47D4E"/>
    <w:rsid w:val="00C50A51"/>
    <w:rsid w:val="00C51966"/>
    <w:rsid w:val="00C51A32"/>
    <w:rsid w:val="00C530F4"/>
    <w:rsid w:val="00C533C6"/>
    <w:rsid w:val="00C53B1B"/>
    <w:rsid w:val="00C56735"/>
    <w:rsid w:val="00C56884"/>
    <w:rsid w:val="00C576B4"/>
    <w:rsid w:val="00C57806"/>
    <w:rsid w:val="00C65956"/>
    <w:rsid w:val="00C65C98"/>
    <w:rsid w:val="00C66B31"/>
    <w:rsid w:val="00C677D1"/>
    <w:rsid w:val="00C67DE5"/>
    <w:rsid w:val="00C72641"/>
    <w:rsid w:val="00C727C8"/>
    <w:rsid w:val="00C73040"/>
    <w:rsid w:val="00C7440F"/>
    <w:rsid w:val="00C751B0"/>
    <w:rsid w:val="00C77027"/>
    <w:rsid w:val="00C77568"/>
    <w:rsid w:val="00C80D36"/>
    <w:rsid w:val="00C812C2"/>
    <w:rsid w:val="00C83315"/>
    <w:rsid w:val="00C83B4D"/>
    <w:rsid w:val="00C8526C"/>
    <w:rsid w:val="00C90797"/>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5E2"/>
    <w:rsid w:val="00CC5AD6"/>
    <w:rsid w:val="00CC5B90"/>
    <w:rsid w:val="00CC76C9"/>
    <w:rsid w:val="00CC76CD"/>
    <w:rsid w:val="00CC792E"/>
    <w:rsid w:val="00CC7DCE"/>
    <w:rsid w:val="00CC7E55"/>
    <w:rsid w:val="00CD0CE7"/>
    <w:rsid w:val="00CD383F"/>
    <w:rsid w:val="00CD4A5D"/>
    <w:rsid w:val="00CD4C6A"/>
    <w:rsid w:val="00CD56EB"/>
    <w:rsid w:val="00CD5D05"/>
    <w:rsid w:val="00CE1024"/>
    <w:rsid w:val="00CE2887"/>
    <w:rsid w:val="00CE32AA"/>
    <w:rsid w:val="00CE4B4A"/>
    <w:rsid w:val="00CE4FF0"/>
    <w:rsid w:val="00CE6591"/>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07AFF"/>
    <w:rsid w:val="00D106DE"/>
    <w:rsid w:val="00D11FFD"/>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0D29"/>
    <w:rsid w:val="00D51C4A"/>
    <w:rsid w:val="00D52162"/>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78C"/>
    <w:rsid w:val="00D95AAD"/>
    <w:rsid w:val="00D96C60"/>
    <w:rsid w:val="00D97B6E"/>
    <w:rsid w:val="00DA1448"/>
    <w:rsid w:val="00DA16E2"/>
    <w:rsid w:val="00DA1DE0"/>
    <w:rsid w:val="00DA5EB8"/>
    <w:rsid w:val="00DA6244"/>
    <w:rsid w:val="00DA7F2C"/>
    <w:rsid w:val="00DB1254"/>
    <w:rsid w:val="00DB1B27"/>
    <w:rsid w:val="00DB21E4"/>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41F6"/>
    <w:rsid w:val="00E05C9A"/>
    <w:rsid w:val="00E064B9"/>
    <w:rsid w:val="00E0677B"/>
    <w:rsid w:val="00E06DD3"/>
    <w:rsid w:val="00E079F8"/>
    <w:rsid w:val="00E14300"/>
    <w:rsid w:val="00E1451C"/>
    <w:rsid w:val="00E14D34"/>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23E0"/>
    <w:rsid w:val="00E446C2"/>
    <w:rsid w:val="00E447A4"/>
    <w:rsid w:val="00E531A0"/>
    <w:rsid w:val="00E54141"/>
    <w:rsid w:val="00E56426"/>
    <w:rsid w:val="00E60462"/>
    <w:rsid w:val="00E61DE4"/>
    <w:rsid w:val="00E633AB"/>
    <w:rsid w:val="00E65D34"/>
    <w:rsid w:val="00E67D69"/>
    <w:rsid w:val="00E71DED"/>
    <w:rsid w:val="00E74522"/>
    <w:rsid w:val="00E74F38"/>
    <w:rsid w:val="00E75212"/>
    <w:rsid w:val="00E8023C"/>
    <w:rsid w:val="00E81BD6"/>
    <w:rsid w:val="00E850B0"/>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5CF8"/>
    <w:rsid w:val="00EF6271"/>
    <w:rsid w:val="00EF66DA"/>
    <w:rsid w:val="00EF68CB"/>
    <w:rsid w:val="00EF792B"/>
    <w:rsid w:val="00F017A7"/>
    <w:rsid w:val="00F05905"/>
    <w:rsid w:val="00F07B95"/>
    <w:rsid w:val="00F10E2A"/>
    <w:rsid w:val="00F11949"/>
    <w:rsid w:val="00F11A61"/>
    <w:rsid w:val="00F1296A"/>
    <w:rsid w:val="00F1574C"/>
    <w:rsid w:val="00F162B5"/>
    <w:rsid w:val="00F223ED"/>
    <w:rsid w:val="00F22EFE"/>
    <w:rsid w:val="00F24B4F"/>
    <w:rsid w:val="00F275EC"/>
    <w:rsid w:val="00F27CC2"/>
    <w:rsid w:val="00F27D25"/>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82C"/>
    <w:rsid w:val="00F95AE8"/>
    <w:rsid w:val="00F97D02"/>
    <w:rsid w:val="00FA1509"/>
    <w:rsid w:val="00FA7849"/>
    <w:rsid w:val="00FA7A21"/>
    <w:rsid w:val="00FA7CDB"/>
    <w:rsid w:val="00FB0740"/>
    <w:rsid w:val="00FB0F18"/>
    <w:rsid w:val="00FB18F1"/>
    <w:rsid w:val="00FB2069"/>
    <w:rsid w:val="00FB25A9"/>
    <w:rsid w:val="00FB2C3B"/>
    <w:rsid w:val="00FB2E05"/>
    <w:rsid w:val="00FB3113"/>
    <w:rsid w:val="00FB4B86"/>
    <w:rsid w:val="00FB56B0"/>
    <w:rsid w:val="00FB5896"/>
    <w:rsid w:val="00FB7022"/>
    <w:rsid w:val="00FB708E"/>
    <w:rsid w:val="00FB78BC"/>
    <w:rsid w:val="00FC126D"/>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6207B5-8FDC-42E8-B099-1EBFB773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54122</TotalTime>
  <Pages>41</Pages>
  <Words>10282</Words>
  <Characters>70952</Characters>
  <Application>Microsoft Office Word</Application>
  <DocSecurity>0</DocSecurity>
  <Lines>591</Lines>
  <Paragraphs>162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1367</cp:revision>
  <dcterms:created xsi:type="dcterms:W3CDTF">2014-02-05T18:19:00Z</dcterms:created>
  <dcterms:modified xsi:type="dcterms:W3CDTF">2015-04-17T17:43:00Z</dcterms:modified>
</cp:coreProperties>
</file>