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X3db8afef0909df1011bab5fe11681c5f868dbbf"/>
      <w:r>
        <w:t xml:space="preserve">Constraints for Conducting the Workshop in Pu Ngaol: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Limited Access to Resources:</w:t>
      </w:r>
    </w:p>
    <w:p>
      <w:pPr>
        <w:numPr>
          <w:ilvl w:val="1"/>
          <w:numId w:val="1002"/>
        </w:numPr>
        <w:pStyle w:val="Compact"/>
      </w:pPr>
      <w:r>
        <w:t xml:space="preserve">Availability of necessary workshop materials, such as presentation equipment, tools, and locally sourced timber, may be limited in remote areas like Pu Ngaol.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Infrastructure Challenges:</w:t>
      </w:r>
    </w:p>
    <w:p>
      <w:pPr>
        <w:numPr>
          <w:ilvl w:val="1"/>
          <w:numId w:val="1003"/>
        </w:numPr>
        <w:pStyle w:val="Compact"/>
      </w:pPr>
      <w:r>
        <w:t xml:space="preserve">Lack of proper infrastructure, including reliable electricity and internet connectivity, may hinder the delivery of presentations and interactive sessions.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Language and Cultural Barriers:</w:t>
      </w:r>
    </w:p>
    <w:p>
      <w:pPr>
        <w:numPr>
          <w:ilvl w:val="1"/>
          <w:numId w:val="1004"/>
        </w:numPr>
        <w:pStyle w:val="Compact"/>
      </w:pPr>
      <w:r>
        <w:t xml:space="preserve">Language differences and cultural nuances may pose challenges in effectively communicating the workshop content to the locals, requiring the involvement of translators or community leaders.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Low Literacy Rates:</w:t>
      </w:r>
    </w:p>
    <w:p>
      <w:pPr>
        <w:numPr>
          <w:ilvl w:val="1"/>
          <w:numId w:val="1005"/>
        </w:numPr>
        <w:pStyle w:val="Compact"/>
      </w:pPr>
      <w:r>
        <w:t xml:space="preserve">High dropout rates in Pu Ngaol may be indicative of low literacy levels among the population, necessitating the use of visual aids and simplified language during the workshop.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Limited Community Engagement:</w:t>
      </w:r>
    </w:p>
    <w:p>
      <w:pPr>
        <w:numPr>
          <w:ilvl w:val="1"/>
          <w:numId w:val="1006"/>
        </w:numPr>
        <w:pStyle w:val="Compact"/>
      </w:pPr>
      <w:r>
        <w:t xml:space="preserve">Low participation rates and community engagement may be a result of distrust or disinterest in external initiatives, requiring extensive outreach and collaboration with local leaders to gain trust and involvement.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Time Constraints:</w:t>
      </w:r>
    </w:p>
    <w:p>
      <w:pPr>
        <w:numPr>
          <w:ilvl w:val="1"/>
          <w:numId w:val="1007"/>
        </w:numPr>
        <w:pStyle w:val="Compact"/>
      </w:pPr>
      <w:r>
        <w:t xml:space="preserve">Limited availability of participants due to familial and agricultural responsibilities may require flexible scheduling of the workshop sessions to accommodate the needs of the community.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Transportation Challenges:</w:t>
      </w:r>
    </w:p>
    <w:p>
      <w:pPr>
        <w:numPr>
          <w:ilvl w:val="1"/>
          <w:numId w:val="1008"/>
        </w:numPr>
        <w:pStyle w:val="Compact"/>
      </w:pPr>
      <w:r>
        <w:t xml:space="preserve">Limited access to transportation infrastructure may make it difficult for participants to travel to the workshop venue, necessitating the organization of transportation or the selection of a centrally located venue.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Sustainability Considerations:</w:t>
      </w:r>
    </w:p>
    <w:p>
      <w:pPr>
        <w:numPr>
          <w:ilvl w:val="1"/>
          <w:numId w:val="1009"/>
        </w:numPr>
        <w:pStyle w:val="Compact"/>
      </w:pPr>
      <w:r>
        <w:t xml:space="preserve">Ensuring the sustainability of the workshop outcomes in the long term, including the continued adoption of material-efficient woodwork practices, may require ongoing support and follow-up activities.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Environmental Impact:</w:t>
      </w:r>
    </w:p>
    <w:p>
      <w:pPr>
        <w:numPr>
          <w:ilvl w:val="1"/>
          <w:numId w:val="1010"/>
        </w:numPr>
        <w:pStyle w:val="Compact"/>
      </w:pPr>
      <w:r>
        <w:t xml:space="preserve">Implementation of sustainable woodwork practices should consider the local ecosystem and avoid detrimental effects on the environment, such as overharvesting of timber resources.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Community Empowerment:</w:t>
      </w:r>
    </w:p>
    <w:p>
      <w:pPr>
        <w:numPr>
          <w:ilvl w:val="1"/>
          <w:numId w:val="1011"/>
        </w:numPr>
        <w:pStyle w:val="Compact"/>
      </w:pPr>
      <w:r>
        <w:t xml:space="preserve">Building local capacity and empowering community members to take ownership of sustainable practices may require tailored approaches that consider the socio-economic context and aspirations of the people of Pu Ngaol.</w:t>
      </w:r>
    </w:p>
    <w:p>
      <w:pPr>
        <w:pStyle w:val="FirstParagraph"/>
      </w:pPr>
      <w:r>
        <w:t xml:space="preserve">Addressing these constraints will be crucial in designing and delivering a workshop that effectively engages the community of Pu Ngaol, promotes sustainable woodwork practices, and contributes to the long-term development and well-being of the area despite the challenges presented by its remote and disadvantaged status.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2024-04-21T10:58:34Z</dcterms:created>
  <dcterms:modified xsi:type="dcterms:W3CDTF">2024-04-21T10:58:34Z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