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2D" w:rsidRDefault="00940F2D" w:rsidP="00940F2D">
      <w:pPr>
        <w:spacing w:after="0" w:line="480" w:lineRule="auto"/>
      </w:pPr>
      <w:r w:rsidRPr="00CD1394">
        <w:rPr>
          <w:b/>
        </w:rPr>
        <w:t xml:space="preserve">Appendix </w:t>
      </w:r>
      <w:r>
        <w:rPr>
          <w:b/>
        </w:rPr>
        <w:t>S</w:t>
      </w:r>
      <w:r w:rsidRPr="00CD1394">
        <w:rPr>
          <w:b/>
        </w:rPr>
        <w:t>1.</w:t>
      </w:r>
      <w:r>
        <w:t xml:space="preserve"> </w:t>
      </w:r>
      <w:proofErr w:type="spellStart"/>
      <w:r>
        <w:t>iLand</w:t>
      </w:r>
      <w:proofErr w:type="spellEnd"/>
      <w:r>
        <w:t xml:space="preserve"> parameters from </w:t>
      </w:r>
      <w:proofErr w:type="spellStart"/>
      <w:r>
        <w:t>Braziunas</w:t>
      </w:r>
      <w:proofErr w:type="spellEnd"/>
      <w:r>
        <w:t xml:space="preserve"> et al. (in prep) used to explore effects of changing fire regimes and postfire warming/drying on tree regeneration of and Douglas-fir (DF), non-</w:t>
      </w:r>
      <w:proofErr w:type="spellStart"/>
      <w:r>
        <w:t>serotinous</w:t>
      </w:r>
      <w:proofErr w:type="spellEnd"/>
      <w:r>
        <w:t xml:space="preserve"> lodgepole pine (LP-NS), and </w:t>
      </w:r>
      <w:proofErr w:type="spellStart"/>
      <w:r>
        <w:t>serotinous</w:t>
      </w:r>
      <w:proofErr w:type="spellEnd"/>
      <w:r>
        <w:t xml:space="preserve"> lodgepole pine (LP-S) stands in Yellowstone National Park, Wyoming, USA. Extensive model documentation is available at (</w:t>
      </w:r>
      <w:hyperlink r:id="rId5" w:history="1">
        <w:r w:rsidRPr="00E60DD2">
          <w:rPr>
            <w:rStyle w:val="Hyperlink"/>
          </w:rPr>
          <w:t>http://iland.boku.ac.at/iLand+Hub</w:t>
        </w:r>
      </w:hyperlink>
      <w:r>
        <w:t>) including further description of species parameters, model structure, and model implementation.</w:t>
      </w:r>
    </w:p>
    <w:tbl>
      <w:tblPr>
        <w:tblW w:w="9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0"/>
        <w:gridCol w:w="1170"/>
        <w:gridCol w:w="3150"/>
        <w:gridCol w:w="738"/>
        <w:gridCol w:w="1132"/>
        <w:gridCol w:w="866"/>
      </w:tblGrid>
      <w:tr w:rsidR="00940F2D" w:rsidRPr="00B62A78" w:rsidTr="003A2F86">
        <w:tc>
          <w:tcPr>
            <w:tcW w:w="261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sz w:val="20"/>
              </w:rPr>
            </w:pPr>
            <w:bookmarkStart w:id="0" w:name="_Hlk495928549"/>
            <w:r w:rsidRPr="00B62A78">
              <w:rPr>
                <w:rFonts w:eastAsia="Times New Roman"/>
                <w:b/>
                <w:bCs/>
                <w:color w:val="000000"/>
                <w:sz w:val="20"/>
                <w:szCs w:val="24"/>
              </w:rPr>
              <w:t>Parameter name</w:t>
            </w:r>
          </w:p>
        </w:tc>
        <w:tc>
          <w:tcPr>
            <w:tcW w:w="117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sz w:val="20"/>
              </w:rPr>
            </w:pPr>
            <w:r w:rsidRPr="00B62A78">
              <w:rPr>
                <w:rFonts w:eastAsia="Times New Roman"/>
                <w:b/>
                <w:bCs/>
                <w:color w:val="000000"/>
                <w:sz w:val="20"/>
                <w:szCs w:val="24"/>
              </w:rPr>
              <w:t>Units</w:t>
            </w:r>
          </w:p>
        </w:tc>
        <w:tc>
          <w:tcPr>
            <w:tcW w:w="3150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sz w:val="20"/>
              </w:rPr>
            </w:pPr>
            <w:r w:rsidRPr="00B62A78">
              <w:rPr>
                <w:rFonts w:eastAsia="Times New Roman"/>
                <w:b/>
                <w:bCs/>
                <w:color w:val="000000"/>
                <w:sz w:val="20"/>
                <w:szCs w:val="24"/>
              </w:rPr>
              <w:t>Source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4"/>
              </w:rPr>
              <w:t>s</w:t>
            </w:r>
          </w:p>
        </w:tc>
        <w:tc>
          <w:tcPr>
            <w:tcW w:w="738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spacing w:after="0" w:line="240" w:lineRule="auto"/>
              <w:jc w:val="center"/>
              <w:rPr>
                <w:sz w:val="20"/>
              </w:rPr>
            </w:pPr>
            <w:r w:rsidRPr="00B62A78">
              <w:rPr>
                <w:rFonts w:eastAsia="Times New Roman"/>
                <w:b/>
                <w:bCs/>
                <w:color w:val="000000"/>
                <w:sz w:val="20"/>
                <w:szCs w:val="24"/>
              </w:rPr>
              <w:t>LP-NS</w:t>
            </w:r>
          </w:p>
        </w:tc>
        <w:tc>
          <w:tcPr>
            <w:tcW w:w="113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spacing w:after="0" w:line="240" w:lineRule="auto"/>
              <w:jc w:val="center"/>
              <w:rPr>
                <w:sz w:val="20"/>
              </w:rPr>
            </w:pPr>
            <w:r w:rsidRPr="00B62A78">
              <w:rPr>
                <w:rFonts w:eastAsia="Times New Roman"/>
                <w:b/>
                <w:bCs/>
                <w:color w:val="000000"/>
                <w:sz w:val="20"/>
                <w:szCs w:val="24"/>
              </w:rPr>
              <w:t>LP-S</w:t>
            </w:r>
          </w:p>
        </w:tc>
        <w:tc>
          <w:tcPr>
            <w:tcW w:w="866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spacing w:after="0" w:line="240" w:lineRule="auto"/>
              <w:jc w:val="center"/>
              <w:rPr>
                <w:sz w:val="20"/>
              </w:rPr>
            </w:pPr>
            <w:r w:rsidRPr="00B62A78">
              <w:rPr>
                <w:rFonts w:eastAsia="Times New Roman"/>
                <w:b/>
                <w:bCs/>
                <w:color w:val="000000"/>
                <w:sz w:val="20"/>
                <w:szCs w:val="24"/>
              </w:rPr>
              <w:t>DF</w:t>
            </w:r>
          </w:p>
        </w:tc>
      </w:tr>
      <w:tr w:rsidR="00940F2D" w:rsidRPr="00B62A78" w:rsidTr="003A2F86">
        <w:tc>
          <w:tcPr>
            <w:tcW w:w="26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40F2D" w:rsidRPr="005E36C5" w:rsidRDefault="00940F2D" w:rsidP="003A2F86">
            <w:pPr>
              <w:spacing w:after="0" w:line="240" w:lineRule="auto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5E36C5">
              <w:rPr>
                <w:rFonts w:eastAsia="Times New Roman"/>
                <w:i/>
                <w:color w:val="000000"/>
                <w:sz w:val="20"/>
                <w:szCs w:val="20"/>
              </w:rPr>
              <w:t>Growth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pecific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l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eaf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a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rea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m</w:t>
            </w:r>
            <w:r w:rsidRPr="00B62A78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 xml:space="preserve">2 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kg</w:t>
            </w:r>
            <w:r w:rsidRPr="00B62A78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1-5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4.6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5.8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Leaf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turnover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yr</w:t>
            </w:r>
            <w:r w:rsidRPr="00B62A78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6-7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0.20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Root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turnover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yr</w:t>
            </w:r>
            <w:r w:rsidRPr="00B62A78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0.33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0.33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H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eight to diameter low 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dim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6, 8-13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38.51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38.51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44.37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H</w:t>
            </w:r>
            <w:r>
              <w:rPr>
                <w:rFonts w:eastAsia="Times New Roman"/>
                <w:color w:val="000000"/>
                <w:sz w:val="20"/>
                <w:szCs w:val="20"/>
              </w:rPr>
              <w:t>eight to diameter low b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dim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6, 8-13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-0.126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-0.126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-0.131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H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eight to diameter high 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dim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6, 8-13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287.99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287.99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439.47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H</w:t>
            </w:r>
            <w:r>
              <w:rPr>
                <w:rFonts w:eastAsia="Times New Roman"/>
                <w:color w:val="000000"/>
                <w:sz w:val="20"/>
                <w:szCs w:val="20"/>
              </w:rPr>
              <w:t>eight to diameter high b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dim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6, 8-13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-0.288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-0.288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-0.476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Wood d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ensity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kg m</w:t>
            </w:r>
            <w:r w:rsidRPr="00B62A78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380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450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orm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f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B62A78">
              <w:rPr>
                <w:rFonts w:eastAsia="Times New Roman"/>
                <w:color w:val="000000"/>
                <w:sz w:val="20"/>
                <w:szCs w:val="20"/>
              </w:rPr>
              <w:t>dim[</w:t>
            </w:r>
            <w:proofErr w:type="gramEnd"/>
            <w:r w:rsidRPr="00B62A78">
              <w:rPr>
                <w:rFonts w:eastAsia="Times New Roman"/>
                <w:color w:val="000000"/>
                <w:sz w:val="20"/>
                <w:szCs w:val="20"/>
              </w:rPr>
              <w:t>0,1]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14-18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0.470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0.470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0.453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5E36C5" w:rsidRDefault="00940F2D" w:rsidP="003A2F86">
            <w:pPr>
              <w:spacing w:after="0" w:line="240" w:lineRule="auto"/>
              <w:ind w:left="270" w:hanging="27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5E36C5">
              <w:rPr>
                <w:rFonts w:eastAsia="Times New Roman"/>
                <w:i/>
                <w:color w:val="000000"/>
                <w:sz w:val="20"/>
                <w:szCs w:val="20"/>
              </w:rPr>
              <w:t>Biomass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Stem wood biomass 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19-25 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0.1401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0.1401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0.04510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Stem wood biomass b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19-25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2.136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2.136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2.634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Stem foliage biomass 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19, 22, 24-25, 26 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0.02723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0.02723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0.3021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Stem foliage biomass b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19, 22, 24-25, 26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1.882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1.882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1.308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Root biomass 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10, 27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0.021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0.02002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Root biomass b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933FB0">
              <w:rPr>
                <w:rFonts w:eastAsia="Times New Roman"/>
                <w:color w:val="000000"/>
                <w:sz w:val="20"/>
                <w:szCs w:val="20"/>
              </w:rPr>
              <w:t>10, 27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2.281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2.281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2.450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Branch biomass 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19, 22, 24-25, 26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0.01903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0.01903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0.2624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Branch biomass b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19, 22, 24-25, 26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2.120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2.120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1.546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5E36C5" w:rsidRDefault="00940F2D" w:rsidP="003A2F86">
            <w:pPr>
              <w:spacing w:after="0" w:line="240" w:lineRule="auto"/>
              <w:ind w:left="270" w:hanging="27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5E36C5">
              <w:rPr>
                <w:rFonts w:eastAsia="Times New Roman"/>
                <w:i/>
                <w:color w:val="000000"/>
                <w:sz w:val="20"/>
                <w:szCs w:val="20"/>
              </w:rPr>
              <w:t>Mortality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Probability of survival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B62A78">
              <w:rPr>
                <w:rFonts w:eastAsia="Times New Roman"/>
                <w:color w:val="000000"/>
                <w:sz w:val="20"/>
                <w:szCs w:val="20"/>
              </w:rPr>
              <w:t>dim[</w:t>
            </w:r>
            <w:proofErr w:type="gramEnd"/>
            <w:r w:rsidRPr="00B62A78">
              <w:rPr>
                <w:rFonts w:eastAsia="Times New Roman"/>
                <w:color w:val="000000"/>
                <w:sz w:val="20"/>
                <w:szCs w:val="20"/>
              </w:rPr>
              <w:t>0,1]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0.10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0.20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Probability of stress- induced death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dim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Braziunas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et al. in prep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1.0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5E36C5" w:rsidRDefault="00940F2D" w:rsidP="003A2F86">
            <w:pPr>
              <w:spacing w:after="0" w:line="240" w:lineRule="auto"/>
              <w:ind w:left="270" w:hanging="27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5E36C5">
              <w:rPr>
                <w:rFonts w:eastAsia="Times New Roman"/>
                <w:i/>
                <w:color w:val="000000"/>
                <w:sz w:val="20"/>
                <w:szCs w:val="20"/>
              </w:rPr>
              <w:t>Aging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Max a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ge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years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29-32 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500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400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Max h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eight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29, 32-33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41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57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Aging 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dim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34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Braziunas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et al. in prep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0.60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Aging b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dim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34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Braziunas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et al. in prep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2.50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4.50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5E36C5" w:rsidRDefault="00940F2D" w:rsidP="003A2F86">
            <w:pPr>
              <w:spacing w:after="0" w:line="240" w:lineRule="auto"/>
              <w:ind w:left="270" w:hanging="27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5E36C5">
              <w:rPr>
                <w:rFonts w:eastAsia="Times New Roman"/>
                <w:i/>
                <w:color w:val="000000"/>
                <w:sz w:val="20"/>
                <w:szCs w:val="20"/>
              </w:rPr>
              <w:t>Environmental response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VPD growth response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dim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-0.65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-0.65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Min temperature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°C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3, 35-39 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-6.0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-6.0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-6.0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Optimum temperature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°C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3, 35-39 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17.0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Nitrogen class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B62A78">
              <w:rPr>
                <w:rFonts w:eastAsia="Times New Roman"/>
                <w:color w:val="000000"/>
                <w:sz w:val="20"/>
                <w:szCs w:val="20"/>
              </w:rPr>
              <w:t>dim[</w:t>
            </w:r>
            <w:proofErr w:type="gramEnd"/>
            <w:r w:rsidRPr="00B62A78">
              <w:rPr>
                <w:rFonts w:eastAsia="Times New Roman"/>
                <w:color w:val="000000"/>
                <w:sz w:val="20"/>
                <w:szCs w:val="20"/>
              </w:rPr>
              <w:t>1,3]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40-41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1.5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Phenology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eastAsia="Times New Roman"/>
                <w:color w:val="000000"/>
                <w:sz w:val="20"/>
                <w:szCs w:val="20"/>
              </w:rPr>
              <w:t>int</w:t>
            </w:r>
            <w:proofErr w:type="spellEnd"/>
            <w:r w:rsidRPr="00B62A78">
              <w:rPr>
                <w:rFonts w:eastAsia="Times New Roman"/>
                <w:color w:val="000000"/>
                <w:sz w:val="20"/>
                <w:szCs w:val="20"/>
              </w:rPr>
              <w:t>[</w:t>
            </w:r>
            <w:proofErr w:type="gramEnd"/>
            <w:r w:rsidRPr="00B62A78">
              <w:rPr>
                <w:rFonts w:eastAsia="Times New Roman"/>
                <w:color w:val="000000"/>
                <w:sz w:val="20"/>
                <w:szCs w:val="20"/>
              </w:rPr>
              <w:t>0,2]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ax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c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anopy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c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onductance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m s</w:t>
            </w:r>
            <w:r w:rsidRPr="00B62A78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0.017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0.017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Min soil water potential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62A78">
              <w:rPr>
                <w:rFonts w:eastAsia="Times New Roman"/>
                <w:color w:val="000000"/>
                <w:sz w:val="20"/>
                <w:szCs w:val="20"/>
              </w:rPr>
              <w:t>MPa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29, 42-43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-2.0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-2.0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-2.40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L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ight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response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B62A78">
              <w:rPr>
                <w:rFonts w:eastAsia="Times New Roman"/>
                <w:color w:val="000000"/>
                <w:sz w:val="20"/>
                <w:szCs w:val="20"/>
              </w:rPr>
              <w:t>dim[</w:t>
            </w:r>
            <w:proofErr w:type="gramEnd"/>
            <w:r w:rsidRPr="00B62A78">
              <w:rPr>
                <w:rFonts w:eastAsia="Times New Roman"/>
                <w:color w:val="000000"/>
                <w:sz w:val="20"/>
                <w:szCs w:val="20"/>
              </w:rPr>
              <w:t>1,5]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2.0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2.5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lastRenderedPageBreak/>
              <w:t>F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ine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root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to f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oliage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r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atio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B62A78">
              <w:rPr>
                <w:rFonts w:eastAsia="Times New Roman"/>
                <w:color w:val="000000"/>
                <w:sz w:val="20"/>
                <w:szCs w:val="20"/>
              </w:rPr>
              <w:t>dim[</w:t>
            </w:r>
            <w:proofErr w:type="gramEnd"/>
            <w:r w:rsidRPr="00B62A78">
              <w:rPr>
                <w:rFonts w:eastAsia="Times New Roman"/>
                <w:color w:val="000000"/>
                <w:sz w:val="20"/>
                <w:szCs w:val="20"/>
              </w:rPr>
              <w:t>0,1]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0.75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0.75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5E36C5" w:rsidRDefault="00940F2D" w:rsidP="003A2F86">
            <w:pPr>
              <w:spacing w:after="0" w:line="240" w:lineRule="auto"/>
              <w:ind w:left="270" w:hanging="27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5E36C5">
              <w:rPr>
                <w:rFonts w:eastAsia="Times New Roman"/>
                <w:i/>
                <w:color w:val="000000"/>
                <w:sz w:val="20"/>
                <w:szCs w:val="20"/>
              </w:rPr>
              <w:t>Seed production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643D6B" w:rsidRDefault="00940F2D" w:rsidP="003A2F86">
            <w:pPr>
              <w:spacing w:after="0" w:line="240" w:lineRule="auto"/>
              <w:ind w:left="270"/>
              <w:rPr>
                <w:rFonts w:eastAsia="Times New Roman"/>
                <w:bCs/>
                <w:color w:val="000000"/>
                <w:sz w:val="20"/>
                <w:szCs w:val="24"/>
              </w:rPr>
            </w:pPr>
            <w:r>
              <w:rPr>
                <w:rFonts w:eastAsia="Times New Roman"/>
                <w:bCs/>
                <w:color w:val="000000"/>
                <w:sz w:val="20"/>
                <w:szCs w:val="24"/>
              </w:rPr>
              <w:t>Cone bearing age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years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29, 33, 44-45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55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eed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y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ear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i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nterval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years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31, 33, 44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46-51 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Non- seed year f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raction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B62A78">
              <w:rPr>
                <w:rFonts w:eastAsia="Times New Roman"/>
                <w:color w:val="000000"/>
                <w:sz w:val="20"/>
                <w:szCs w:val="20"/>
              </w:rPr>
              <w:t>dim[</w:t>
            </w:r>
            <w:proofErr w:type="gramEnd"/>
            <w:r w:rsidRPr="00B62A78">
              <w:rPr>
                <w:rFonts w:eastAsia="Times New Roman"/>
                <w:color w:val="000000"/>
                <w:sz w:val="20"/>
                <w:szCs w:val="20"/>
              </w:rPr>
              <w:t>0,1]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31, 33, 44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 xml:space="preserve">;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46-51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0.24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Seed m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ass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mg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33, 35, 44,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4.1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11.31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ermination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rate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B62A78">
              <w:rPr>
                <w:rFonts w:eastAsia="Times New Roman"/>
                <w:color w:val="000000"/>
                <w:sz w:val="20"/>
                <w:szCs w:val="20"/>
              </w:rPr>
              <w:t>dim[</w:t>
            </w:r>
            <w:proofErr w:type="gramEnd"/>
            <w:r w:rsidRPr="00B62A78">
              <w:rPr>
                <w:rFonts w:eastAsia="Times New Roman"/>
                <w:color w:val="000000"/>
                <w:sz w:val="20"/>
                <w:szCs w:val="20"/>
              </w:rPr>
              <w:t>0,1]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49, 52- 56 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0.36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0.30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Fecundity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sd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lings</w:t>
            </w:r>
            <w:proofErr w:type="spellEnd"/>
            <w:r w:rsidRPr="00B62A78">
              <w:rPr>
                <w:rFonts w:eastAsia="Times New Roman"/>
                <w:color w:val="000000"/>
                <w:sz w:val="20"/>
                <w:szCs w:val="20"/>
              </w:rPr>
              <w:t xml:space="preserve"> m</w:t>
            </w:r>
            <w:r w:rsidRPr="00B62A78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-2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56-57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115.9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115.9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43.9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eed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kernel 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33, 58-62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Seed kernel b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33, 58-62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160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200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Seed kernel c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B62A78">
              <w:rPr>
                <w:rFonts w:eastAsia="Times New Roman"/>
                <w:color w:val="000000"/>
                <w:sz w:val="20"/>
                <w:szCs w:val="20"/>
              </w:rPr>
              <w:t>dim[</w:t>
            </w:r>
            <w:proofErr w:type="gramEnd"/>
            <w:r w:rsidRPr="00B62A78">
              <w:rPr>
                <w:rFonts w:eastAsia="Times New Roman"/>
                <w:color w:val="000000"/>
                <w:sz w:val="20"/>
                <w:szCs w:val="20"/>
              </w:rPr>
              <w:t>0,1]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0.2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5E36C5" w:rsidRDefault="00940F2D" w:rsidP="003A2F86">
            <w:pPr>
              <w:spacing w:after="0" w:line="240" w:lineRule="auto"/>
              <w:ind w:left="270" w:hanging="27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5E36C5">
              <w:rPr>
                <w:rFonts w:eastAsia="Times New Roman"/>
                <w:i/>
                <w:color w:val="000000"/>
                <w:sz w:val="20"/>
                <w:szCs w:val="20"/>
              </w:rPr>
              <w:t>Establishment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Min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t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emp</w:t>
            </w:r>
            <w:r>
              <w:rPr>
                <w:rFonts w:eastAsia="Times New Roman"/>
                <w:color w:val="000000"/>
                <w:sz w:val="20"/>
                <w:szCs w:val="20"/>
              </w:rPr>
              <w:t>erature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°C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-85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-85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-37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Chill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r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equirement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days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56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Min growing degree days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degree days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340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Max growing degree days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degree days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3374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3374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3261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Growing degree days base temperature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°C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3.4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Growing degree days bud burst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degree days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116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255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Frost free days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days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80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100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Frost tolerance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B62A78">
              <w:rPr>
                <w:rFonts w:eastAsia="Times New Roman"/>
                <w:color w:val="000000"/>
                <w:sz w:val="20"/>
                <w:szCs w:val="20"/>
              </w:rPr>
              <w:t>dim[</w:t>
            </w:r>
            <w:proofErr w:type="gramEnd"/>
            <w:r w:rsidRPr="00B62A78">
              <w:rPr>
                <w:rFonts w:eastAsia="Times New Roman"/>
                <w:color w:val="000000"/>
                <w:sz w:val="20"/>
                <w:szCs w:val="20"/>
              </w:rPr>
              <w:t>0,1]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0.9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0.5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Min soil water potential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B62A78">
              <w:rPr>
                <w:rFonts w:eastAsia="Times New Roman"/>
                <w:color w:val="000000"/>
                <w:sz w:val="20"/>
                <w:szCs w:val="20"/>
              </w:rPr>
              <w:t>MPa</w:t>
            </w:r>
            <w:proofErr w:type="spellEnd"/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-2.3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-2.3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-7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5E36C5" w:rsidRDefault="00940F2D" w:rsidP="003A2F86">
            <w:pPr>
              <w:spacing w:after="0" w:line="240" w:lineRule="auto"/>
              <w:ind w:left="270" w:hanging="27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r w:rsidRPr="005E36C5">
              <w:rPr>
                <w:rFonts w:eastAsia="Times New Roman"/>
                <w:i/>
                <w:color w:val="000000"/>
                <w:sz w:val="20"/>
                <w:szCs w:val="20"/>
              </w:rPr>
              <w:t>Sapling growth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Sapling growth 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dim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6,8-13, 64-73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0.036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Sapling growth b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6,8-13, 64-73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47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Max number of years under stress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years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Braziunas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et al. in prep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Sapling stress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B62A78">
              <w:rPr>
                <w:rFonts w:eastAsia="Times New Roman"/>
                <w:color w:val="000000"/>
                <w:sz w:val="20"/>
                <w:szCs w:val="20"/>
              </w:rPr>
              <w:t>dim[</w:t>
            </w:r>
            <w:proofErr w:type="gramEnd"/>
            <w:r w:rsidRPr="00B62A78">
              <w:rPr>
                <w:rFonts w:eastAsia="Times New Roman"/>
                <w:color w:val="000000"/>
                <w:sz w:val="20"/>
                <w:szCs w:val="20"/>
              </w:rPr>
              <w:t>0,1]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0.05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Height to diameter ratio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dim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6, 8, 11, 13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88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Reineke’s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R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saplings ha</w:t>
            </w:r>
            <w:r w:rsidRPr="00B62A78">
              <w:rPr>
                <w:rFonts w:eastAsia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6, 8, 11, 13, 66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14.33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550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500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Reference ratio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B62A78">
              <w:rPr>
                <w:rFonts w:eastAsia="Times New Roman"/>
                <w:color w:val="000000"/>
                <w:sz w:val="20"/>
                <w:szCs w:val="20"/>
              </w:rPr>
              <w:t>dim[</w:t>
            </w:r>
            <w:proofErr w:type="gramEnd"/>
            <w:r w:rsidRPr="00B62A78">
              <w:rPr>
                <w:rFonts w:eastAsia="Times New Roman"/>
                <w:color w:val="000000"/>
                <w:sz w:val="20"/>
                <w:szCs w:val="20"/>
              </w:rPr>
              <w:t>0,1]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Braziunas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et al. in prep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0.457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0.457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0.451</w:t>
            </w: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F31E60" w:rsidRDefault="00940F2D" w:rsidP="003A2F86">
            <w:pPr>
              <w:spacing w:after="0" w:line="240" w:lineRule="auto"/>
              <w:ind w:left="270" w:hanging="270"/>
              <w:rPr>
                <w:rFonts w:eastAsia="Times New Roman"/>
                <w:i/>
                <w:color w:val="000000"/>
                <w:sz w:val="20"/>
                <w:szCs w:val="20"/>
              </w:rPr>
            </w:pPr>
            <w:proofErr w:type="spellStart"/>
            <w:r w:rsidRPr="00F31E60">
              <w:rPr>
                <w:rFonts w:eastAsia="Times New Roman"/>
                <w:i/>
                <w:color w:val="000000"/>
                <w:sz w:val="20"/>
                <w:szCs w:val="20"/>
              </w:rPr>
              <w:t>Serotiny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erotiny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f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ormula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gramStart"/>
            <w:r w:rsidRPr="00B62A78">
              <w:rPr>
                <w:rFonts w:eastAsia="Times New Roman"/>
                <w:color w:val="000000"/>
                <w:sz w:val="20"/>
                <w:szCs w:val="20"/>
              </w:rPr>
              <w:t>dim[</w:t>
            </w:r>
            <w:proofErr w:type="gramEnd"/>
            <w:r w:rsidRPr="00B62A78">
              <w:rPr>
                <w:rFonts w:eastAsia="Times New Roman"/>
                <w:color w:val="000000"/>
                <w:sz w:val="20"/>
                <w:szCs w:val="20"/>
              </w:rPr>
              <w:t>0,1]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x,20,0,80,1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40F2D" w:rsidRPr="00B62A78" w:rsidTr="003A2F86">
        <w:tc>
          <w:tcPr>
            <w:tcW w:w="261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ind w:left="270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color w:val="000000"/>
                <w:sz w:val="20"/>
                <w:szCs w:val="20"/>
              </w:rPr>
              <w:t>Serotiny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</w:rPr>
              <w:t xml:space="preserve"> f</w:t>
            </w:r>
            <w:r w:rsidRPr="00B62A78">
              <w:rPr>
                <w:rFonts w:eastAsia="Times New Roman"/>
                <w:color w:val="000000"/>
                <w:sz w:val="20"/>
                <w:szCs w:val="20"/>
              </w:rPr>
              <w:t>ecundity</w:t>
            </w:r>
          </w:p>
        </w:tc>
        <w:tc>
          <w:tcPr>
            <w:tcW w:w="117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940F2D" w:rsidRPr="00B62A78" w:rsidRDefault="00940F2D" w:rsidP="003A2F8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38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  <w:r w:rsidRPr="00B62A78">
              <w:rPr>
                <w:rFonts w:eastAsia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86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vAlign w:val="center"/>
          </w:tcPr>
          <w:p w:rsidR="00940F2D" w:rsidRPr="00B62A78" w:rsidRDefault="00940F2D" w:rsidP="003A2F86">
            <w:pPr>
              <w:tabs>
                <w:tab w:val="decimal" w:pos="211"/>
              </w:tabs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bookmarkEnd w:id="0"/>
    </w:tbl>
    <w:p w:rsidR="00940F2D" w:rsidRDefault="00940F2D" w:rsidP="00940F2D">
      <w:pPr>
        <w:rPr>
          <w:rFonts w:eastAsia="Times New Roman"/>
          <w:color w:val="000000"/>
          <w:sz w:val="20"/>
          <w:szCs w:val="20"/>
        </w:rPr>
      </w:pPr>
    </w:p>
    <w:p w:rsidR="00940F2D" w:rsidRPr="00643D6B" w:rsidRDefault="00940F2D" w:rsidP="00940F2D">
      <w:pPr>
        <w:ind w:left="720" w:hanging="810"/>
        <w:rPr>
          <w:rFonts w:eastAsia="Times New Roman"/>
          <w:b/>
        </w:rPr>
      </w:pPr>
      <w:r w:rsidRPr="00643D6B">
        <w:rPr>
          <w:rFonts w:eastAsia="Times New Roman"/>
          <w:b/>
        </w:rPr>
        <w:t>References</w:t>
      </w:r>
    </w:p>
    <w:p w:rsidR="00940F2D" w:rsidRPr="00824F74" w:rsidRDefault="00940F2D" w:rsidP="00940F2D">
      <w:pPr>
        <w:numPr>
          <w:ilvl w:val="0"/>
          <w:numId w:val="1"/>
        </w:numPr>
        <w:spacing w:after="0" w:line="480" w:lineRule="auto"/>
        <w:ind w:hanging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White, M.A., P.E. Thornton, S.</w:t>
      </w:r>
      <w:r w:rsidRPr="00824F74">
        <w:rPr>
          <w:rFonts w:eastAsia="Times New Roman"/>
          <w:sz w:val="24"/>
          <w:szCs w:val="24"/>
        </w:rPr>
        <w:t>W.</w:t>
      </w:r>
      <w:r>
        <w:rPr>
          <w:rFonts w:eastAsia="Times New Roman"/>
          <w:sz w:val="24"/>
          <w:szCs w:val="24"/>
        </w:rPr>
        <w:t xml:space="preserve"> Running, and R.</w:t>
      </w:r>
      <w:r w:rsidRPr="00824F74">
        <w:rPr>
          <w:rFonts w:eastAsia="Times New Roman"/>
          <w:sz w:val="24"/>
          <w:szCs w:val="24"/>
        </w:rPr>
        <w:t xml:space="preserve">R. </w:t>
      </w:r>
      <w:proofErr w:type="spellStart"/>
      <w:r w:rsidRPr="00824F74">
        <w:rPr>
          <w:rFonts w:eastAsia="Times New Roman"/>
          <w:sz w:val="24"/>
          <w:szCs w:val="24"/>
        </w:rPr>
        <w:t>Nemani</w:t>
      </w:r>
      <w:proofErr w:type="spellEnd"/>
      <w:r w:rsidRPr="00824F74">
        <w:rPr>
          <w:rFonts w:eastAsia="Times New Roman"/>
          <w:sz w:val="24"/>
          <w:szCs w:val="24"/>
        </w:rPr>
        <w:t xml:space="preserve">. 2000. </w:t>
      </w:r>
      <w:r w:rsidRPr="00824F74">
        <w:rPr>
          <w:sz w:val="24"/>
          <w:szCs w:val="24"/>
        </w:rPr>
        <w:t>Parameterization and sensitivity analysis of the BIOME-BG</w:t>
      </w:r>
      <w:r>
        <w:rPr>
          <w:sz w:val="24"/>
          <w:szCs w:val="24"/>
        </w:rPr>
        <w:t>C terrestrial ecosystem model: N</w:t>
      </w:r>
      <w:r w:rsidRPr="00824F74">
        <w:rPr>
          <w:sz w:val="24"/>
          <w:szCs w:val="24"/>
        </w:rPr>
        <w:t>et primary production c</w:t>
      </w:r>
      <w:r>
        <w:rPr>
          <w:sz w:val="24"/>
          <w:szCs w:val="24"/>
        </w:rPr>
        <w:t>ontrols. Earth Interactions 4</w:t>
      </w:r>
      <w:r w:rsidRPr="00824F74">
        <w:rPr>
          <w:sz w:val="24"/>
          <w:szCs w:val="24"/>
        </w:rPr>
        <w:t>:1–85.</w:t>
      </w:r>
    </w:p>
    <w:p w:rsidR="00940F2D" w:rsidRPr="00824F74" w:rsidRDefault="00940F2D" w:rsidP="00940F2D">
      <w:pPr>
        <w:numPr>
          <w:ilvl w:val="0"/>
          <w:numId w:val="1"/>
        </w:numPr>
        <w:spacing w:after="0" w:line="480" w:lineRule="auto"/>
        <w:ind w:hanging="720"/>
        <w:rPr>
          <w:sz w:val="24"/>
          <w:szCs w:val="24"/>
        </w:rPr>
      </w:pPr>
      <w:r w:rsidRPr="00F346DB">
        <w:rPr>
          <w:sz w:val="24"/>
          <w:szCs w:val="24"/>
          <w:lang w:val="de-AT"/>
        </w:rPr>
        <w:t xml:space="preserve">Kloeppel, B.D., S.T. Gower, I.W. Treichel, and S. Kharuk. </w:t>
      </w:r>
      <w:r w:rsidRPr="00824F74">
        <w:rPr>
          <w:sz w:val="24"/>
          <w:szCs w:val="24"/>
        </w:rPr>
        <w:t xml:space="preserve">1998. Foliar carbon isotope discrimination in </w:t>
      </w:r>
      <w:proofErr w:type="spellStart"/>
      <w:r w:rsidRPr="00824F74">
        <w:rPr>
          <w:sz w:val="24"/>
          <w:szCs w:val="24"/>
        </w:rPr>
        <w:t>Larix</w:t>
      </w:r>
      <w:proofErr w:type="spellEnd"/>
      <w:r w:rsidRPr="00824F74">
        <w:rPr>
          <w:sz w:val="24"/>
          <w:szCs w:val="24"/>
        </w:rPr>
        <w:t xml:space="preserve"> species and sympatric evergreen conifers: A global com</w:t>
      </w:r>
      <w:r>
        <w:rPr>
          <w:sz w:val="24"/>
          <w:szCs w:val="24"/>
        </w:rPr>
        <w:t xml:space="preserve">parison. </w:t>
      </w:r>
      <w:proofErr w:type="spellStart"/>
      <w:r>
        <w:rPr>
          <w:sz w:val="24"/>
          <w:szCs w:val="24"/>
        </w:rPr>
        <w:t>Oecologia</w:t>
      </w:r>
      <w:proofErr w:type="spellEnd"/>
      <w:r>
        <w:rPr>
          <w:sz w:val="24"/>
          <w:szCs w:val="24"/>
        </w:rPr>
        <w:t xml:space="preserve"> 114:153–159.</w:t>
      </w:r>
    </w:p>
    <w:p w:rsidR="00940F2D" w:rsidRPr="00824F74" w:rsidRDefault="00940F2D" w:rsidP="00940F2D">
      <w:pPr>
        <w:numPr>
          <w:ilvl w:val="0"/>
          <w:numId w:val="1"/>
        </w:numPr>
        <w:spacing w:after="0" w:line="480" w:lineRule="auto"/>
        <w:ind w:hanging="720"/>
        <w:rPr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lastRenderedPageBreak/>
        <w:t>Seidl</w:t>
      </w:r>
      <w:proofErr w:type="spellEnd"/>
      <w:r>
        <w:rPr>
          <w:rFonts w:eastAsia="Times New Roman"/>
          <w:sz w:val="24"/>
          <w:szCs w:val="24"/>
        </w:rPr>
        <w:t xml:space="preserve">, R., W. Rammer, R.M. </w:t>
      </w:r>
      <w:proofErr w:type="spellStart"/>
      <w:r>
        <w:rPr>
          <w:rFonts w:eastAsia="Times New Roman"/>
          <w:sz w:val="24"/>
          <w:szCs w:val="24"/>
        </w:rPr>
        <w:t>Scheller</w:t>
      </w:r>
      <w:proofErr w:type="spellEnd"/>
      <w:r>
        <w:rPr>
          <w:rFonts w:eastAsia="Times New Roman"/>
          <w:sz w:val="24"/>
          <w:szCs w:val="24"/>
        </w:rPr>
        <w:t>, and T.</w:t>
      </w:r>
      <w:r w:rsidRPr="00824F74">
        <w:rPr>
          <w:rFonts w:eastAsia="Times New Roman"/>
          <w:sz w:val="24"/>
          <w:szCs w:val="24"/>
        </w:rPr>
        <w:t>A. Spies. 2012. An individual-based process model to simulate landscape-scale forest ecosystem dynamics. Ecological Modelling 231:87-100.</w:t>
      </w:r>
    </w:p>
    <w:p w:rsidR="00940F2D" w:rsidRPr="00824F74" w:rsidRDefault="00940F2D" w:rsidP="00940F2D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ind w:hanging="720"/>
      </w:pPr>
      <w:r>
        <w:t>Kaufmann, M.R. and C.</w:t>
      </w:r>
      <w:r w:rsidRPr="00824F74">
        <w:t xml:space="preserve">A. </w:t>
      </w:r>
      <w:proofErr w:type="spellStart"/>
      <w:r w:rsidRPr="00824F74">
        <w:t>Troendle</w:t>
      </w:r>
      <w:proofErr w:type="spellEnd"/>
      <w:r w:rsidRPr="00824F74">
        <w:t xml:space="preserve">. 1981. The relationship of leaf area and foliage biomass to sapwood conducting area in four subalpine forest tree species. </w:t>
      </w:r>
      <w:r w:rsidRPr="00824F74">
        <w:rPr>
          <w:iCs/>
        </w:rPr>
        <w:t>Forest Science</w:t>
      </w:r>
      <w:r w:rsidRPr="00824F74">
        <w:t xml:space="preserve"> </w:t>
      </w:r>
      <w:r w:rsidRPr="00824F74">
        <w:rPr>
          <w:bCs/>
        </w:rPr>
        <w:t>27:</w:t>
      </w:r>
      <w:r w:rsidRPr="00824F74">
        <w:t>477–482.</w:t>
      </w:r>
    </w:p>
    <w:p w:rsidR="00940F2D" w:rsidRPr="00824F74" w:rsidRDefault="00940F2D" w:rsidP="00940F2D">
      <w:pPr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Kaufmann, M.</w:t>
      </w:r>
      <w:r w:rsidRPr="00824F74">
        <w:rPr>
          <w:rFonts w:eastAsia="Times New Roman"/>
          <w:sz w:val="24"/>
          <w:szCs w:val="24"/>
        </w:rPr>
        <w:t>R.</w:t>
      </w:r>
      <w:r>
        <w:rPr>
          <w:rFonts w:eastAsia="Times New Roman"/>
          <w:sz w:val="24"/>
          <w:szCs w:val="24"/>
        </w:rPr>
        <w:t xml:space="preserve">, C.B. </w:t>
      </w:r>
      <w:proofErr w:type="spellStart"/>
      <w:r>
        <w:rPr>
          <w:rFonts w:eastAsia="Times New Roman"/>
          <w:sz w:val="24"/>
          <w:szCs w:val="24"/>
        </w:rPr>
        <w:t>Edminster</w:t>
      </w:r>
      <w:proofErr w:type="spellEnd"/>
      <w:r>
        <w:rPr>
          <w:rFonts w:eastAsia="Times New Roman"/>
          <w:sz w:val="24"/>
          <w:szCs w:val="24"/>
        </w:rPr>
        <w:t>, and C.</w:t>
      </w:r>
      <w:r w:rsidRPr="00824F74">
        <w:rPr>
          <w:rFonts w:eastAsia="Times New Roman"/>
          <w:sz w:val="24"/>
          <w:szCs w:val="24"/>
        </w:rPr>
        <w:t xml:space="preserve">A. </w:t>
      </w:r>
      <w:proofErr w:type="spellStart"/>
      <w:r w:rsidRPr="00824F74">
        <w:rPr>
          <w:rFonts w:eastAsia="Times New Roman"/>
          <w:sz w:val="24"/>
          <w:szCs w:val="24"/>
        </w:rPr>
        <w:t>Troendle</w:t>
      </w:r>
      <w:proofErr w:type="spellEnd"/>
      <w:r w:rsidRPr="00824F74">
        <w:rPr>
          <w:rFonts w:eastAsia="Times New Roman"/>
          <w:sz w:val="24"/>
          <w:szCs w:val="24"/>
        </w:rPr>
        <w:t xml:space="preserve">. 1982. Leaf area determinations for subalpine tree species in the central Rocky Mountains. </w:t>
      </w:r>
      <w:r w:rsidRPr="00824F74">
        <w:rPr>
          <w:rStyle w:val="HTMLCite"/>
          <w:rFonts w:eastAsia="Times New Roman"/>
          <w:sz w:val="24"/>
          <w:szCs w:val="24"/>
        </w:rPr>
        <w:t xml:space="preserve">USDA Forest Service, </w:t>
      </w:r>
      <w:r w:rsidRPr="00824F74">
        <w:rPr>
          <w:rFonts w:eastAsia="Times New Roman"/>
          <w:iCs/>
          <w:sz w:val="24"/>
          <w:szCs w:val="24"/>
        </w:rPr>
        <w:t xml:space="preserve">Rocky Mountain Forest and Range Experiment Station </w:t>
      </w:r>
      <w:r w:rsidRPr="00824F74">
        <w:rPr>
          <w:rStyle w:val="HTMLCite"/>
          <w:rFonts w:eastAsia="Times New Roman"/>
          <w:sz w:val="24"/>
          <w:szCs w:val="24"/>
        </w:rPr>
        <w:t>Research Paper RM-238, Fort Collins, CO.</w:t>
      </w:r>
    </w:p>
    <w:p w:rsidR="00940F2D" w:rsidRPr="008C501E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i/>
          <w:iCs/>
          <w:sz w:val="24"/>
          <w:szCs w:val="24"/>
        </w:rPr>
      </w:pPr>
      <w:proofErr w:type="spellStart"/>
      <w:r>
        <w:rPr>
          <w:rStyle w:val="author"/>
          <w:rFonts w:eastAsia="Times New Roman"/>
          <w:iCs/>
          <w:sz w:val="24"/>
          <w:szCs w:val="24"/>
        </w:rPr>
        <w:t>Rebain</w:t>
      </w:r>
      <w:proofErr w:type="spellEnd"/>
      <w:r>
        <w:rPr>
          <w:rStyle w:val="author"/>
          <w:rFonts w:eastAsia="Times New Roman"/>
          <w:iCs/>
          <w:sz w:val="24"/>
          <w:szCs w:val="24"/>
        </w:rPr>
        <w:t>, S.</w:t>
      </w:r>
      <w:r w:rsidRPr="00824F74">
        <w:rPr>
          <w:rStyle w:val="author"/>
          <w:rFonts w:eastAsia="Times New Roman"/>
          <w:iCs/>
          <w:sz w:val="24"/>
          <w:szCs w:val="24"/>
        </w:rPr>
        <w:t>A.,</w:t>
      </w:r>
      <w:r>
        <w:rPr>
          <w:rStyle w:val="author"/>
          <w:rFonts w:eastAsia="Times New Roman"/>
          <w:iCs/>
          <w:sz w:val="24"/>
          <w:szCs w:val="24"/>
        </w:rPr>
        <w:t xml:space="preserve"> E.D. Reinhardt, N.L. Crookston, S.J. </w:t>
      </w:r>
      <w:proofErr w:type="spellStart"/>
      <w:r>
        <w:rPr>
          <w:rStyle w:val="author"/>
          <w:rFonts w:eastAsia="Times New Roman"/>
          <w:iCs/>
          <w:sz w:val="24"/>
          <w:szCs w:val="24"/>
        </w:rPr>
        <w:t>Beukema</w:t>
      </w:r>
      <w:proofErr w:type="spellEnd"/>
      <w:r>
        <w:rPr>
          <w:rStyle w:val="author"/>
          <w:rFonts w:eastAsia="Times New Roman"/>
          <w:iCs/>
          <w:sz w:val="24"/>
          <w:szCs w:val="24"/>
        </w:rPr>
        <w:t xml:space="preserve">, W.A. </w:t>
      </w:r>
      <w:proofErr w:type="spellStart"/>
      <w:r>
        <w:rPr>
          <w:rStyle w:val="author"/>
          <w:rFonts w:eastAsia="Times New Roman"/>
          <w:iCs/>
          <w:sz w:val="24"/>
          <w:szCs w:val="24"/>
        </w:rPr>
        <w:t>Kurz</w:t>
      </w:r>
      <w:proofErr w:type="spellEnd"/>
      <w:r>
        <w:rPr>
          <w:rStyle w:val="author"/>
          <w:rFonts w:eastAsia="Times New Roman"/>
          <w:iCs/>
          <w:sz w:val="24"/>
          <w:szCs w:val="24"/>
        </w:rPr>
        <w:t>, J.A. Greenough, D.C.</w:t>
      </w:r>
      <w:r w:rsidRPr="00824F74">
        <w:rPr>
          <w:rStyle w:val="author"/>
          <w:rFonts w:eastAsia="Times New Roman"/>
          <w:iCs/>
          <w:sz w:val="24"/>
          <w:szCs w:val="24"/>
        </w:rPr>
        <w:t xml:space="preserve">E. Robinson, </w:t>
      </w:r>
      <w:r>
        <w:rPr>
          <w:rStyle w:val="HTMLCite"/>
          <w:rFonts w:eastAsia="Times New Roman"/>
          <w:i w:val="0"/>
          <w:sz w:val="24"/>
          <w:szCs w:val="24"/>
        </w:rPr>
        <w:t>and</w:t>
      </w:r>
      <w:r w:rsidRPr="00824F74">
        <w:rPr>
          <w:rStyle w:val="HTMLCite"/>
          <w:rFonts w:eastAsia="Times New Roman"/>
          <w:sz w:val="24"/>
          <w:szCs w:val="24"/>
        </w:rPr>
        <w:t xml:space="preserve"> </w:t>
      </w:r>
      <w:r>
        <w:rPr>
          <w:rStyle w:val="author"/>
          <w:rFonts w:eastAsia="Times New Roman"/>
          <w:iCs/>
          <w:sz w:val="24"/>
          <w:szCs w:val="24"/>
        </w:rPr>
        <w:t>D.</w:t>
      </w:r>
      <w:r w:rsidRPr="00824F74">
        <w:rPr>
          <w:rStyle w:val="author"/>
          <w:rFonts w:eastAsia="Times New Roman"/>
          <w:iCs/>
          <w:sz w:val="24"/>
          <w:szCs w:val="24"/>
        </w:rPr>
        <w:t xml:space="preserve">C. Lutes. </w:t>
      </w:r>
      <w:r w:rsidRPr="00824F74">
        <w:rPr>
          <w:rStyle w:val="pubyear"/>
          <w:rFonts w:eastAsia="Times New Roman"/>
          <w:iCs/>
          <w:sz w:val="24"/>
          <w:szCs w:val="24"/>
        </w:rPr>
        <w:t>2010</w:t>
      </w:r>
      <w:r w:rsidRPr="00824F74">
        <w:rPr>
          <w:rStyle w:val="HTMLCite"/>
          <w:rFonts w:eastAsia="Times New Roman"/>
          <w:sz w:val="24"/>
          <w:szCs w:val="24"/>
        </w:rPr>
        <w:t xml:space="preserve">. </w:t>
      </w:r>
      <w:r w:rsidRPr="00824F74">
        <w:rPr>
          <w:rStyle w:val="journaltitle"/>
          <w:rFonts w:eastAsia="Times New Roman"/>
          <w:iCs/>
          <w:sz w:val="24"/>
          <w:szCs w:val="24"/>
        </w:rPr>
        <w:t>The fire and fuels extension to the forest vegetation simulator: updated model documentation</w:t>
      </w:r>
      <w:r w:rsidRPr="00824F74">
        <w:rPr>
          <w:rStyle w:val="HTMLCite"/>
          <w:rFonts w:eastAsia="Times New Roman"/>
          <w:sz w:val="24"/>
          <w:szCs w:val="24"/>
        </w:rPr>
        <w:t xml:space="preserve">. </w:t>
      </w:r>
      <w:r w:rsidRPr="008C501E">
        <w:rPr>
          <w:rStyle w:val="HTMLCite"/>
          <w:rFonts w:eastAsia="Times New Roman"/>
          <w:i w:val="0"/>
          <w:sz w:val="24"/>
          <w:szCs w:val="24"/>
        </w:rPr>
        <w:t>USDA Forest Service, Forest Management Service Center</w:t>
      </w:r>
      <w:r w:rsidRPr="008C501E">
        <w:rPr>
          <w:rStyle w:val="HTMLCite"/>
          <w:rFonts w:eastAsia="Times New Roman"/>
          <w:sz w:val="24"/>
          <w:szCs w:val="24"/>
        </w:rPr>
        <w:t xml:space="preserve">, </w:t>
      </w:r>
      <w:r w:rsidRPr="008C501E">
        <w:rPr>
          <w:rStyle w:val="publisherlocation"/>
          <w:rFonts w:eastAsia="Times New Roman"/>
          <w:iCs/>
          <w:sz w:val="24"/>
          <w:szCs w:val="24"/>
        </w:rPr>
        <w:t>Fort Collins</w:t>
      </w:r>
      <w:r w:rsidRPr="008C501E">
        <w:rPr>
          <w:rStyle w:val="publisherlocation"/>
          <w:rFonts w:eastAsia="Times New Roman"/>
          <w:i/>
          <w:iCs/>
          <w:sz w:val="24"/>
          <w:szCs w:val="24"/>
        </w:rPr>
        <w:t xml:space="preserve">, CO. 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Keane, R.E., S.F. Arno, and J.</w:t>
      </w:r>
      <w:r w:rsidRPr="00824F74">
        <w:rPr>
          <w:rFonts w:eastAsia="Times New Roman"/>
          <w:sz w:val="24"/>
          <w:szCs w:val="24"/>
        </w:rPr>
        <w:t xml:space="preserve">K. Brown. 1989. FIRESUM—an ecological process model for fire succession in western conifer forests. USDA Forest Service, Intermountain Research Station General Technical Report INT-266, Ogden, UT. 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Turner, M.G., T.G. </w:t>
      </w:r>
      <w:proofErr w:type="spellStart"/>
      <w:r>
        <w:rPr>
          <w:rFonts w:eastAsia="Times New Roman"/>
          <w:sz w:val="24"/>
          <w:szCs w:val="24"/>
        </w:rPr>
        <w:t>Whitby</w:t>
      </w:r>
      <w:proofErr w:type="spellEnd"/>
      <w:r>
        <w:rPr>
          <w:rFonts w:eastAsia="Times New Roman"/>
          <w:sz w:val="24"/>
          <w:szCs w:val="24"/>
        </w:rPr>
        <w:t>, D.B. Tinker, and W.</w:t>
      </w:r>
      <w:r w:rsidRPr="00824F74">
        <w:rPr>
          <w:rFonts w:eastAsia="Times New Roman"/>
          <w:sz w:val="24"/>
          <w:szCs w:val="24"/>
        </w:rPr>
        <w:t xml:space="preserve">H. </w:t>
      </w:r>
      <w:proofErr w:type="spellStart"/>
      <w:r w:rsidRPr="00824F74">
        <w:rPr>
          <w:rFonts w:eastAsia="Times New Roman"/>
          <w:sz w:val="24"/>
          <w:szCs w:val="24"/>
        </w:rPr>
        <w:t>Romme</w:t>
      </w:r>
      <w:proofErr w:type="spellEnd"/>
      <w:r w:rsidRPr="00824F74">
        <w:rPr>
          <w:rFonts w:eastAsia="Times New Roman"/>
          <w:sz w:val="24"/>
          <w:szCs w:val="24"/>
        </w:rPr>
        <w:t>. 2016. Twenty-four years after the Yellowstone Fires: Are postfire lodgepole pine stands converging in struc</w:t>
      </w:r>
      <w:r>
        <w:rPr>
          <w:rFonts w:eastAsia="Times New Roman"/>
          <w:sz w:val="24"/>
          <w:szCs w:val="24"/>
        </w:rPr>
        <w:t>ture and function? Ecology 97</w:t>
      </w:r>
      <w:r w:rsidRPr="00824F74">
        <w:rPr>
          <w:rFonts w:eastAsia="Times New Roman"/>
          <w:sz w:val="24"/>
          <w:szCs w:val="24"/>
        </w:rPr>
        <w:t>:1260-1273.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Kashian</w:t>
      </w:r>
      <w:proofErr w:type="spellEnd"/>
      <w:r>
        <w:rPr>
          <w:rFonts w:eastAsia="Times New Roman"/>
          <w:sz w:val="24"/>
          <w:szCs w:val="24"/>
        </w:rPr>
        <w:t>, D.M., M.</w:t>
      </w:r>
      <w:r w:rsidRPr="00824F74">
        <w:rPr>
          <w:rFonts w:eastAsia="Times New Roman"/>
          <w:sz w:val="24"/>
          <w:szCs w:val="24"/>
        </w:rPr>
        <w:t xml:space="preserve">G. Turner, and W.H. </w:t>
      </w:r>
      <w:proofErr w:type="spellStart"/>
      <w:r w:rsidRPr="00824F74">
        <w:rPr>
          <w:rFonts w:eastAsia="Times New Roman"/>
          <w:sz w:val="24"/>
          <w:szCs w:val="24"/>
        </w:rPr>
        <w:t>Romme</w:t>
      </w:r>
      <w:proofErr w:type="spellEnd"/>
      <w:r w:rsidRPr="00824F74">
        <w:rPr>
          <w:rFonts w:eastAsia="Times New Roman"/>
          <w:sz w:val="24"/>
          <w:szCs w:val="24"/>
        </w:rPr>
        <w:t xml:space="preserve">. 2005. Variability in leaf area and </w:t>
      </w:r>
      <w:proofErr w:type="spellStart"/>
      <w:r w:rsidRPr="00824F74">
        <w:rPr>
          <w:rFonts w:eastAsia="Times New Roman"/>
          <w:sz w:val="24"/>
          <w:szCs w:val="24"/>
        </w:rPr>
        <w:t>stemwood</w:t>
      </w:r>
      <w:proofErr w:type="spellEnd"/>
      <w:r w:rsidRPr="00824F74">
        <w:rPr>
          <w:rFonts w:eastAsia="Times New Roman"/>
          <w:sz w:val="24"/>
          <w:szCs w:val="24"/>
        </w:rPr>
        <w:t xml:space="preserve"> increment along a 300-year </w:t>
      </w:r>
      <w:proofErr w:type="spellStart"/>
      <w:r w:rsidRPr="00824F74">
        <w:rPr>
          <w:rFonts w:eastAsia="Times New Roman"/>
          <w:sz w:val="24"/>
          <w:szCs w:val="24"/>
        </w:rPr>
        <w:t>lodgepone</w:t>
      </w:r>
      <w:proofErr w:type="spellEnd"/>
      <w:r w:rsidRPr="00824F74">
        <w:rPr>
          <w:rFonts w:eastAsia="Times New Roman"/>
          <w:sz w:val="24"/>
          <w:szCs w:val="24"/>
        </w:rPr>
        <w:t xml:space="preserve"> pine </w:t>
      </w:r>
      <w:proofErr w:type="spellStart"/>
      <w:r w:rsidRPr="00824F74">
        <w:rPr>
          <w:rFonts w:eastAsia="Times New Roman"/>
          <w:sz w:val="24"/>
          <w:szCs w:val="24"/>
        </w:rPr>
        <w:t>chronosequence</w:t>
      </w:r>
      <w:proofErr w:type="spellEnd"/>
      <w:r w:rsidRPr="00824F74">
        <w:rPr>
          <w:rFonts w:eastAsia="Times New Roman"/>
          <w:sz w:val="24"/>
          <w:szCs w:val="24"/>
        </w:rPr>
        <w:t>. Ecosystems 8:48-61.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lastRenderedPageBreak/>
        <w:t>Kashian</w:t>
      </w:r>
      <w:proofErr w:type="spellEnd"/>
      <w:r>
        <w:rPr>
          <w:rFonts w:eastAsia="Times New Roman"/>
          <w:sz w:val="24"/>
          <w:szCs w:val="24"/>
        </w:rPr>
        <w:t xml:space="preserve">, D.M., W.H. </w:t>
      </w:r>
      <w:proofErr w:type="spellStart"/>
      <w:r>
        <w:rPr>
          <w:rFonts w:eastAsia="Times New Roman"/>
          <w:sz w:val="24"/>
          <w:szCs w:val="24"/>
        </w:rPr>
        <w:t>Romme</w:t>
      </w:r>
      <w:proofErr w:type="spellEnd"/>
      <w:r>
        <w:rPr>
          <w:rFonts w:eastAsia="Times New Roman"/>
          <w:sz w:val="24"/>
          <w:szCs w:val="24"/>
        </w:rPr>
        <w:t>, D.B. Tinker, M.G. Turner and M.</w:t>
      </w:r>
      <w:r w:rsidRPr="00824F74">
        <w:rPr>
          <w:rFonts w:eastAsia="Times New Roman"/>
          <w:sz w:val="24"/>
          <w:szCs w:val="24"/>
        </w:rPr>
        <w:t xml:space="preserve">G. Ryan. 2013. Post-fire changes in forest carbon storage over a 300-year </w:t>
      </w:r>
      <w:proofErr w:type="spellStart"/>
      <w:r w:rsidRPr="00824F74">
        <w:rPr>
          <w:rFonts w:eastAsia="Times New Roman"/>
          <w:sz w:val="24"/>
          <w:szCs w:val="24"/>
        </w:rPr>
        <w:t>chronosequence</w:t>
      </w:r>
      <w:proofErr w:type="spellEnd"/>
      <w:r w:rsidRPr="00824F74">
        <w:rPr>
          <w:rFonts w:eastAsia="Times New Roman"/>
          <w:sz w:val="24"/>
          <w:szCs w:val="24"/>
        </w:rPr>
        <w:t xml:space="preserve"> of </w:t>
      </w:r>
      <w:r w:rsidRPr="00824F74">
        <w:rPr>
          <w:rStyle w:val="Emphasis"/>
          <w:rFonts w:eastAsia="Times New Roman"/>
          <w:sz w:val="24"/>
          <w:szCs w:val="24"/>
        </w:rPr>
        <w:t xml:space="preserve">Pinus </w:t>
      </w:r>
      <w:proofErr w:type="spellStart"/>
      <w:r w:rsidRPr="00824F74">
        <w:rPr>
          <w:rStyle w:val="Emphasis"/>
          <w:rFonts w:eastAsia="Times New Roman"/>
          <w:sz w:val="24"/>
          <w:szCs w:val="24"/>
        </w:rPr>
        <w:t>contorta</w:t>
      </w:r>
      <w:proofErr w:type="spellEnd"/>
      <w:r w:rsidRPr="00824F74">
        <w:rPr>
          <w:rFonts w:eastAsia="Times New Roman"/>
          <w:sz w:val="24"/>
          <w:szCs w:val="24"/>
        </w:rPr>
        <w:t>-dominated forests. Ecological Monographs 83:49–66.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Donato, D.C., B.J. Harvey, and M.</w:t>
      </w:r>
      <w:r w:rsidRPr="00824F74">
        <w:rPr>
          <w:rFonts w:eastAsia="Times New Roman"/>
          <w:sz w:val="24"/>
          <w:szCs w:val="24"/>
        </w:rPr>
        <w:t>G. Turner. 2016. Regeneration of lower-montane forests a quarter-century aft</w:t>
      </w:r>
      <w:r>
        <w:rPr>
          <w:rFonts w:eastAsia="Times New Roman"/>
          <w:sz w:val="24"/>
          <w:szCs w:val="24"/>
        </w:rPr>
        <w:t>er the 1988 Yellowstone Fires: A</w:t>
      </w:r>
      <w:r w:rsidRPr="00824F74">
        <w:rPr>
          <w:rFonts w:eastAsia="Times New Roman"/>
          <w:sz w:val="24"/>
          <w:szCs w:val="24"/>
        </w:rPr>
        <w:t xml:space="preserve"> fire-catalyzed shift in</w:t>
      </w:r>
      <w:r>
        <w:rPr>
          <w:rFonts w:eastAsia="Times New Roman"/>
          <w:sz w:val="24"/>
          <w:szCs w:val="24"/>
        </w:rPr>
        <w:t xml:space="preserve"> lower </w:t>
      </w:r>
      <w:proofErr w:type="spellStart"/>
      <w:r>
        <w:rPr>
          <w:rFonts w:eastAsia="Times New Roman"/>
          <w:sz w:val="24"/>
          <w:szCs w:val="24"/>
        </w:rPr>
        <w:t>treelines</w:t>
      </w:r>
      <w:proofErr w:type="spellEnd"/>
      <w:r>
        <w:rPr>
          <w:rFonts w:eastAsia="Times New Roman"/>
          <w:sz w:val="24"/>
          <w:szCs w:val="24"/>
        </w:rPr>
        <w:t xml:space="preserve">? Ecosphere </w:t>
      </w:r>
      <w:proofErr w:type="gramStart"/>
      <w:r>
        <w:rPr>
          <w:rFonts w:eastAsia="Times New Roman"/>
          <w:sz w:val="24"/>
          <w:szCs w:val="24"/>
        </w:rPr>
        <w:t>7</w:t>
      </w:r>
      <w:r w:rsidRPr="00824F74">
        <w:rPr>
          <w:rFonts w:eastAsia="Times New Roman"/>
          <w:sz w:val="24"/>
          <w:szCs w:val="24"/>
        </w:rPr>
        <w:t>:e</w:t>
      </w:r>
      <w:proofErr w:type="gramEnd"/>
      <w:r w:rsidRPr="00824F74">
        <w:rPr>
          <w:rFonts w:eastAsia="Times New Roman"/>
          <w:sz w:val="24"/>
          <w:szCs w:val="24"/>
        </w:rPr>
        <w:t>01410. 10.1002/ecs2.1410.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Donato, D.C., B.J. Harvey, M. Simard, W.H. </w:t>
      </w:r>
      <w:proofErr w:type="spellStart"/>
      <w:r>
        <w:rPr>
          <w:rFonts w:eastAsia="Times New Roman"/>
          <w:sz w:val="24"/>
          <w:szCs w:val="24"/>
        </w:rPr>
        <w:t>Romme</w:t>
      </w:r>
      <w:proofErr w:type="spellEnd"/>
      <w:r>
        <w:rPr>
          <w:rFonts w:eastAsia="Times New Roman"/>
          <w:sz w:val="24"/>
          <w:szCs w:val="24"/>
        </w:rPr>
        <w:t xml:space="preserve"> and M.</w:t>
      </w:r>
      <w:r w:rsidRPr="00824F74">
        <w:rPr>
          <w:rFonts w:eastAsia="Times New Roman"/>
          <w:sz w:val="24"/>
          <w:szCs w:val="24"/>
        </w:rPr>
        <w:t>G. Turner. 2013. Bark beetle effects on fuel profiles across a range of stand structures in Douglas-fir forests of Greater Yellowstone, USA. Ecological Applications 23:3–20.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Style w:val="journaltitle"/>
          <w:rFonts w:eastAsia="Times New Roman"/>
          <w:iCs/>
          <w:sz w:val="24"/>
          <w:szCs w:val="24"/>
        </w:rPr>
      </w:pPr>
      <w:r w:rsidRPr="00824F74">
        <w:rPr>
          <w:rStyle w:val="groupname"/>
          <w:rFonts w:eastAsia="Times New Roman"/>
          <w:iCs/>
          <w:sz w:val="24"/>
          <w:szCs w:val="24"/>
        </w:rPr>
        <w:t>USDA Forest Service</w:t>
      </w:r>
      <w:r w:rsidRPr="00824F74">
        <w:rPr>
          <w:rStyle w:val="HTMLCite"/>
          <w:rFonts w:eastAsia="Times New Roman"/>
          <w:sz w:val="24"/>
          <w:szCs w:val="24"/>
        </w:rPr>
        <w:t xml:space="preserve">. </w:t>
      </w:r>
      <w:r w:rsidRPr="00824F74">
        <w:rPr>
          <w:rStyle w:val="pubyear"/>
          <w:rFonts w:eastAsia="Times New Roman"/>
          <w:iCs/>
          <w:sz w:val="24"/>
          <w:szCs w:val="24"/>
        </w:rPr>
        <w:t>2016</w:t>
      </w:r>
      <w:r w:rsidRPr="00824F74">
        <w:rPr>
          <w:rStyle w:val="HTMLCite"/>
          <w:rFonts w:eastAsia="Times New Roman"/>
          <w:sz w:val="24"/>
          <w:szCs w:val="24"/>
        </w:rPr>
        <w:t xml:space="preserve">. </w:t>
      </w:r>
      <w:r w:rsidRPr="00824F74">
        <w:rPr>
          <w:rStyle w:val="articletitle"/>
          <w:rFonts w:eastAsia="Times New Roman"/>
          <w:iCs/>
          <w:sz w:val="24"/>
          <w:szCs w:val="24"/>
        </w:rPr>
        <w:t xml:space="preserve">Forest inventory and analysis national program - data and tools. </w:t>
      </w:r>
      <w:r w:rsidRPr="00824F74">
        <w:rPr>
          <w:rStyle w:val="journaltitle"/>
          <w:rFonts w:eastAsia="Times New Roman"/>
          <w:iCs/>
          <w:sz w:val="24"/>
          <w:szCs w:val="24"/>
        </w:rPr>
        <w:t xml:space="preserve">FIA data mart. Available: </w:t>
      </w:r>
      <w:hyperlink r:id="rId6" w:history="1">
        <w:r w:rsidRPr="00824F74">
          <w:rPr>
            <w:rStyle w:val="Hyperlink"/>
            <w:rFonts w:eastAsia="Times New Roman"/>
            <w:iCs/>
            <w:sz w:val="24"/>
            <w:szCs w:val="24"/>
          </w:rPr>
          <w:t>http://apps.fs.fed.us/fiadb-downloads/datamart.html</w:t>
        </w:r>
      </w:hyperlink>
      <w:r w:rsidRPr="00824F74">
        <w:rPr>
          <w:rStyle w:val="journaltitle"/>
          <w:rFonts w:eastAsia="Times New Roman"/>
          <w:iCs/>
          <w:sz w:val="24"/>
          <w:szCs w:val="24"/>
        </w:rPr>
        <w:t xml:space="preserve"> </w:t>
      </w:r>
      <w:r w:rsidRPr="00824F74">
        <w:rPr>
          <w:rFonts w:eastAsia="Times New Roman"/>
          <w:sz w:val="24"/>
          <w:szCs w:val="24"/>
        </w:rPr>
        <w:t>(1 September 2016).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Cole, D.</w:t>
      </w:r>
      <w:r w:rsidRPr="00824F74">
        <w:rPr>
          <w:rFonts w:eastAsia="Times New Roman"/>
          <w:sz w:val="24"/>
          <w:szCs w:val="24"/>
        </w:rPr>
        <w:t>M. 1971. A cubic-foot stand volume equation for lodgepole pine in Montana and Idaho. USDA Forest Service, Intermountain Forest and Range Experiment Station Research Note INT-150, Ogden, UT.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proofErr w:type="spellStart"/>
      <w:r w:rsidRPr="00824F74">
        <w:rPr>
          <w:rFonts w:eastAsia="Times New Roman"/>
          <w:sz w:val="24"/>
          <w:szCs w:val="24"/>
        </w:rPr>
        <w:t>Rustagi</w:t>
      </w:r>
      <w:proofErr w:type="spellEnd"/>
      <w:r w:rsidRPr="00824F74">
        <w:rPr>
          <w:rFonts w:eastAsia="Times New Roman"/>
          <w:sz w:val="24"/>
          <w:szCs w:val="24"/>
        </w:rPr>
        <w:t>, K</w:t>
      </w:r>
      <w:r>
        <w:rPr>
          <w:rFonts w:eastAsia="Times New Roman"/>
          <w:sz w:val="24"/>
          <w:szCs w:val="24"/>
        </w:rPr>
        <w:t>.P., and R.</w:t>
      </w:r>
      <w:r w:rsidRPr="00824F74">
        <w:rPr>
          <w:rFonts w:eastAsia="Times New Roman"/>
          <w:sz w:val="24"/>
          <w:szCs w:val="24"/>
        </w:rPr>
        <w:t xml:space="preserve">S. Loveless Jr. 1991. Compatible variable-form volume and stem-profile equations for Douglas-fir. </w:t>
      </w:r>
      <w:r>
        <w:rPr>
          <w:rFonts w:eastAsia="Times New Roman"/>
          <w:iCs/>
          <w:sz w:val="24"/>
          <w:szCs w:val="24"/>
        </w:rPr>
        <w:t>Canadian Journal o</w:t>
      </w:r>
      <w:r w:rsidRPr="00824F74">
        <w:rPr>
          <w:rFonts w:eastAsia="Times New Roman"/>
          <w:iCs/>
          <w:sz w:val="24"/>
          <w:szCs w:val="24"/>
        </w:rPr>
        <w:t>f Forest Research</w:t>
      </w:r>
      <w:r>
        <w:rPr>
          <w:rFonts w:eastAsia="Times New Roman"/>
          <w:sz w:val="24"/>
          <w:szCs w:val="24"/>
        </w:rPr>
        <w:t xml:space="preserve"> 21</w:t>
      </w:r>
      <w:r w:rsidRPr="00824F74">
        <w:rPr>
          <w:rFonts w:eastAsia="Times New Roman"/>
          <w:sz w:val="24"/>
          <w:szCs w:val="24"/>
        </w:rPr>
        <w:t>:143-151.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Adekunle, V.A. J., K.N. Nair, A.K. Srivastava, and N.</w:t>
      </w:r>
      <w:r w:rsidRPr="00824F74">
        <w:rPr>
          <w:rFonts w:eastAsia="Times New Roman"/>
          <w:sz w:val="24"/>
          <w:szCs w:val="24"/>
        </w:rPr>
        <w:t xml:space="preserve">K. Singh. 2013. Models and form factors for stand volume estimation in natural forest ecosystems: a case study of </w:t>
      </w:r>
      <w:proofErr w:type="spellStart"/>
      <w:r w:rsidRPr="00824F74">
        <w:rPr>
          <w:rFonts w:eastAsia="Times New Roman"/>
          <w:sz w:val="24"/>
          <w:szCs w:val="24"/>
        </w:rPr>
        <w:t>Katarniaghat</w:t>
      </w:r>
      <w:proofErr w:type="spellEnd"/>
      <w:r w:rsidRPr="00824F74">
        <w:rPr>
          <w:rFonts w:eastAsia="Times New Roman"/>
          <w:sz w:val="24"/>
          <w:szCs w:val="24"/>
        </w:rPr>
        <w:t xml:space="preserve"> Wildlife Sanctuary (KGWS), </w:t>
      </w:r>
      <w:proofErr w:type="spellStart"/>
      <w:r w:rsidRPr="00824F74">
        <w:rPr>
          <w:rFonts w:eastAsia="Times New Roman"/>
          <w:sz w:val="24"/>
          <w:szCs w:val="24"/>
        </w:rPr>
        <w:t>Bahraich</w:t>
      </w:r>
      <w:proofErr w:type="spellEnd"/>
      <w:r w:rsidRPr="00824F74">
        <w:rPr>
          <w:rFonts w:eastAsia="Times New Roman"/>
          <w:sz w:val="24"/>
          <w:szCs w:val="24"/>
        </w:rPr>
        <w:t xml:space="preserve"> District, India. </w:t>
      </w:r>
      <w:r w:rsidRPr="00824F74">
        <w:rPr>
          <w:rFonts w:eastAsia="Times New Roman"/>
          <w:iCs/>
          <w:sz w:val="24"/>
          <w:szCs w:val="24"/>
        </w:rPr>
        <w:t>Journal of Forestry Research</w:t>
      </w:r>
      <w:r w:rsidRPr="00824F74">
        <w:rPr>
          <w:rFonts w:eastAsia="Times New Roman"/>
          <w:sz w:val="24"/>
          <w:szCs w:val="24"/>
        </w:rPr>
        <w:t xml:space="preserve"> 24(2):217-226.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 w:rsidRPr="00824F74">
        <w:rPr>
          <w:rFonts w:eastAsia="Times New Roman"/>
          <w:sz w:val="24"/>
          <w:szCs w:val="24"/>
        </w:rPr>
        <w:t xml:space="preserve">Harmon, M. and J. Franklin. 2015. Dendrometer studies for stand volume and height measurements of trees of the western US, 1976 to 1993. Long-Term Ecological Research. </w:t>
      </w:r>
      <w:r w:rsidRPr="00824F74">
        <w:rPr>
          <w:rFonts w:eastAsia="Times New Roman"/>
          <w:sz w:val="24"/>
          <w:szCs w:val="24"/>
        </w:rPr>
        <w:lastRenderedPageBreak/>
        <w:t xml:space="preserve">Forest Science Data Bank, Corvallis, OR. [Database]. Available: </w:t>
      </w:r>
      <w:hyperlink r:id="rId7" w:history="1">
        <w:r w:rsidRPr="00824F74">
          <w:rPr>
            <w:rStyle w:val="Hyperlink"/>
            <w:rFonts w:eastAsia="Times New Roman"/>
            <w:sz w:val="24"/>
            <w:szCs w:val="24"/>
          </w:rPr>
          <w:t>http://andrewsforest.oregonstate.edu/data/abstract.cfm?dbcode=TV009</w:t>
        </w:r>
      </w:hyperlink>
      <w:r w:rsidRPr="00824F74">
        <w:rPr>
          <w:rFonts w:eastAsia="Times New Roman"/>
          <w:sz w:val="24"/>
          <w:szCs w:val="24"/>
        </w:rPr>
        <w:t xml:space="preserve"> (19 August 2016).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iCs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Edminster</w:t>
      </w:r>
      <w:proofErr w:type="spellEnd"/>
      <w:r>
        <w:rPr>
          <w:rFonts w:eastAsia="Times New Roman"/>
          <w:sz w:val="24"/>
          <w:szCs w:val="24"/>
        </w:rPr>
        <w:t>, C.B., H.T. Mowrer, and T.</w:t>
      </w:r>
      <w:r w:rsidRPr="00824F74">
        <w:rPr>
          <w:rFonts w:eastAsia="Times New Roman"/>
          <w:sz w:val="24"/>
          <w:szCs w:val="24"/>
        </w:rPr>
        <w:t>E. Hinds. 1982. Volume tables and point-sampling</w:t>
      </w:r>
      <w:r>
        <w:rPr>
          <w:rFonts w:eastAsia="Times New Roman"/>
          <w:sz w:val="24"/>
          <w:szCs w:val="24"/>
        </w:rPr>
        <w:t xml:space="preserve"> factors for aspen in Colorado (</w:t>
      </w:r>
      <w:proofErr w:type="spellStart"/>
      <w:r w:rsidRPr="008C501E">
        <w:rPr>
          <w:rFonts w:eastAsia="Times New Roman"/>
          <w:i/>
          <w:sz w:val="24"/>
          <w:szCs w:val="24"/>
        </w:rPr>
        <w:t>Populus</w:t>
      </w:r>
      <w:proofErr w:type="spellEnd"/>
      <w:r w:rsidRPr="008C501E">
        <w:rPr>
          <w:rFonts w:eastAsia="Times New Roman"/>
          <w:i/>
          <w:sz w:val="24"/>
          <w:szCs w:val="24"/>
        </w:rPr>
        <w:t xml:space="preserve"> </w:t>
      </w:r>
      <w:proofErr w:type="spellStart"/>
      <w:r w:rsidRPr="008C501E">
        <w:rPr>
          <w:rFonts w:eastAsia="Times New Roman"/>
          <w:i/>
          <w:sz w:val="24"/>
          <w:szCs w:val="24"/>
        </w:rPr>
        <w:t>tremuloides</w:t>
      </w:r>
      <w:proofErr w:type="spellEnd"/>
      <w:r>
        <w:rPr>
          <w:rFonts w:eastAsia="Times New Roman"/>
          <w:sz w:val="24"/>
          <w:szCs w:val="24"/>
        </w:rPr>
        <w:t>)</w:t>
      </w:r>
      <w:r w:rsidRPr="00824F74">
        <w:rPr>
          <w:rFonts w:eastAsia="Times New Roman"/>
          <w:sz w:val="24"/>
          <w:szCs w:val="24"/>
        </w:rPr>
        <w:t xml:space="preserve">. </w:t>
      </w:r>
      <w:r w:rsidRPr="00824F74">
        <w:rPr>
          <w:rFonts w:eastAsia="Times New Roman"/>
          <w:iCs/>
          <w:sz w:val="24"/>
          <w:szCs w:val="24"/>
        </w:rPr>
        <w:t>USDA Forest Service, Rocky Mountain Forest and Range Experiment Station Research Paper RM-232, Fort Collins, CO.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Pearson, J.A., T.J. Fahey, and D.</w:t>
      </w:r>
      <w:r w:rsidRPr="00824F74">
        <w:rPr>
          <w:rFonts w:eastAsia="Times New Roman"/>
          <w:sz w:val="24"/>
          <w:szCs w:val="24"/>
        </w:rPr>
        <w:t xml:space="preserve">H. Knight. 1984. Biomass and leaf area in contrasting lodgepole pine forests. </w:t>
      </w:r>
      <w:r w:rsidRPr="00824F74">
        <w:rPr>
          <w:rFonts w:eastAsia="Times New Roman"/>
          <w:iCs/>
          <w:sz w:val="24"/>
          <w:szCs w:val="24"/>
        </w:rPr>
        <w:t>Canadian Journal of Forest Research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14</w:t>
      </w:r>
      <w:r w:rsidRPr="00824F74">
        <w:rPr>
          <w:rFonts w:eastAsia="Times New Roman"/>
          <w:sz w:val="24"/>
          <w:szCs w:val="24"/>
        </w:rPr>
        <w:t>:259-265.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Jenkins, J.</w:t>
      </w:r>
      <w:r w:rsidRPr="00824F74">
        <w:rPr>
          <w:rFonts w:eastAsia="Times New Roman"/>
          <w:sz w:val="24"/>
          <w:szCs w:val="24"/>
        </w:rPr>
        <w:t xml:space="preserve">C., </w:t>
      </w:r>
      <w:r>
        <w:rPr>
          <w:rFonts w:eastAsia="Times New Roman"/>
          <w:sz w:val="24"/>
          <w:szCs w:val="24"/>
        </w:rPr>
        <w:t xml:space="preserve">D.C. </w:t>
      </w:r>
      <w:proofErr w:type="spellStart"/>
      <w:r>
        <w:rPr>
          <w:rFonts w:eastAsia="Times New Roman"/>
          <w:sz w:val="24"/>
          <w:szCs w:val="24"/>
        </w:rPr>
        <w:t>Chojnacky</w:t>
      </w:r>
      <w:proofErr w:type="spellEnd"/>
      <w:r>
        <w:rPr>
          <w:rFonts w:eastAsia="Times New Roman"/>
          <w:sz w:val="24"/>
          <w:szCs w:val="24"/>
        </w:rPr>
        <w:t>, L.S. Heath, and R.</w:t>
      </w:r>
      <w:r w:rsidRPr="00824F74">
        <w:rPr>
          <w:rFonts w:eastAsia="Times New Roman"/>
          <w:sz w:val="24"/>
          <w:szCs w:val="24"/>
        </w:rPr>
        <w:t xml:space="preserve">A. </w:t>
      </w:r>
      <w:proofErr w:type="spellStart"/>
      <w:r w:rsidRPr="00824F74">
        <w:rPr>
          <w:rFonts w:eastAsia="Times New Roman"/>
          <w:sz w:val="24"/>
          <w:szCs w:val="24"/>
        </w:rPr>
        <w:t>Birdsey</w:t>
      </w:r>
      <w:proofErr w:type="spellEnd"/>
      <w:r w:rsidRPr="00824F74">
        <w:rPr>
          <w:rFonts w:eastAsia="Times New Roman"/>
          <w:sz w:val="24"/>
          <w:szCs w:val="24"/>
        </w:rPr>
        <w:t xml:space="preserve">. 2004. Comprehensive database of diameter-based biomass regressions for North American tree species. USDA Forest Service, Northeastern Research Station </w:t>
      </w:r>
      <w:r w:rsidRPr="00824F74">
        <w:rPr>
          <w:rFonts w:eastAsia="Times New Roman"/>
          <w:iCs/>
          <w:sz w:val="24"/>
          <w:szCs w:val="24"/>
        </w:rPr>
        <w:t>General Technical Report NE-319, Newtown Square, PA.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sz w:val="24"/>
          <w:szCs w:val="24"/>
        </w:rPr>
      </w:pPr>
      <w:r w:rsidRPr="00824F74">
        <w:rPr>
          <w:rFonts w:eastAsia="Times New Roman"/>
          <w:sz w:val="24"/>
          <w:szCs w:val="24"/>
        </w:rPr>
        <w:t>Mar</w:t>
      </w:r>
      <w:r>
        <w:rPr>
          <w:rFonts w:eastAsia="Times New Roman"/>
          <w:sz w:val="24"/>
          <w:szCs w:val="24"/>
        </w:rPr>
        <w:t>shall, P.</w:t>
      </w:r>
      <w:r w:rsidRPr="00824F74">
        <w:rPr>
          <w:rFonts w:eastAsia="Times New Roman"/>
          <w:sz w:val="24"/>
          <w:szCs w:val="24"/>
        </w:rPr>
        <w:t xml:space="preserve">L., and Y. Wang. 1995. Above ground tree biomass of interior uneven-aged Douglas-fir stands. </w:t>
      </w:r>
      <w:r w:rsidRPr="00824F74">
        <w:rPr>
          <w:sz w:val="24"/>
          <w:szCs w:val="24"/>
        </w:rPr>
        <w:t xml:space="preserve">University of British Columbia, Working Paper WP-1.5-003, Vancouver, BC. 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Landis, T.D. and E.</w:t>
      </w:r>
      <w:r w:rsidRPr="00824F74">
        <w:rPr>
          <w:rFonts w:eastAsia="Times New Roman"/>
          <w:sz w:val="24"/>
          <w:szCs w:val="24"/>
        </w:rPr>
        <w:t xml:space="preserve">W. </w:t>
      </w:r>
      <w:proofErr w:type="spellStart"/>
      <w:r w:rsidRPr="00824F74">
        <w:rPr>
          <w:rFonts w:eastAsia="Times New Roman"/>
          <w:sz w:val="24"/>
          <w:szCs w:val="24"/>
        </w:rPr>
        <w:t>Mogren</w:t>
      </w:r>
      <w:proofErr w:type="spellEnd"/>
      <w:r w:rsidRPr="00824F74">
        <w:rPr>
          <w:rFonts w:eastAsia="Times New Roman"/>
          <w:sz w:val="24"/>
          <w:szCs w:val="24"/>
        </w:rPr>
        <w:t xml:space="preserve">. 1975. Notes: Tree strata biomass of subalpine spruce-fir stands in southwestern Colorado. </w:t>
      </w:r>
      <w:r w:rsidRPr="00824F74">
        <w:rPr>
          <w:rFonts w:eastAsia="Times New Roman"/>
          <w:iCs/>
          <w:sz w:val="24"/>
          <w:szCs w:val="24"/>
        </w:rPr>
        <w:t>Forest Science</w:t>
      </w:r>
      <w:r w:rsidRPr="00824F7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Cs/>
          <w:sz w:val="24"/>
          <w:szCs w:val="24"/>
        </w:rPr>
        <w:t>21</w:t>
      </w:r>
      <w:r w:rsidRPr="00824F74">
        <w:rPr>
          <w:rFonts w:eastAsia="Times New Roman"/>
          <w:sz w:val="24"/>
          <w:szCs w:val="24"/>
        </w:rPr>
        <w:t>: 9-12.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 w:rsidRPr="00824F74">
        <w:rPr>
          <w:rFonts w:eastAsia="Times New Roman"/>
          <w:sz w:val="24"/>
          <w:szCs w:val="24"/>
        </w:rPr>
        <w:t xml:space="preserve">Harmon, M. and J. Means. 2015. Pacific Northwest plant biomass component equation library. Long-Term Ecological Research. Forest Science Data Bank, Corvallis, OR. [Database]. Available: </w:t>
      </w:r>
      <w:hyperlink r:id="rId8" w:history="1">
        <w:r w:rsidRPr="00824F74">
          <w:rPr>
            <w:rStyle w:val="Hyperlink"/>
            <w:rFonts w:eastAsia="Times New Roman"/>
            <w:sz w:val="24"/>
            <w:szCs w:val="24"/>
          </w:rPr>
          <w:t>http://andrewsforest.oregonstate.edu/data/abstract.cfm?dbcode=TP072</w:t>
        </w:r>
      </w:hyperlink>
      <w:r w:rsidRPr="00824F74">
        <w:rPr>
          <w:rFonts w:eastAsia="Times New Roman"/>
          <w:sz w:val="24"/>
          <w:szCs w:val="24"/>
        </w:rPr>
        <w:t xml:space="preserve"> (1 September 2016).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Ter-</w:t>
      </w:r>
      <w:proofErr w:type="spellStart"/>
      <w:r>
        <w:rPr>
          <w:rFonts w:eastAsia="Times New Roman"/>
          <w:sz w:val="24"/>
          <w:szCs w:val="24"/>
        </w:rPr>
        <w:t>Mikaelian</w:t>
      </w:r>
      <w:proofErr w:type="spellEnd"/>
      <w:r>
        <w:rPr>
          <w:rFonts w:eastAsia="Times New Roman"/>
          <w:sz w:val="24"/>
          <w:szCs w:val="24"/>
        </w:rPr>
        <w:t>, M.T. and M.</w:t>
      </w:r>
      <w:r w:rsidRPr="00824F74">
        <w:rPr>
          <w:rFonts w:eastAsia="Times New Roman"/>
          <w:sz w:val="24"/>
          <w:szCs w:val="24"/>
        </w:rPr>
        <w:t xml:space="preserve">D. </w:t>
      </w:r>
      <w:proofErr w:type="spellStart"/>
      <w:r w:rsidRPr="00824F74">
        <w:rPr>
          <w:rFonts w:eastAsia="Times New Roman"/>
          <w:sz w:val="24"/>
          <w:szCs w:val="24"/>
        </w:rPr>
        <w:t>Korzukhin</w:t>
      </w:r>
      <w:proofErr w:type="spellEnd"/>
      <w:r w:rsidRPr="00824F74">
        <w:rPr>
          <w:rFonts w:eastAsia="Times New Roman"/>
          <w:sz w:val="24"/>
          <w:szCs w:val="24"/>
        </w:rPr>
        <w:t xml:space="preserve">. 1997. Biomass equations for sixty-five North American tree species. </w:t>
      </w:r>
      <w:r w:rsidRPr="00824F74">
        <w:rPr>
          <w:rFonts w:eastAsia="Times New Roman"/>
          <w:iCs/>
          <w:sz w:val="24"/>
          <w:szCs w:val="24"/>
        </w:rPr>
        <w:t>Forest Ecology and Management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97</w:t>
      </w:r>
      <w:r w:rsidRPr="00824F74">
        <w:rPr>
          <w:rFonts w:eastAsia="Times New Roman"/>
          <w:sz w:val="24"/>
          <w:szCs w:val="24"/>
        </w:rPr>
        <w:t>:1-24.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Johnston, R.S. and D.</w:t>
      </w:r>
      <w:r w:rsidRPr="00824F74">
        <w:rPr>
          <w:rFonts w:eastAsia="Times New Roman"/>
          <w:sz w:val="24"/>
          <w:szCs w:val="24"/>
        </w:rPr>
        <w:t xml:space="preserve">L. </w:t>
      </w:r>
      <w:proofErr w:type="spellStart"/>
      <w:r w:rsidRPr="00824F74">
        <w:rPr>
          <w:rFonts w:eastAsia="Times New Roman"/>
          <w:sz w:val="24"/>
          <w:szCs w:val="24"/>
        </w:rPr>
        <w:t>Bartos</w:t>
      </w:r>
      <w:proofErr w:type="spellEnd"/>
      <w:r w:rsidRPr="00824F74">
        <w:rPr>
          <w:rFonts w:eastAsia="Times New Roman"/>
          <w:sz w:val="24"/>
          <w:szCs w:val="24"/>
        </w:rPr>
        <w:t xml:space="preserve">. 1977. </w:t>
      </w:r>
      <w:r w:rsidRPr="00824F74">
        <w:rPr>
          <w:rFonts w:eastAsia="Times New Roman"/>
          <w:iCs/>
          <w:sz w:val="24"/>
          <w:szCs w:val="24"/>
        </w:rPr>
        <w:t>Summary of nutrient and biomass data from two aspen sites in western United States</w:t>
      </w:r>
      <w:r w:rsidRPr="00824F74">
        <w:rPr>
          <w:rFonts w:eastAsia="Times New Roman"/>
          <w:sz w:val="24"/>
          <w:szCs w:val="24"/>
        </w:rPr>
        <w:t>. USDA Forest Service, Intermountain Forest and Range Experiment Station Research Note INT-227, Ogden, UT.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Brown, J.</w:t>
      </w:r>
      <w:r w:rsidRPr="00824F74">
        <w:rPr>
          <w:rFonts w:eastAsia="Times New Roman"/>
          <w:sz w:val="24"/>
          <w:szCs w:val="24"/>
        </w:rPr>
        <w:t>K. 1978. Weight and density of crowns of Rocky Mountain conifers. USDA Forest Service, Intermountain Forest and Range Experiment Station Research Paper INT-197, Ogden, UT.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Chojnacky</w:t>
      </w:r>
      <w:proofErr w:type="spellEnd"/>
      <w:r>
        <w:rPr>
          <w:rFonts w:eastAsia="Times New Roman"/>
          <w:sz w:val="24"/>
          <w:szCs w:val="24"/>
        </w:rPr>
        <w:t>, D.C., L.</w:t>
      </w:r>
      <w:r w:rsidRPr="00824F74">
        <w:rPr>
          <w:rFonts w:eastAsia="Times New Roman"/>
          <w:sz w:val="24"/>
          <w:szCs w:val="24"/>
        </w:rPr>
        <w:t>S. Heath, a</w:t>
      </w:r>
      <w:r>
        <w:rPr>
          <w:rFonts w:eastAsia="Times New Roman"/>
          <w:sz w:val="24"/>
          <w:szCs w:val="24"/>
        </w:rPr>
        <w:t>nd J.</w:t>
      </w:r>
      <w:r w:rsidRPr="00824F74">
        <w:rPr>
          <w:rFonts w:eastAsia="Times New Roman"/>
          <w:sz w:val="24"/>
          <w:szCs w:val="24"/>
        </w:rPr>
        <w:t xml:space="preserve">C. Jenkins. 2014. Updated generalized biomass equations for North American tree species. </w:t>
      </w:r>
      <w:r w:rsidRPr="00824F74">
        <w:rPr>
          <w:rFonts w:eastAsia="Times New Roman"/>
          <w:iCs/>
          <w:sz w:val="24"/>
          <w:szCs w:val="24"/>
        </w:rPr>
        <w:t>Forestry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87</w:t>
      </w:r>
      <w:r w:rsidRPr="00824F74">
        <w:rPr>
          <w:rFonts w:eastAsia="Times New Roman"/>
          <w:sz w:val="24"/>
          <w:szCs w:val="24"/>
        </w:rPr>
        <w:t>:129-151.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Keane, R.</w:t>
      </w:r>
      <w:r w:rsidRPr="00824F74">
        <w:rPr>
          <w:rFonts w:eastAsia="Times New Roman"/>
          <w:sz w:val="24"/>
          <w:szCs w:val="24"/>
        </w:rPr>
        <w:t xml:space="preserve">E., M. Austin, C. Field, A. </w:t>
      </w:r>
      <w:proofErr w:type="spellStart"/>
      <w:r w:rsidRPr="00824F74">
        <w:rPr>
          <w:rFonts w:eastAsia="Times New Roman"/>
          <w:sz w:val="24"/>
          <w:szCs w:val="24"/>
        </w:rPr>
        <w:t>Huth</w:t>
      </w:r>
      <w:proofErr w:type="spellEnd"/>
      <w:r w:rsidRPr="00824F74">
        <w:rPr>
          <w:rFonts w:eastAsia="Times New Roman"/>
          <w:sz w:val="24"/>
          <w:szCs w:val="24"/>
        </w:rPr>
        <w:t xml:space="preserve">, M. J. </w:t>
      </w:r>
      <w:proofErr w:type="spellStart"/>
      <w:r w:rsidRPr="00824F74">
        <w:rPr>
          <w:rFonts w:eastAsia="Times New Roman"/>
          <w:sz w:val="24"/>
          <w:szCs w:val="24"/>
        </w:rPr>
        <w:t>Lexer</w:t>
      </w:r>
      <w:proofErr w:type="spellEnd"/>
      <w:r w:rsidRPr="00824F74">
        <w:rPr>
          <w:rFonts w:eastAsia="Times New Roman"/>
          <w:sz w:val="24"/>
          <w:szCs w:val="24"/>
        </w:rPr>
        <w:t xml:space="preserve">, D. Peters, A. Solomon, and P. Wyckoff. 2001. Tree mortality in gap models: Application to climate change. </w:t>
      </w:r>
      <w:r w:rsidRPr="00824F74">
        <w:rPr>
          <w:rFonts w:eastAsia="Times New Roman"/>
          <w:iCs/>
          <w:sz w:val="24"/>
          <w:szCs w:val="24"/>
        </w:rPr>
        <w:t>Climatic Change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51</w:t>
      </w:r>
      <w:r w:rsidRPr="00824F74">
        <w:rPr>
          <w:rFonts w:eastAsia="Times New Roman"/>
          <w:sz w:val="24"/>
          <w:szCs w:val="24"/>
        </w:rPr>
        <w:t>:509-540.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Keane, R.E., R.A. </w:t>
      </w:r>
      <w:proofErr w:type="spellStart"/>
      <w:r>
        <w:rPr>
          <w:rFonts w:eastAsia="Times New Roman"/>
          <w:sz w:val="24"/>
          <w:szCs w:val="24"/>
        </w:rPr>
        <w:t>Loehman</w:t>
      </w:r>
      <w:proofErr w:type="spellEnd"/>
      <w:r>
        <w:rPr>
          <w:rFonts w:eastAsia="Times New Roman"/>
          <w:sz w:val="24"/>
          <w:szCs w:val="24"/>
        </w:rPr>
        <w:t>, and L.</w:t>
      </w:r>
      <w:r w:rsidRPr="00824F74">
        <w:rPr>
          <w:rFonts w:eastAsia="Times New Roman"/>
          <w:sz w:val="24"/>
          <w:szCs w:val="24"/>
        </w:rPr>
        <w:t>M. Holsinger. 2011. The FireBGCv2 landscape fire and succession model: A research simulation platform for exploring fire and vegetation dynamics. USDA Forest Service, Rocky Mountain Research Station General Technical Report RMRS-GTR-255, Fort Collins, CO.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Style w:val="publisherlocation"/>
          <w:rFonts w:eastAsia="Times New Roman"/>
          <w:iCs/>
          <w:sz w:val="24"/>
          <w:szCs w:val="24"/>
        </w:rPr>
      </w:pPr>
      <w:proofErr w:type="spellStart"/>
      <w:r>
        <w:rPr>
          <w:rStyle w:val="publisherlocation"/>
          <w:rFonts w:eastAsia="Times New Roman"/>
          <w:iCs/>
          <w:sz w:val="24"/>
          <w:szCs w:val="24"/>
        </w:rPr>
        <w:t>Romme</w:t>
      </w:r>
      <w:proofErr w:type="spellEnd"/>
      <w:r>
        <w:rPr>
          <w:rStyle w:val="publisherlocation"/>
          <w:rFonts w:eastAsia="Times New Roman"/>
          <w:iCs/>
          <w:sz w:val="24"/>
          <w:szCs w:val="24"/>
        </w:rPr>
        <w:t>, W.</w:t>
      </w:r>
      <w:r w:rsidRPr="00824F74">
        <w:rPr>
          <w:rStyle w:val="publisherlocation"/>
          <w:rFonts w:eastAsia="Times New Roman"/>
          <w:iCs/>
          <w:sz w:val="24"/>
          <w:szCs w:val="24"/>
        </w:rPr>
        <w:t>H. Personal communication. February 2, 2016.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Alexander, R.</w:t>
      </w:r>
      <w:r w:rsidRPr="00824F74">
        <w:rPr>
          <w:rFonts w:eastAsia="Times New Roman"/>
          <w:sz w:val="24"/>
          <w:szCs w:val="24"/>
        </w:rPr>
        <w:t>R. 1987. Ecology, silviculture, and management of the Engelmann spruce-subalpine fir type in the central and southern Rocky Mountains. USDA Forest Service, Agriculture Handbook 659.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lastRenderedPageBreak/>
        <w:t>DeByle</w:t>
      </w:r>
      <w:proofErr w:type="spellEnd"/>
      <w:r>
        <w:rPr>
          <w:rFonts w:eastAsia="Times New Roman"/>
          <w:sz w:val="24"/>
          <w:szCs w:val="24"/>
        </w:rPr>
        <w:t>, N.V. and R.</w:t>
      </w:r>
      <w:r w:rsidRPr="00824F74">
        <w:rPr>
          <w:rFonts w:eastAsia="Times New Roman"/>
          <w:sz w:val="24"/>
          <w:szCs w:val="24"/>
        </w:rPr>
        <w:t xml:space="preserve">P. </w:t>
      </w:r>
      <w:proofErr w:type="spellStart"/>
      <w:r w:rsidRPr="00824F74">
        <w:rPr>
          <w:rFonts w:eastAsia="Times New Roman"/>
          <w:sz w:val="24"/>
          <w:szCs w:val="24"/>
        </w:rPr>
        <w:t>Winokur</w:t>
      </w:r>
      <w:proofErr w:type="spellEnd"/>
      <w:r w:rsidRPr="00824F74">
        <w:rPr>
          <w:rFonts w:eastAsia="Times New Roman"/>
          <w:sz w:val="24"/>
          <w:szCs w:val="24"/>
        </w:rPr>
        <w:t>. 1985. Aspen: ecology and management in the western United States. USDA Forest Service, Rocky Mountain Forest and Range Experiment Station General Technical Report RM-119, Fort Collins, CO.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Burns, R.M. and B.H. </w:t>
      </w:r>
      <w:proofErr w:type="spellStart"/>
      <w:r>
        <w:rPr>
          <w:rFonts w:eastAsia="Times New Roman"/>
          <w:sz w:val="24"/>
          <w:szCs w:val="24"/>
        </w:rPr>
        <w:t>Honkala</w:t>
      </w:r>
      <w:proofErr w:type="spellEnd"/>
      <w:r>
        <w:rPr>
          <w:rFonts w:eastAsia="Times New Roman"/>
          <w:sz w:val="24"/>
          <w:szCs w:val="24"/>
        </w:rPr>
        <w:t>.</w:t>
      </w:r>
      <w:r w:rsidRPr="00824F74">
        <w:rPr>
          <w:rFonts w:eastAsia="Times New Roman"/>
          <w:sz w:val="24"/>
          <w:szCs w:val="24"/>
        </w:rPr>
        <w:t xml:space="preserve"> 1990. Silvics of North America: 1. </w:t>
      </w:r>
      <w:r w:rsidRPr="00824F74">
        <w:rPr>
          <w:rFonts w:eastAsia="Times New Roman"/>
          <w:iCs/>
          <w:sz w:val="24"/>
          <w:szCs w:val="24"/>
        </w:rPr>
        <w:t>Conifers; 2. Hardwoods. USDA Agriculture Handbook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654</w:t>
      </w:r>
      <w:r w:rsidRPr="00824F74">
        <w:rPr>
          <w:rFonts w:eastAsia="Times New Roman"/>
          <w:sz w:val="24"/>
          <w:szCs w:val="24"/>
        </w:rPr>
        <w:t>, Washington, DC.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Landsberg</w:t>
      </w:r>
      <w:proofErr w:type="spellEnd"/>
      <w:r>
        <w:rPr>
          <w:rFonts w:eastAsia="Times New Roman"/>
          <w:sz w:val="24"/>
          <w:szCs w:val="24"/>
        </w:rPr>
        <w:t>, J.J. and R.</w:t>
      </w:r>
      <w:r w:rsidRPr="00824F74">
        <w:rPr>
          <w:rFonts w:eastAsia="Times New Roman"/>
          <w:sz w:val="24"/>
          <w:szCs w:val="24"/>
        </w:rPr>
        <w:t xml:space="preserve">H. Waring. 1997. A generalized model of forest productivity using simplified concepts of radiation-use efficiency, carbon balance and partitioning. </w:t>
      </w:r>
      <w:r w:rsidRPr="00824F74">
        <w:rPr>
          <w:rFonts w:eastAsia="Times New Roman"/>
          <w:iCs/>
          <w:sz w:val="24"/>
          <w:szCs w:val="24"/>
        </w:rPr>
        <w:t>Forest Ecology and Management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95</w:t>
      </w:r>
      <w:r w:rsidRPr="00824F74">
        <w:rPr>
          <w:rFonts w:eastAsia="Times New Roman"/>
          <w:sz w:val="24"/>
          <w:szCs w:val="24"/>
        </w:rPr>
        <w:t>:209-228.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 w:rsidRPr="00824F74">
        <w:rPr>
          <w:rFonts w:eastAsia="Times New Roman"/>
          <w:sz w:val="24"/>
          <w:szCs w:val="24"/>
        </w:rPr>
        <w:t xml:space="preserve">Koch, P. 1996. Lodgepole pine in North America. Volumes I, II and III. Forest Products Society, Madison, WI. 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Edmonds, R.</w:t>
      </w:r>
      <w:r w:rsidRPr="00824F74">
        <w:rPr>
          <w:rFonts w:eastAsia="Times New Roman"/>
          <w:sz w:val="24"/>
          <w:szCs w:val="24"/>
        </w:rPr>
        <w:t xml:space="preserve">L., editor. 1982. Analysis of coniferous forest ecosystems in the western United States. US/IBP Synthesis Series 14. Hutchinson Ross Publishing Co, Stroudsburg, PA. 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Krueger, K.W. and W.</w:t>
      </w:r>
      <w:r w:rsidRPr="00824F74">
        <w:rPr>
          <w:rFonts w:eastAsia="Times New Roman"/>
          <w:sz w:val="24"/>
          <w:szCs w:val="24"/>
        </w:rPr>
        <w:t xml:space="preserve">K. Ferrell. 1965. Comparative photosynthetic and respiratory responses to temperature and light by </w:t>
      </w:r>
      <w:proofErr w:type="spellStart"/>
      <w:r w:rsidRPr="00AE05A7">
        <w:rPr>
          <w:rFonts w:eastAsia="Times New Roman"/>
          <w:i/>
          <w:sz w:val="24"/>
          <w:szCs w:val="24"/>
        </w:rPr>
        <w:t>Pseudotsuga</w:t>
      </w:r>
      <w:proofErr w:type="spellEnd"/>
      <w:r w:rsidRPr="00AE05A7">
        <w:rPr>
          <w:rFonts w:eastAsia="Times New Roman"/>
          <w:i/>
          <w:sz w:val="24"/>
          <w:szCs w:val="24"/>
        </w:rPr>
        <w:t xml:space="preserve"> </w:t>
      </w:r>
      <w:proofErr w:type="spellStart"/>
      <w:r w:rsidRPr="00AE05A7">
        <w:rPr>
          <w:rFonts w:eastAsia="Times New Roman"/>
          <w:i/>
          <w:sz w:val="24"/>
          <w:szCs w:val="24"/>
        </w:rPr>
        <w:t>menziesii</w:t>
      </w:r>
      <w:proofErr w:type="spellEnd"/>
      <w:r w:rsidRPr="00824F74">
        <w:rPr>
          <w:rFonts w:eastAsia="Times New Roman"/>
          <w:sz w:val="24"/>
          <w:szCs w:val="24"/>
        </w:rPr>
        <w:t xml:space="preserve"> var. </w:t>
      </w:r>
      <w:proofErr w:type="spellStart"/>
      <w:r w:rsidRPr="00AE05A7">
        <w:rPr>
          <w:rFonts w:eastAsia="Times New Roman"/>
          <w:i/>
          <w:sz w:val="24"/>
          <w:szCs w:val="24"/>
        </w:rPr>
        <w:t>menziesii</w:t>
      </w:r>
      <w:proofErr w:type="spellEnd"/>
      <w:r w:rsidRPr="00AE05A7">
        <w:rPr>
          <w:rFonts w:eastAsia="Times New Roman"/>
          <w:i/>
          <w:sz w:val="24"/>
          <w:szCs w:val="24"/>
        </w:rPr>
        <w:t xml:space="preserve"> </w:t>
      </w:r>
      <w:r w:rsidRPr="00824F74">
        <w:rPr>
          <w:rFonts w:eastAsia="Times New Roman"/>
          <w:sz w:val="24"/>
          <w:szCs w:val="24"/>
        </w:rPr>
        <w:t xml:space="preserve">and var. </w:t>
      </w:r>
      <w:proofErr w:type="spellStart"/>
      <w:r w:rsidRPr="00AE05A7">
        <w:rPr>
          <w:rFonts w:eastAsia="Times New Roman"/>
          <w:i/>
          <w:sz w:val="24"/>
          <w:szCs w:val="24"/>
        </w:rPr>
        <w:t>glauca</w:t>
      </w:r>
      <w:proofErr w:type="spellEnd"/>
      <w:r w:rsidRPr="00824F74">
        <w:rPr>
          <w:rFonts w:eastAsia="Times New Roman"/>
          <w:sz w:val="24"/>
          <w:szCs w:val="24"/>
        </w:rPr>
        <w:t xml:space="preserve"> seedlings. </w:t>
      </w:r>
      <w:r w:rsidRPr="00824F74">
        <w:rPr>
          <w:rFonts w:eastAsia="Times New Roman"/>
          <w:iCs/>
          <w:sz w:val="24"/>
          <w:szCs w:val="24"/>
        </w:rPr>
        <w:t>Ecology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46</w:t>
      </w:r>
      <w:r w:rsidRPr="00824F74">
        <w:rPr>
          <w:rFonts w:eastAsia="Times New Roman"/>
          <w:sz w:val="24"/>
          <w:szCs w:val="24"/>
        </w:rPr>
        <w:t>:794-801.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DeLucia</w:t>
      </w:r>
      <w:proofErr w:type="spellEnd"/>
      <w:r>
        <w:rPr>
          <w:rFonts w:eastAsia="Times New Roman"/>
          <w:sz w:val="24"/>
          <w:szCs w:val="24"/>
        </w:rPr>
        <w:t>, E.H. and W.</w:t>
      </w:r>
      <w:r w:rsidRPr="00824F74">
        <w:rPr>
          <w:rFonts w:eastAsia="Times New Roman"/>
          <w:sz w:val="24"/>
          <w:szCs w:val="24"/>
        </w:rPr>
        <w:t xml:space="preserve">K. Smith. 1987. Air and soil temperature limitations on photosynthesis in Engelmann spruce during summer. </w:t>
      </w:r>
      <w:r w:rsidRPr="00824F74">
        <w:rPr>
          <w:rFonts w:eastAsia="Times New Roman"/>
          <w:iCs/>
          <w:sz w:val="24"/>
          <w:szCs w:val="24"/>
        </w:rPr>
        <w:t>Canadian Journal of Forest Research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17</w:t>
      </w:r>
      <w:r w:rsidRPr="00824F74">
        <w:rPr>
          <w:rFonts w:eastAsia="Times New Roman"/>
          <w:sz w:val="24"/>
          <w:szCs w:val="24"/>
        </w:rPr>
        <w:t>:527-533.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Foote, K.</w:t>
      </w:r>
      <w:r w:rsidRPr="00824F74">
        <w:rPr>
          <w:rFonts w:eastAsia="Times New Roman"/>
          <w:sz w:val="24"/>
          <w:szCs w:val="24"/>
        </w:rPr>
        <w:t xml:space="preserve">C. and M. </w:t>
      </w:r>
      <w:proofErr w:type="spellStart"/>
      <w:r w:rsidRPr="00824F74">
        <w:rPr>
          <w:rFonts w:eastAsia="Times New Roman"/>
          <w:sz w:val="24"/>
          <w:szCs w:val="24"/>
        </w:rPr>
        <w:t>Schaedle</w:t>
      </w:r>
      <w:proofErr w:type="spellEnd"/>
      <w:r w:rsidRPr="00824F74">
        <w:rPr>
          <w:rFonts w:eastAsia="Times New Roman"/>
          <w:sz w:val="24"/>
          <w:szCs w:val="24"/>
        </w:rPr>
        <w:t xml:space="preserve">. 1976. Physiological characteristics of photosynthesis and respiration in stems of </w:t>
      </w:r>
      <w:proofErr w:type="spellStart"/>
      <w:r w:rsidRPr="00AE05A7">
        <w:rPr>
          <w:rFonts w:eastAsia="Times New Roman"/>
          <w:i/>
          <w:sz w:val="24"/>
          <w:szCs w:val="24"/>
        </w:rPr>
        <w:t>Populus</w:t>
      </w:r>
      <w:proofErr w:type="spellEnd"/>
      <w:r w:rsidRPr="00AE05A7">
        <w:rPr>
          <w:rFonts w:eastAsia="Times New Roman"/>
          <w:i/>
          <w:sz w:val="24"/>
          <w:szCs w:val="24"/>
        </w:rPr>
        <w:t xml:space="preserve"> </w:t>
      </w:r>
      <w:proofErr w:type="spellStart"/>
      <w:r w:rsidRPr="00AE05A7">
        <w:rPr>
          <w:rFonts w:eastAsia="Times New Roman"/>
          <w:i/>
          <w:sz w:val="24"/>
          <w:szCs w:val="24"/>
        </w:rPr>
        <w:t>tremuloides</w:t>
      </w:r>
      <w:proofErr w:type="spellEnd"/>
      <w:r w:rsidRPr="00AE05A7">
        <w:rPr>
          <w:rFonts w:eastAsia="Times New Roman"/>
          <w:i/>
          <w:sz w:val="24"/>
          <w:szCs w:val="24"/>
        </w:rPr>
        <w:t xml:space="preserve"> </w:t>
      </w:r>
      <w:proofErr w:type="spellStart"/>
      <w:r w:rsidRPr="00AE05A7">
        <w:rPr>
          <w:rFonts w:eastAsia="Times New Roman"/>
          <w:i/>
          <w:sz w:val="24"/>
          <w:szCs w:val="24"/>
        </w:rPr>
        <w:t>Michx</w:t>
      </w:r>
      <w:proofErr w:type="spellEnd"/>
      <w:r w:rsidRPr="00824F74">
        <w:rPr>
          <w:rFonts w:eastAsia="Times New Roman"/>
          <w:sz w:val="24"/>
          <w:szCs w:val="24"/>
        </w:rPr>
        <w:t xml:space="preserve">. </w:t>
      </w:r>
      <w:r w:rsidRPr="00824F74">
        <w:rPr>
          <w:rFonts w:eastAsia="Times New Roman"/>
          <w:iCs/>
          <w:sz w:val="24"/>
          <w:szCs w:val="24"/>
        </w:rPr>
        <w:t>Plant Physiology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58</w:t>
      </w:r>
      <w:r w:rsidRPr="00824F74">
        <w:rPr>
          <w:rFonts w:eastAsia="Times New Roman"/>
          <w:sz w:val="24"/>
          <w:szCs w:val="24"/>
        </w:rPr>
        <w:t>:91-94.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Busing, R.T. and A.</w:t>
      </w:r>
      <w:r w:rsidRPr="00824F74">
        <w:rPr>
          <w:rFonts w:eastAsia="Times New Roman"/>
          <w:sz w:val="24"/>
          <w:szCs w:val="24"/>
        </w:rPr>
        <w:t xml:space="preserve">M. Solomon. 2006. </w:t>
      </w:r>
      <w:r w:rsidRPr="00824F74">
        <w:rPr>
          <w:rFonts w:eastAsia="Times New Roman"/>
          <w:iCs/>
          <w:sz w:val="24"/>
          <w:szCs w:val="24"/>
        </w:rPr>
        <w:t>Modeling the effects of fire frequency and severity on forests in the northwestern United States</w:t>
      </w:r>
      <w:r w:rsidRPr="00824F74">
        <w:rPr>
          <w:rFonts w:eastAsia="Times New Roman"/>
          <w:sz w:val="24"/>
          <w:szCs w:val="24"/>
        </w:rPr>
        <w:t>. US Geological Survey Scientific Investigations Report 2006-5061, Reston, VA.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Foster, A.C., H.H. </w:t>
      </w:r>
      <w:proofErr w:type="spellStart"/>
      <w:r>
        <w:rPr>
          <w:rFonts w:eastAsia="Times New Roman"/>
          <w:sz w:val="24"/>
          <w:szCs w:val="24"/>
        </w:rPr>
        <w:t>Shugart</w:t>
      </w:r>
      <w:proofErr w:type="spellEnd"/>
      <w:r>
        <w:rPr>
          <w:rFonts w:eastAsia="Times New Roman"/>
          <w:sz w:val="24"/>
          <w:szCs w:val="24"/>
        </w:rPr>
        <w:t>, and J.</w:t>
      </w:r>
      <w:r w:rsidRPr="00824F74">
        <w:rPr>
          <w:rFonts w:eastAsia="Times New Roman"/>
          <w:sz w:val="24"/>
          <w:szCs w:val="24"/>
        </w:rPr>
        <w:t xml:space="preserve">K. Shuman. 2016. Model-based evidence for cyclic phenomena in a high-elevation, two-species forest. </w:t>
      </w:r>
      <w:r w:rsidRPr="00824F74">
        <w:rPr>
          <w:rFonts w:eastAsia="Times New Roman"/>
          <w:iCs/>
          <w:sz w:val="24"/>
          <w:szCs w:val="24"/>
        </w:rPr>
        <w:t>Ecosystems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19</w:t>
      </w:r>
      <w:r w:rsidRPr="00824F74">
        <w:rPr>
          <w:rFonts w:eastAsia="Times New Roman"/>
          <w:sz w:val="24"/>
          <w:szCs w:val="24"/>
        </w:rPr>
        <w:t>:437-449.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Bradford, J.B., D.R. </w:t>
      </w:r>
      <w:proofErr w:type="spellStart"/>
      <w:r>
        <w:rPr>
          <w:rFonts w:eastAsia="Times New Roman"/>
          <w:sz w:val="24"/>
          <w:szCs w:val="24"/>
        </w:rPr>
        <w:t>Schlaepfer</w:t>
      </w:r>
      <w:proofErr w:type="spellEnd"/>
      <w:r>
        <w:rPr>
          <w:rFonts w:eastAsia="Times New Roman"/>
          <w:sz w:val="24"/>
          <w:szCs w:val="24"/>
        </w:rPr>
        <w:t>, and W.</w:t>
      </w:r>
      <w:r w:rsidRPr="00824F74">
        <w:rPr>
          <w:rFonts w:eastAsia="Times New Roman"/>
          <w:sz w:val="24"/>
          <w:szCs w:val="24"/>
        </w:rPr>
        <w:t xml:space="preserve">K. </w:t>
      </w:r>
      <w:proofErr w:type="spellStart"/>
      <w:r w:rsidRPr="00824F74">
        <w:rPr>
          <w:rFonts w:eastAsia="Times New Roman"/>
          <w:sz w:val="24"/>
          <w:szCs w:val="24"/>
        </w:rPr>
        <w:t>Lauenroth</w:t>
      </w:r>
      <w:proofErr w:type="spellEnd"/>
      <w:r w:rsidRPr="00824F74">
        <w:rPr>
          <w:rFonts w:eastAsia="Times New Roman"/>
          <w:sz w:val="24"/>
          <w:szCs w:val="24"/>
        </w:rPr>
        <w:t xml:space="preserve">. 2014. Ecohydrology of adjacent sagebrush and lodgepole pine ecosystems: The consequences of climate change and disturbance. </w:t>
      </w:r>
      <w:r w:rsidRPr="00824F74">
        <w:rPr>
          <w:rFonts w:eastAsia="Times New Roman"/>
          <w:iCs/>
          <w:sz w:val="24"/>
          <w:szCs w:val="24"/>
        </w:rPr>
        <w:t>Ecosystems</w:t>
      </w:r>
      <w:r w:rsidRPr="00824F74"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Cs/>
          <w:sz w:val="24"/>
          <w:szCs w:val="24"/>
        </w:rPr>
        <w:t>17</w:t>
      </w:r>
      <w:r w:rsidRPr="00824F74">
        <w:rPr>
          <w:rFonts w:eastAsia="Times New Roman"/>
          <w:sz w:val="24"/>
          <w:szCs w:val="24"/>
        </w:rPr>
        <w:t>:590-605.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Lassoie</w:t>
      </w:r>
      <w:proofErr w:type="spellEnd"/>
      <w:r>
        <w:rPr>
          <w:rFonts w:eastAsia="Times New Roman"/>
          <w:sz w:val="24"/>
          <w:szCs w:val="24"/>
        </w:rPr>
        <w:t>, J.P. and D.</w:t>
      </w:r>
      <w:r w:rsidRPr="00824F74">
        <w:rPr>
          <w:rFonts w:eastAsia="Times New Roman"/>
          <w:sz w:val="24"/>
          <w:szCs w:val="24"/>
        </w:rPr>
        <w:t xml:space="preserve">J. </w:t>
      </w:r>
      <w:proofErr w:type="spellStart"/>
      <w:r w:rsidRPr="00824F74">
        <w:rPr>
          <w:rFonts w:eastAsia="Times New Roman"/>
          <w:sz w:val="24"/>
          <w:szCs w:val="24"/>
        </w:rPr>
        <w:t>Salo</w:t>
      </w:r>
      <w:proofErr w:type="spellEnd"/>
      <w:r w:rsidRPr="00824F74">
        <w:rPr>
          <w:rFonts w:eastAsia="Times New Roman"/>
          <w:sz w:val="24"/>
          <w:szCs w:val="24"/>
        </w:rPr>
        <w:t xml:space="preserve">. 1981. Physiological response of large Douglas-fir to natural and induced soil water deficits. </w:t>
      </w:r>
      <w:r w:rsidRPr="00824F74">
        <w:rPr>
          <w:rFonts w:eastAsia="Times New Roman"/>
          <w:iCs/>
          <w:sz w:val="24"/>
          <w:szCs w:val="24"/>
        </w:rPr>
        <w:t>Canadian Journal of Forest Research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11</w:t>
      </w:r>
      <w:r w:rsidRPr="00824F74">
        <w:rPr>
          <w:rFonts w:eastAsia="Times New Roman"/>
          <w:sz w:val="24"/>
          <w:szCs w:val="24"/>
        </w:rPr>
        <w:t>:139-144.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Bonner, F.</w:t>
      </w:r>
      <w:r w:rsidRPr="00824F74">
        <w:rPr>
          <w:rFonts w:eastAsia="Times New Roman"/>
          <w:sz w:val="24"/>
          <w:szCs w:val="24"/>
        </w:rPr>
        <w:t xml:space="preserve">T. and R.P. </w:t>
      </w:r>
      <w:proofErr w:type="spellStart"/>
      <w:r w:rsidRPr="00824F74">
        <w:rPr>
          <w:rFonts w:eastAsia="Times New Roman"/>
          <w:sz w:val="24"/>
          <w:szCs w:val="24"/>
        </w:rPr>
        <w:t>Karrfalt</w:t>
      </w:r>
      <w:proofErr w:type="spellEnd"/>
      <w:r w:rsidRPr="00824F74">
        <w:rPr>
          <w:rFonts w:eastAsia="Times New Roman"/>
          <w:sz w:val="24"/>
          <w:szCs w:val="24"/>
        </w:rPr>
        <w:t xml:space="preserve">, editors. 2008. </w:t>
      </w:r>
      <w:r w:rsidRPr="00824F74">
        <w:rPr>
          <w:rFonts w:eastAsia="Times New Roman"/>
          <w:iCs/>
          <w:sz w:val="24"/>
          <w:szCs w:val="24"/>
        </w:rPr>
        <w:t>The woody plant seed manual</w:t>
      </w:r>
      <w:r w:rsidRPr="00824F74">
        <w:rPr>
          <w:rFonts w:eastAsia="Times New Roman"/>
          <w:sz w:val="24"/>
          <w:szCs w:val="24"/>
        </w:rPr>
        <w:t>. USDA Forest Service, Agriculture Handbook 727.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Style w:val="publisherlocation"/>
          <w:rFonts w:eastAsia="Times New Roman"/>
          <w:iCs/>
          <w:sz w:val="24"/>
          <w:szCs w:val="24"/>
        </w:rPr>
      </w:pPr>
      <w:proofErr w:type="spellStart"/>
      <w:r>
        <w:rPr>
          <w:rStyle w:val="publisherlocation"/>
          <w:rFonts w:eastAsia="Times New Roman"/>
          <w:iCs/>
          <w:sz w:val="24"/>
          <w:szCs w:val="24"/>
        </w:rPr>
        <w:t>Lindroth</w:t>
      </w:r>
      <w:proofErr w:type="spellEnd"/>
      <w:r>
        <w:rPr>
          <w:rStyle w:val="publisherlocation"/>
          <w:rFonts w:eastAsia="Times New Roman"/>
          <w:iCs/>
          <w:sz w:val="24"/>
          <w:szCs w:val="24"/>
        </w:rPr>
        <w:t>, R.</w:t>
      </w:r>
      <w:r w:rsidRPr="00824F74">
        <w:rPr>
          <w:rStyle w:val="publisherlocation"/>
          <w:rFonts w:eastAsia="Times New Roman"/>
          <w:iCs/>
          <w:sz w:val="24"/>
          <w:szCs w:val="24"/>
        </w:rPr>
        <w:t>L. Personal communication. August 26, 2016.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Boe</w:t>
      </w:r>
      <w:proofErr w:type="spellEnd"/>
      <w:r>
        <w:rPr>
          <w:rFonts w:eastAsia="Times New Roman"/>
          <w:sz w:val="24"/>
          <w:szCs w:val="24"/>
        </w:rPr>
        <w:t>, K.</w:t>
      </w:r>
      <w:r w:rsidRPr="00824F74">
        <w:rPr>
          <w:rFonts w:eastAsia="Times New Roman"/>
          <w:sz w:val="24"/>
          <w:szCs w:val="24"/>
        </w:rPr>
        <w:t xml:space="preserve">N. 1954. Periodicity of cone crops for five Montana conifers. Montana Academy of Sciences Proceedings 14:5-9. 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Haig, I.T., K.P. Davis, and R.</w:t>
      </w:r>
      <w:r w:rsidRPr="00824F74">
        <w:rPr>
          <w:rFonts w:eastAsia="Times New Roman"/>
          <w:sz w:val="24"/>
          <w:szCs w:val="24"/>
        </w:rPr>
        <w:t>H. Weidman. 1941. Natural regeneration in the western white pine type. USDA Technical Bulletin 767, Washington, DC.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Shearer, R.C. and J.</w:t>
      </w:r>
      <w:r w:rsidRPr="00824F74">
        <w:rPr>
          <w:rFonts w:eastAsia="Times New Roman"/>
          <w:sz w:val="24"/>
          <w:szCs w:val="24"/>
        </w:rPr>
        <w:t>A. Schmidt. 1991. Natural and planted regeneration of interior Douglas-fir in western Montana. Pages 217-226 in:</w:t>
      </w:r>
      <w:r w:rsidRPr="00824F74">
        <w:rPr>
          <w:rFonts w:eastAsia="Times New Roman"/>
          <w:i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D.M. Baumgartner and J.</w:t>
      </w:r>
      <w:r w:rsidRPr="00824F74">
        <w:rPr>
          <w:rFonts w:eastAsia="Times New Roman"/>
          <w:sz w:val="24"/>
          <w:szCs w:val="24"/>
        </w:rPr>
        <w:t>E. Lotan, editors. Proceedings – Interior Douglas-fir: The species and its management symposium, Spokane, WA.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Shearer, R.C. and W.</w:t>
      </w:r>
      <w:r w:rsidRPr="00824F74">
        <w:rPr>
          <w:rFonts w:eastAsia="Times New Roman"/>
          <w:sz w:val="24"/>
          <w:szCs w:val="24"/>
        </w:rPr>
        <w:t xml:space="preserve">C. Schmidt. 1970. Natural regeneration in Ponderosa Pine forests in western Montana. USDA Forest Service, </w:t>
      </w:r>
      <w:r w:rsidRPr="00824F74">
        <w:rPr>
          <w:rFonts w:eastAsia="Times New Roman"/>
          <w:iCs/>
          <w:sz w:val="24"/>
          <w:szCs w:val="24"/>
        </w:rPr>
        <w:t>Intermountain Forest Range Experiment Station</w:t>
      </w:r>
      <w:r w:rsidRPr="00824F74">
        <w:rPr>
          <w:rFonts w:eastAsia="Times New Roman"/>
          <w:sz w:val="24"/>
          <w:szCs w:val="24"/>
        </w:rPr>
        <w:t xml:space="preserve"> Research Paper INT-86, Ogden, UT.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Noble, D.</w:t>
      </w:r>
      <w:r w:rsidRPr="00824F74">
        <w:rPr>
          <w:rFonts w:eastAsia="Times New Roman"/>
          <w:sz w:val="24"/>
          <w:szCs w:val="24"/>
        </w:rPr>
        <w:t xml:space="preserve">L. and F. </w:t>
      </w:r>
      <w:proofErr w:type="spellStart"/>
      <w:r w:rsidRPr="00824F74">
        <w:rPr>
          <w:rFonts w:eastAsia="Times New Roman"/>
          <w:sz w:val="24"/>
          <w:szCs w:val="24"/>
        </w:rPr>
        <w:t>Ronco</w:t>
      </w:r>
      <w:proofErr w:type="spellEnd"/>
      <w:r w:rsidRPr="00824F74">
        <w:rPr>
          <w:rFonts w:eastAsia="Times New Roman"/>
          <w:sz w:val="24"/>
          <w:szCs w:val="24"/>
        </w:rPr>
        <w:t xml:space="preserve"> Jr. 1978. </w:t>
      </w:r>
      <w:proofErr w:type="spellStart"/>
      <w:r w:rsidRPr="00824F74">
        <w:rPr>
          <w:rFonts w:eastAsia="Times New Roman"/>
          <w:sz w:val="24"/>
          <w:szCs w:val="24"/>
        </w:rPr>
        <w:t>Seedfall</w:t>
      </w:r>
      <w:proofErr w:type="spellEnd"/>
      <w:r w:rsidRPr="00824F74">
        <w:rPr>
          <w:rFonts w:eastAsia="Times New Roman"/>
          <w:sz w:val="24"/>
          <w:szCs w:val="24"/>
        </w:rPr>
        <w:t xml:space="preserve"> and establishment of </w:t>
      </w:r>
      <w:proofErr w:type="spellStart"/>
      <w:r w:rsidRPr="00824F74">
        <w:rPr>
          <w:rFonts w:eastAsia="Times New Roman"/>
          <w:sz w:val="24"/>
          <w:szCs w:val="24"/>
        </w:rPr>
        <w:t>Englemann</w:t>
      </w:r>
      <w:proofErr w:type="spellEnd"/>
      <w:r w:rsidRPr="00824F74">
        <w:rPr>
          <w:rFonts w:eastAsia="Times New Roman"/>
          <w:sz w:val="24"/>
          <w:szCs w:val="24"/>
        </w:rPr>
        <w:t xml:space="preserve"> spruce and subalpine fir in </w:t>
      </w:r>
      <w:proofErr w:type="spellStart"/>
      <w:r w:rsidRPr="00824F74">
        <w:rPr>
          <w:rFonts w:eastAsia="Times New Roman"/>
          <w:sz w:val="24"/>
          <w:szCs w:val="24"/>
        </w:rPr>
        <w:t>clearcut</w:t>
      </w:r>
      <w:proofErr w:type="spellEnd"/>
      <w:r w:rsidRPr="00824F74">
        <w:rPr>
          <w:rFonts w:eastAsia="Times New Roman"/>
          <w:sz w:val="24"/>
          <w:szCs w:val="24"/>
        </w:rPr>
        <w:t xml:space="preserve"> openings in Colorado. </w:t>
      </w:r>
      <w:r w:rsidRPr="00824F74">
        <w:rPr>
          <w:rFonts w:eastAsia="Times New Roman"/>
          <w:iCs/>
          <w:sz w:val="24"/>
          <w:szCs w:val="24"/>
        </w:rPr>
        <w:t>USDA Forest Service, Rocky Mountain Forest and Range Experiment Station Research Paper RM-200, Fort Collins, CO</w:t>
      </w:r>
      <w:r w:rsidRPr="00824F74">
        <w:rPr>
          <w:rFonts w:eastAsia="Times New Roman"/>
          <w:sz w:val="24"/>
          <w:szCs w:val="24"/>
        </w:rPr>
        <w:t>.</w:t>
      </w:r>
    </w:p>
    <w:p w:rsidR="00940F2D" w:rsidRPr="00AE05A7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LeBarron</w:t>
      </w:r>
      <w:proofErr w:type="spellEnd"/>
      <w:r>
        <w:rPr>
          <w:rFonts w:eastAsia="Times New Roman"/>
          <w:sz w:val="24"/>
          <w:szCs w:val="24"/>
        </w:rPr>
        <w:t>, R.K. and G.</w:t>
      </w:r>
      <w:r w:rsidRPr="00824F74">
        <w:rPr>
          <w:rFonts w:eastAsia="Times New Roman"/>
          <w:sz w:val="24"/>
          <w:szCs w:val="24"/>
        </w:rPr>
        <w:t xml:space="preserve">M. Jemison. 1953. Ecology and silviculture of the Engelmann spruce-alpine fir type. </w:t>
      </w:r>
      <w:r w:rsidRPr="00824F74">
        <w:rPr>
          <w:rFonts w:eastAsia="Times New Roman"/>
          <w:iCs/>
          <w:sz w:val="24"/>
          <w:szCs w:val="24"/>
        </w:rPr>
        <w:t>Journal of Forestry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51</w:t>
      </w:r>
      <w:r w:rsidRPr="00824F74">
        <w:rPr>
          <w:rFonts w:eastAsia="Times New Roman"/>
          <w:sz w:val="24"/>
          <w:szCs w:val="24"/>
        </w:rPr>
        <w:t>:349-355.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 w:rsidRPr="00824F74">
        <w:rPr>
          <w:rFonts w:eastAsia="Times New Roman"/>
          <w:sz w:val="24"/>
          <w:szCs w:val="24"/>
        </w:rPr>
        <w:t>L</w:t>
      </w:r>
      <w:r>
        <w:rPr>
          <w:rFonts w:eastAsia="Times New Roman"/>
          <w:sz w:val="24"/>
          <w:szCs w:val="24"/>
        </w:rPr>
        <w:t>otan, J.E. and D.</w:t>
      </w:r>
      <w:r w:rsidRPr="00824F74">
        <w:rPr>
          <w:rFonts w:eastAsia="Times New Roman"/>
          <w:sz w:val="24"/>
          <w:szCs w:val="24"/>
        </w:rPr>
        <w:t xml:space="preserve">A. Perry. 1983. Ecology and regeneration of lodgepole pine. USDA Forest Service, </w:t>
      </w:r>
      <w:r w:rsidRPr="00824F74">
        <w:rPr>
          <w:rFonts w:eastAsia="Times New Roman"/>
          <w:iCs/>
          <w:sz w:val="24"/>
          <w:szCs w:val="24"/>
        </w:rPr>
        <w:t>Agriculture Handbook</w:t>
      </w:r>
      <w:r w:rsidRPr="00824F74">
        <w:rPr>
          <w:rFonts w:eastAsia="Times New Roman"/>
          <w:sz w:val="24"/>
          <w:szCs w:val="24"/>
        </w:rPr>
        <w:t xml:space="preserve"> 606.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 w:rsidRPr="00F346DB">
        <w:rPr>
          <w:rFonts w:eastAsia="Times New Roman"/>
          <w:sz w:val="24"/>
          <w:szCs w:val="24"/>
          <w:lang w:val="de-AT"/>
        </w:rPr>
        <w:t xml:space="preserve">Boyce, R.B. and L.F. Neuenschwander. </w:t>
      </w:r>
      <w:r w:rsidRPr="00824F74">
        <w:rPr>
          <w:rFonts w:eastAsia="Times New Roman"/>
          <w:sz w:val="24"/>
          <w:szCs w:val="24"/>
        </w:rPr>
        <w:t xml:space="preserve">1989. Douglas-fir germination and seedling establishment on burned and unburned seedbeds. Pages 3-5 in: </w:t>
      </w:r>
      <w:r>
        <w:rPr>
          <w:rFonts w:eastAsia="Times New Roman"/>
          <w:iCs/>
          <w:sz w:val="24"/>
          <w:szCs w:val="24"/>
        </w:rPr>
        <w:t>Baumgartner, D.</w:t>
      </w:r>
      <w:r w:rsidRPr="00824F74">
        <w:rPr>
          <w:rFonts w:eastAsia="Times New Roman"/>
          <w:iCs/>
          <w:sz w:val="24"/>
          <w:szCs w:val="24"/>
        </w:rPr>
        <w:t>M. et al., editors. Proceedings – Prescribed fire in the Intermountain region: Forest site preparation and range improvement, Spokane, WA</w:t>
      </w:r>
      <w:r w:rsidRPr="00824F74">
        <w:rPr>
          <w:rFonts w:eastAsia="Times New Roman"/>
          <w:sz w:val="24"/>
          <w:szCs w:val="24"/>
        </w:rPr>
        <w:t>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Style w:val="emphasistypesmallcaps"/>
          <w:rFonts w:eastAsia="Times New Roman"/>
          <w:sz w:val="24"/>
          <w:szCs w:val="24"/>
        </w:rPr>
        <w:t>Farmer, R.</w:t>
      </w:r>
      <w:r w:rsidRPr="00824F74">
        <w:rPr>
          <w:rStyle w:val="emphasistypesmallcaps"/>
          <w:rFonts w:eastAsia="Times New Roman"/>
          <w:sz w:val="24"/>
          <w:szCs w:val="24"/>
        </w:rPr>
        <w:t>E.</w:t>
      </w:r>
      <w:r w:rsidRPr="00824F74">
        <w:rPr>
          <w:rFonts w:eastAsia="Times New Roman"/>
          <w:sz w:val="24"/>
          <w:szCs w:val="24"/>
        </w:rPr>
        <w:t xml:space="preserve"> 1997. </w:t>
      </w:r>
      <w:r>
        <w:rPr>
          <w:rStyle w:val="Emphasis"/>
          <w:rFonts w:eastAsia="Times New Roman"/>
          <w:i w:val="0"/>
          <w:sz w:val="24"/>
          <w:szCs w:val="24"/>
        </w:rPr>
        <w:t>Seed Ecophysiology of Temperate and Boreal Z</w:t>
      </w:r>
      <w:r w:rsidRPr="00AE05A7">
        <w:rPr>
          <w:rStyle w:val="Emphasis"/>
          <w:rFonts w:eastAsia="Times New Roman"/>
          <w:i w:val="0"/>
          <w:sz w:val="24"/>
          <w:szCs w:val="24"/>
        </w:rPr>
        <w:t xml:space="preserve">one </w:t>
      </w:r>
      <w:r>
        <w:rPr>
          <w:rStyle w:val="Emphasis"/>
          <w:rFonts w:eastAsia="Times New Roman"/>
          <w:i w:val="0"/>
          <w:sz w:val="24"/>
          <w:szCs w:val="24"/>
        </w:rPr>
        <w:t>Forest T</w:t>
      </w:r>
      <w:r w:rsidRPr="00AE05A7">
        <w:rPr>
          <w:rStyle w:val="Emphasis"/>
          <w:rFonts w:eastAsia="Times New Roman"/>
          <w:i w:val="0"/>
          <w:sz w:val="24"/>
          <w:szCs w:val="24"/>
        </w:rPr>
        <w:t>rees</w:t>
      </w:r>
      <w:r w:rsidRPr="00824F74">
        <w:rPr>
          <w:rFonts w:eastAsia="Times New Roman"/>
          <w:i/>
          <w:sz w:val="24"/>
          <w:szCs w:val="24"/>
        </w:rPr>
        <w:t>.</w:t>
      </w:r>
      <w:r w:rsidRPr="00824F74">
        <w:rPr>
          <w:rFonts w:eastAsia="Times New Roman"/>
          <w:sz w:val="24"/>
          <w:szCs w:val="24"/>
        </w:rPr>
        <w:t xml:space="preserve"> St. Lucie Press, Delray Beach.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Noble, D.L. and R.</w:t>
      </w:r>
      <w:r w:rsidRPr="00824F74">
        <w:rPr>
          <w:rFonts w:eastAsia="Times New Roman"/>
          <w:sz w:val="24"/>
          <w:szCs w:val="24"/>
        </w:rPr>
        <w:t xml:space="preserve">R. Alexander. 1977. Environmental factors affecting natural regeneration of Engelmann spruce in the central Rocky Mountains. </w:t>
      </w:r>
      <w:r w:rsidRPr="00824F74">
        <w:rPr>
          <w:rFonts w:eastAsia="Times New Roman"/>
          <w:iCs/>
          <w:sz w:val="24"/>
          <w:szCs w:val="24"/>
        </w:rPr>
        <w:t>Forest Science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23</w:t>
      </w:r>
      <w:r w:rsidRPr="00824F74">
        <w:rPr>
          <w:rFonts w:eastAsia="Times New Roman"/>
          <w:sz w:val="24"/>
          <w:szCs w:val="24"/>
        </w:rPr>
        <w:t>:420-429.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Moles, A.</w:t>
      </w:r>
      <w:r w:rsidRPr="00824F74">
        <w:rPr>
          <w:rFonts w:eastAsia="Times New Roman"/>
          <w:sz w:val="24"/>
          <w:szCs w:val="24"/>
        </w:rPr>
        <w:t xml:space="preserve">T. and M. </w:t>
      </w:r>
      <w:proofErr w:type="spellStart"/>
      <w:r w:rsidRPr="00824F74">
        <w:rPr>
          <w:rFonts w:eastAsia="Times New Roman"/>
          <w:sz w:val="24"/>
          <w:szCs w:val="24"/>
        </w:rPr>
        <w:t>Westoby</w:t>
      </w:r>
      <w:proofErr w:type="spellEnd"/>
      <w:r w:rsidRPr="00824F74">
        <w:rPr>
          <w:rFonts w:eastAsia="Times New Roman"/>
          <w:sz w:val="24"/>
          <w:szCs w:val="24"/>
        </w:rPr>
        <w:t>. 2004. Se</w:t>
      </w:r>
      <w:r>
        <w:rPr>
          <w:rFonts w:eastAsia="Times New Roman"/>
          <w:sz w:val="24"/>
          <w:szCs w:val="24"/>
        </w:rPr>
        <w:t>edling survival and seed size: A</w:t>
      </w:r>
      <w:r w:rsidRPr="00824F74">
        <w:rPr>
          <w:rFonts w:eastAsia="Times New Roman"/>
          <w:sz w:val="24"/>
          <w:szCs w:val="24"/>
        </w:rPr>
        <w:t xml:space="preserve"> synthesis of the literature. </w:t>
      </w:r>
      <w:r w:rsidRPr="00824F74">
        <w:rPr>
          <w:rFonts w:eastAsia="Times New Roman"/>
          <w:iCs/>
          <w:sz w:val="24"/>
          <w:szCs w:val="24"/>
        </w:rPr>
        <w:t>Journal of Ecology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92</w:t>
      </w:r>
      <w:r w:rsidRPr="00824F74">
        <w:rPr>
          <w:rFonts w:eastAsia="Times New Roman"/>
          <w:sz w:val="24"/>
          <w:szCs w:val="24"/>
        </w:rPr>
        <w:t>:372-383.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 w:rsidRPr="00F346DB">
        <w:rPr>
          <w:rFonts w:eastAsia="Times New Roman"/>
          <w:sz w:val="24"/>
          <w:szCs w:val="24"/>
          <w:lang w:val="de-AT"/>
        </w:rPr>
        <w:lastRenderedPageBreak/>
        <w:t xml:space="preserve">Moles, A.T., D.S. Falster, M.R. Leishman, and M. Westoby. </w:t>
      </w:r>
      <w:r w:rsidRPr="00824F74">
        <w:rPr>
          <w:rFonts w:eastAsia="Times New Roman"/>
          <w:sz w:val="24"/>
          <w:szCs w:val="24"/>
        </w:rPr>
        <w:t xml:space="preserve">2004. Small-seeded species produce more seeds per square </w:t>
      </w:r>
      <w:proofErr w:type="spellStart"/>
      <w:r w:rsidRPr="00824F74">
        <w:rPr>
          <w:rFonts w:eastAsia="Times New Roman"/>
          <w:sz w:val="24"/>
          <w:szCs w:val="24"/>
        </w:rPr>
        <w:t>metre</w:t>
      </w:r>
      <w:proofErr w:type="spellEnd"/>
      <w:r w:rsidRPr="00824F74">
        <w:rPr>
          <w:rFonts w:eastAsia="Times New Roman"/>
          <w:sz w:val="24"/>
          <w:szCs w:val="24"/>
        </w:rPr>
        <w:t xml:space="preserve"> of canopy per year, but not per individual per lifetime. </w:t>
      </w:r>
      <w:r w:rsidRPr="00824F74">
        <w:rPr>
          <w:rFonts w:eastAsia="Times New Roman"/>
          <w:iCs/>
          <w:sz w:val="24"/>
          <w:szCs w:val="24"/>
        </w:rPr>
        <w:t>Journal of Ecology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92</w:t>
      </w:r>
      <w:r w:rsidRPr="00824F74">
        <w:rPr>
          <w:rFonts w:eastAsia="Times New Roman"/>
          <w:sz w:val="24"/>
          <w:szCs w:val="24"/>
        </w:rPr>
        <w:t>:384-396.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 w:rsidRPr="00824F74">
        <w:rPr>
          <w:rFonts w:eastAsia="Times New Roman"/>
          <w:sz w:val="24"/>
          <w:szCs w:val="24"/>
        </w:rPr>
        <w:t xml:space="preserve">Garman, S.L. 2003. </w:t>
      </w:r>
      <w:proofErr w:type="spellStart"/>
      <w:r w:rsidRPr="00824F74">
        <w:rPr>
          <w:rFonts w:eastAsia="Times New Roman"/>
          <w:sz w:val="24"/>
          <w:szCs w:val="24"/>
        </w:rPr>
        <w:t>LandMod</w:t>
      </w:r>
      <w:proofErr w:type="spellEnd"/>
      <w:r w:rsidRPr="00824F74">
        <w:rPr>
          <w:rFonts w:eastAsia="Times New Roman"/>
          <w:sz w:val="24"/>
          <w:szCs w:val="24"/>
        </w:rPr>
        <w:t xml:space="preserve"> 2.0 - Documentation. Oregon State University, Corvallis, OR. Available: </w:t>
      </w:r>
      <w:hyperlink r:id="rId9" w:history="1">
        <w:r w:rsidRPr="00824F74">
          <w:rPr>
            <w:rStyle w:val="Hyperlink"/>
            <w:rFonts w:eastAsia="Times New Roman"/>
            <w:sz w:val="24"/>
            <w:szCs w:val="24"/>
          </w:rPr>
          <w:t>http://www.fsl.orst.edu/lter/pubs/webdocs/models/land2doc.pdf</w:t>
        </w:r>
      </w:hyperlink>
      <w:r w:rsidRPr="00824F74">
        <w:rPr>
          <w:rFonts w:eastAsia="Times New Roman"/>
          <w:sz w:val="24"/>
          <w:szCs w:val="24"/>
        </w:rPr>
        <w:t xml:space="preserve">  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sz w:val="24"/>
          <w:szCs w:val="24"/>
        </w:rPr>
      </w:pPr>
      <w:r>
        <w:rPr>
          <w:rFonts w:eastAsia="Times New Roman"/>
          <w:sz w:val="24"/>
          <w:szCs w:val="24"/>
        </w:rPr>
        <w:t>McCaughey, W.W., W.C. Schmidt, and R.</w:t>
      </w:r>
      <w:r w:rsidRPr="00824F74">
        <w:rPr>
          <w:rFonts w:eastAsia="Times New Roman"/>
          <w:sz w:val="24"/>
          <w:szCs w:val="24"/>
        </w:rPr>
        <w:t>C. Shearer. 1986. Seed-dispersal characteristics of conifers in the inland mo</w:t>
      </w:r>
      <w:r>
        <w:rPr>
          <w:rFonts w:eastAsia="Times New Roman"/>
          <w:sz w:val="24"/>
          <w:szCs w:val="24"/>
        </w:rPr>
        <w:t>untain west. Pages 50-62 in: R.C. Shearer</w:t>
      </w:r>
      <w:r w:rsidRPr="00824F74">
        <w:rPr>
          <w:rFonts w:eastAsia="Times New Roman"/>
          <w:sz w:val="24"/>
          <w:szCs w:val="24"/>
        </w:rPr>
        <w:t>. Proceedings – Conifer tree seed in the inland mountain west symposium. USDA Forest Service, Intermountain Research Station General Technical Report INT-203, Ogden, Utah.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McCaughey, W.W. and W.</w:t>
      </w:r>
      <w:r w:rsidRPr="00824F74">
        <w:rPr>
          <w:rFonts w:eastAsia="Times New Roman"/>
          <w:sz w:val="24"/>
          <w:szCs w:val="24"/>
        </w:rPr>
        <w:t xml:space="preserve">C. Schmidt. 1987. Seed dispersal of Engelmann spruce in the intermountain west. </w:t>
      </w:r>
      <w:r w:rsidRPr="00824F74">
        <w:rPr>
          <w:rFonts w:eastAsia="Times New Roman"/>
          <w:iCs/>
          <w:sz w:val="24"/>
          <w:szCs w:val="24"/>
        </w:rPr>
        <w:t>Northwest Science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61</w:t>
      </w:r>
      <w:r w:rsidRPr="00824F74">
        <w:rPr>
          <w:rFonts w:eastAsia="Times New Roman"/>
          <w:sz w:val="24"/>
          <w:szCs w:val="24"/>
        </w:rPr>
        <w:t>:1-6.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Turner, M.G., W.H. </w:t>
      </w:r>
      <w:proofErr w:type="spellStart"/>
      <w:r>
        <w:rPr>
          <w:rFonts w:eastAsia="Times New Roman"/>
          <w:sz w:val="24"/>
          <w:szCs w:val="24"/>
        </w:rPr>
        <w:t>Romme</w:t>
      </w:r>
      <w:proofErr w:type="spellEnd"/>
      <w:r>
        <w:rPr>
          <w:rFonts w:eastAsia="Times New Roman"/>
          <w:sz w:val="24"/>
          <w:szCs w:val="24"/>
        </w:rPr>
        <w:t>, R.A. Reed and G.</w:t>
      </w:r>
      <w:r w:rsidRPr="00824F74">
        <w:rPr>
          <w:rFonts w:eastAsia="Times New Roman"/>
          <w:sz w:val="24"/>
          <w:szCs w:val="24"/>
        </w:rPr>
        <w:t xml:space="preserve">A. </w:t>
      </w:r>
      <w:proofErr w:type="spellStart"/>
      <w:r w:rsidRPr="00824F74">
        <w:rPr>
          <w:rFonts w:eastAsia="Times New Roman"/>
          <w:sz w:val="24"/>
          <w:szCs w:val="24"/>
        </w:rPr>
        <w:t>Tuskan</w:t>
      </w:r>
      <w:proofErr w:type="spellEnd"/>
      <w:r w:rsidRPr="00824F74">
        <w:rPr>
          <w:rFonts w:eastAsia="Times New Roman"/>
          <w:sz w:val="24"/>
          <w:szCs w:val="24"/>
        </w:rPr>
        <w:t>. 2003. Postfire aspen seedling recruitment across the Yellowstone (USA) landscape. Landscape Ecology 18:127-140.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Harvey, B.J., D.C. Donato and M.</w:t>
      </w:r>
      <w:r w:rsidRPr="00824F74">
        <w:rPr>
          <w:rFonts w:eastAsia="Times New Roman"/>
          <w:sz w:val="24"/>
          <w:szCs w:val="24"/>
        </w:rPr>
        <w:t xml:space="preserve">G. Turner. 2016. High and dry: Postfire drought and large stand-replacing burn patches reduce postfire tree regeneration in subalpine forests. Global Ecology and Biogeography </w:t>
      </w:r>
      <w:r w:rsidRPr="00AE05A7">
        <w:rPr>
          <w:rFonts w:eastAsia="Times New Roman"/>
          <w:sz w:val="24"/>
          <w:szCs w:val="24"/>
        </w:rPr>
        <w:t>25:655–669.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proofErr w:type="spellStart"/>
      <w:r>
        <w:rPr>
          <w:rFonts w:eastAsia="Times New Roman"/>
          <w:sz w:val="24"/>
          <w:szCs w:val="24"/>
        </w:rPr>
        <w:t>Nitschke</w:t>
      </w:r>
      <w:proofErr w:type="spellEnd"/>
      <w:r>
        <w:rPr>
          <w:rFonts w:eastAsia="Times New Roman"/>
          <w:sz w:val="24"/>
          <w:szCs w:val="24"/>
        </w:rPr>
        <w:t>, C.R. and J.</w:t>
      </w:r>
      <w:r w:rsidRPr="00824F74">
        <w:rPr>
          <w:rFonts w:eastAsia="Times New Roman"/>
          <w:sz w:val="24"/>
          <w:szCs w:val="24"/>
        </w:rPr>
        <w:t xml:space="preserve">L. Innes. 2008. A tree and climate assessment tool for modelling ecosystem response to climate change. </w:t>
      </w:r>
      <w:r w:rsidRPr="00824F74">
        <w:rPr>
          <w:rFonts w:eastAsia="Times New Roman"/>
          <w:iCs/>
          <w:sz w:val="24"/>
          <w:szCs w:val="24"/>
        </w:rPr>
        <w:t>Ecological Modelling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210</w:t>
      </w:r>
      <w:r w:rsidRPr="00824F74">
        <w:rPr>
          <w:rFonts w:eastAsia="Times New Roman"/>
          <w:sz w:val="24"/>
          <w:szCs w:val="24"/>
        </w:rPr>
        <w:t>:263-277.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proofErr w:type="spellStart"/>
      <w:r w:rsidRPr="00824F74">
        <w:rPr>
          <w:rFonts w:eastAsia="Times New Roman"/>
          <w:sz w:val="24"/>
          <w:szCs w:val="24"/>
        </w:rPr>
        <w:t>Rammig</w:t>
      </w:r>
      <w:proofErr w:type="spellEnd"/>
      <w:r w:rsidRPr="00824F74">
        <w:rPr>
          <w:rFonts w:eastAsia="Times New Roman"/>
          <w:sz w:val="24"/>
          <w:szCs w:val="24"/>
        </w:rPr>
        <w:t xml:space="preserve">, A., L. </w:t>
      </w:r>
      <w:proofErr w:type="spellStart"/>
      <w:r w:rsidRPr="00824F74">
        <w:rPr>
          <w:rFonts w:eastAsia="Times New Roman"/>
          <w:sz w:val="24"/>
          <w:szCs w:val="24"/>
        </w:rPr>
        <w:t>Fahse</w:t>
      </w:r>
      <w:proofErr w:type="spellEnd"/>
      <w:r w:rsidRPr="00824F74">
        <w:rPr>
          <w:rFonts w:eastAsia="Times New Roman"/>
          <w:sz w:val="24"/>
          <w:szCs w:val="24"/>
        </w:rPr>
        <w:t xml:space="preserve">, H. </w:t>
      </w:r>
      <w:proofErr w:type="spellStart"/>
      <w:r w:rsidRPr="00824F74">
        <w:rPr>
          <w:rFonts w:eastAsia="Times New Roman"/>
          <w:sz w:val="24"/>
          <w:szCs w:val="24"/>
        </w:rPr>
        <w:t>Bugmann</w:t>
      </w:r>
      <w:proofErr w:type="spellEnd"/>
      <w:r w:rsidRPr="00824F74">
        <w:rPr>
          <w:rFonts w:eastAsia="Times New Roman"/>
          <w:sz w:val="24"/>
          <w:szCs w:val="24"/>
        </w:rPr>
        <w:t xml:space="preserve">, and P. </w:t>
      </w:r>
      <w:proofErr w:type="spellStart"/>
      <w:r w:rsidRPr="00824F74">
        <w:rPr>
          <w:rFonts w:eastAsia="Times New Roman"/>
          <w:sz w:val="24"/>
          <w:szCs w:val="24"/>
        </w:rPr>
        <w:t>Bebi</w:t>
      </w:r>
      <w:proofErr w:type="spellEnd"/>
      <w:r w:rsidRPr="00824F74">
        <w:rPr>
          <w:rFonts w:eastAsia="Times New Roman"/>
          <w:sz w:val="24"/>
          <w:szCs w:val="24"/>
        </w:rPr>
        <w:t xml:space="preserve">. 2006. Forest regeneration after disturbance: a modelling study for the Swiss Alps. </w:t>
      </w:r>
      <w:r w:rsidRPr="00824F74">
        <w:rPr>
          <w:rFonts w:eastAsia="Times New Roman"/>
          <w:iCs/>
          <w:sz w:val="24"/>
          <w:szCs w:val="24"/>
        </w:rPr>
        <w:t>Forest Ecology and Management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222</w:t>
      </w:r>
      <w:r w:rsidRPr="00824F74">
        <w:rPr>
          <w:rFonts w:eastAsia="Times New Roman"/>
          <w:sz w:val="24"/>
          <w:szCs w:val="24"/>
        </w:rPr>
        <w:t>:123-136.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 w:rsidRPr="00F346DB">
        <w:rPr>
          <w:rFonts w:eastAsia="Times New Roman"/>
          <w:sz w:val="24"/>
          <w:szCs w:val="24"/>
          <w:lang w:val="de-AT"/>
        </w:rPr>
        <w:lastRenderedPageBreak/>
        <w:t xml:space="preserve">Rammig, A., P. Bebi, H. Bugmann, and L. Fahse. </w:t>
      </w:r>
      <w:r w:rsidRPr="00824F74">
        <w:rPr>
          <w:rFonts w:eastAsia="Times New Roman"/>
          <w:sz w:val="24"/>
          <w:szCs w:val="24"/>
        </w:rPr>
        <w:t xml:space="preserve">2007. Adapting a growth equation to model tree regeneration in mountain forests. </w:t>
      </w:r>
      <w:r w:rsidRPr="00824F74">
        <w:rPr>
          <w:rFonts w:eastAsia="Times New Roman"/>
          <w:iCs/>
          <w:sz w:val="24"/>
          <w:szCs w:val="24"/>
        </w:rPr>
        <w:t>European Journal of Forest Research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126</w:t>
      </w:r>
      <w:r w:rsidRPr="00824F74">
        <w:rPr>
          <w:rFonts w:eastAsia="Times New Roman"/>
          <w:sz w:val="24"/>
          <w:szCs w:val="24"/>
        </w:rPr>
        <w:t>:49-57.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proofErr w:type="spellStart"/>
      <w:r w:rsidRPr="00824F74">
        <w:rPr>
          <w:rFonts w:eastAsia="Times New Roman"/>
          <w:sz w:val="24"/>
          <w:szCs w:val="24"/>
        </w:rPr>
        <w:t>Seidl</w:t>
      </w:r>
      <w:proofErr w:type="spellEnd"/>
      <w:r w:rsidRPr="00824F74">
        <w:rPr>
          <w:rFonts w:eastAsia="Times New Roman"/>
          <w:sz w:val="24"/>
          <w:szCs w:val="24"/>
        </w:rPr>
        <w:t xml:space="preserve">, R. and W. Rammer. 2012. </w:t>
      </w:r>
      <w:proofErr w:type="spellStart"/>
      <w:r w:rsidRPr="00824F74">
        <w:rPr>
          <w:rFonts w:eastAsia="Times New Roman"/>
          <w:sz w:val="24"/>
          <w:szCs w:val="24"/>
        </w:rPr>
        <w:t>iLand</w:t>
      </w:r>
      <w:proofErr w:type="spellEnd"/>
      <w:r w:rsidRPr="00824F74">
        <w:rPr>
          <w:rFonts w:eastAsia="Times New Roman"/>
          <w:sz w:val="24"/>
          <w:szCs w:val="24"/>
        </w:rPr>
        <w:t xml:space="preserve"> online model documentation. Available: </w:t>
      </w:r>
      <w:hyperlink r:id="rId10" w:history="1">
        <w:r w:rsidRPr="00824F74">
          <w:rPr>
            <w:rStyle w:val="Hyperlink"/>
            <w:rFonts w:eastAsia="Times New Roman"/>
            <w:sz w:val="24"/>
            <w:szCs w:val="24"/>
          </w:rPr>
          <w:t>http://iland.boku.ac.at</w:t>
        </w:r>
      </w:hyperlink>
      <w:r w:rsidRPr="00824F74">
        <w:rPr>
          <w:rFonts w:eastAsia="Times New Roman"/>
          <w:sz w:val="24"/>
          <w:szCs w:val="24"/>
        </w:rPr>
        <w:t xml:space="preserve"> (1 September 2016).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Alexander, R.R., D. Tackle, and W.</w:t>
      </w:r>
      <w:r w:rsidRPr="00824F74">
        <w:rPr>
          <w:rFonts w:eastAsia="Times New Roman"/>
          <w:sz w:val="24"/>
          <w:szCs w:val="24"/>
        </w:rPr>
        <w:t>G.</w:t>
      </w:r>
      <w:r>
        <w:rPr>
          <w:rFonts w:eastAsia="Times New Roman"/>
          <w:sz w:val="24"/>
          <w:szCs w:val="24"/>
        </w:rPr>
        <w:t xml:space="preserve"> </w:t>
      </w:r>
      <w:proofErr w:type="spellStart"/>
      <w:r>
        <w:rPr>
          <w:rFonts w:eastAsia="Times New Roman"/>
          <w:sz w:val="24"/>
          <w:szCs w:val="24"/>
        </w:rPr>
        <w:t>Dahms</w:t>
      </w:r>
      <w:proofErr w:type="spellEnd"/>
      <w:r>
        <w:rPr>
          <w:rFonts w:eastAsia="Times New Roman"/>
          <w:sz w:val="24"/>
          <w:szCs w:val="24"/>
        </w:rPr>
        <w:t>. 1967. Site indexes for lodgepole p</w:t>
      </w:r>
      <w:r w:rsidRPr="00824F74">
        <w:rPr>
          <w:rFonts w:eastAsia="Times New Roman"/>
          <w:sz w:val="24"/>
          <w:szCs w:val="24"/>
        </w:rPr>
        <w:t>ine with corrections for stand density: methodology. USDA Forest Service, Rocky Mountain Forest and Range Experiment Station Research Paper RM-29, Fort Collins, CO.</w:t>
      </w:r>
    </w:p>
    <w:p w:rsidR="00940F2D" w:rsidRPr="00824F74" w:rsidRDefault="00940F2D" w:rsidP="00940F2D">
      <w:pPr>
        <w:pStyle w:val="reference-author"/>
        <w:numPr>
          <w:ilvl w:val="0"/>
          <w:numId w:val="1"/>
        </w:numPr>
        <w:spacing w:after="0" w:afterAutospacing="0" w:line="480" w:lineRule="auto"/>
        <w:ind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Milner, K.</w:t>
      </w:r>
      <w:r w:rsidRPr="00824F74">
        <w:rPr>
          <w:rFonts w:ascii="Times New Roman" w:hAnsi="Times New Roman"/>
          <w:sz w:val="24"/>
          <w:szCs w:val="24"/>
        </w:rPr>
        <w:t>S. 1987. The development of site specific height growth curves for four conifers in western Montana. Ph.D. Dissertation, University of Montana, Missoula, MT.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Milner, K.</w:t>
      </w:r>
      <w:r w:rsidRPr="00824F74">
        <w:rPr>
          <w:rFonts w:eastAsia="Times New Roman"/>
          <w:sz w:val="24"/>
          <w:szCs w:val="24"/>
        </w:rPr>
        <w:t xml:space="preserve">S. 1992. Site index and height growth curves for ponderosa pine, western larch, lodgepole pine, and Douglas-fir in western Montana. </w:t>
      </w:r>
      <w:r w:rsidRPr="00824F74">
        <w:rPr>
          <w:rFonts w:eastAsia="Times New Roman"/>
          <w:iCs/>
          <w:sz w:val="24"/>
          <w:szCs w:val="24"/>
        </w:rPr>
        <w:t>Western Journal of Applied Forestry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/>
          <w:iCs/>
          <w:sz w:val="24"/>
          <w:szCs w:val="24"/>
        </w:rPr>
        <w:t>7</w:t>
      </w:r>
      <w:r w:rsidRPr="00824F74">
        <w:rPr>
          <w:rFonts w:eastAsia="Times New Roman"/>
          <w:sz w:val="24"/>
          <w:szCs w:val="24"/>
        </w:rPr>
        <w:t>:9-14.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iCs/>
          <w:sz w:val="24"/>
          <w:szCs w:val="24"/>
        </w:rPr>
      </w:pPr>
      <w:r>
        <w:rPr>
          <w:rFonts w:eastAsia="Times New Roman"/>
          <w:sz w:val="24"/>
          <w:szCs w:val="24"/>
        </w:rPr>
        <w:t>Brickell, J.</w:t>
      </w:r>
      <w:r w:rsidRPr="00824F74">
        <w:rPr>
          <w:rFonts w:eastAsia="Times New Roman"/>
          <w:sz w:val="24"/>
          <w:szCs w:val="24"/>
        </w:rPr>
        <w:t xml:space="preserve">E. 1966. </w:t>
      </w:r>
      <w:r w:rsidRPr="00824F74">
        <w:rPr>
          <w:rFonts w:eastAsia="Times New Roman"/>
          <w:iCs/>
          <w:sz w:val="24"/>
          <w:szCs w:val="24"/>
        </w:rPr>
        <w:t>Site index curves for Engelmann spruce in the northern and central Rocky Mountains.</w:t>
      </w:r>
      <w:r w:rsidRPr="00824F74">
        <w:rPr>
          <w:rFonts w:eastAsia="Times New Roman"/>
          <w:sz w:val="24"/>
          <w:szCs w:val="24"/>
        </w:rPr>
        <w:t xml:space="preserve"> USDA Forest Service, Intermountain Forest and Range Experiment Station Research Note INT-42, Ogden, UT.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 w:rsidRPr="00F346DB">
        <w:rPr>
          <w:rFonts w:eastAsia="Times New Roman"/>
          <w:sz w:val="24"/>
          <w:szCs w:val="24"/>
          <w:lang w:val="de-AT"/>
        </w:rPr>
        <w:t xml:space="preserve">Chen, H.Y. and K. Klinka. </w:t>
      </w:r>
      <w:r w:rsidRPr="00824F74">
        <w:rPr>
          <w:rFonts w:eastAsia="Times New Roman"/>
          <w:sz w:val="24"/>
          <w:szCs w:val="24"/>
        </w:rPr>
        <w:t xml:space="preserve">2000. Height growth models for high-elevation subalpine fir, Engelmann spruce, and lodgepole pine in British Columbia. </w:t>
      </w:r>
      <w:r w:rsidRPr="00824F74">
        <w:rPr>
          <w:rFonts w:eastAsia="Times New Roman"/>
          <w:iCs/>
          <w:sz w:val="24"/>
          <w:szCs w:val="24"/>
        </w:rPr>
        <w:t>Western Journal of Applied Forestry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15</w:t>
      </w:r>
      <w:r w:rsidRPr="00824F74">
        <w:rPr>
          <w:rFonts w:eastAsia="Times New Roman"/>
          <w:sz w:val="24"/>
          <w:szCs w:val="24"/>
        </w:rPr>
        <w:t>:62-69.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uto"/>
        <w:ind w:hanging="720"/>
        <w:rPr>
          <w:rFonts w:eastAsia="Times New Roman"/>
          <w:sz w:val="24"/>
          <w:szCs w:val="24"/>
        </w:rPr>
      </w:pPr>
      <w:proofErr w:type="spellStart"/>
      <w:r>
        <w:rPr>
          <w:sz w:val="24"/>
          <w:szCs w:val="24"/>
        </w:rPr>
        <w:t>Klinka</w:t>
      </w:r>
      <w:proofErr w:type="spellEnd"/>
      <w:r>
        <w:rPr>
          <w:sz w:val="24"/>
          <w:szCs w:val="24"/>
        </w:rPr>
        <w:t>, K., H.Y.</w:t>
      </w:r>
      <w:r w:rsidRPr="00824F74">
        <w:rPr>
          <w:sz w:val="24"/>
          <w:szCs w:val="24"/>
        </w:rPr>
        <w:t xml:space="preserve">H. Chen, Q. Wang, and C. </w:t>
      </w:r>
      <w:proofErr w:type="spellStart"/>
      <w:r w:rsidRPr="00824F74">
        <w:rPr>
          <w:sz w:val="24"/>
          <w:szCs w:val="24"/>
        </w:rPr>
        <w:t>Chourmouzis</w:t>
      </w:r>
      <w:proofErr w:type="spellEnd"/>
      <w:r w:rsidRPr="00824F74">
        <w:rPr>
          <w:sz w:val="24"/>
          <w:szCs w:val="24"/>
        </w:rPr>
        <w:t xml:space="preserve">. 1998. Height growth curves and site index tables for subalpine fir, Engelmann spruce, and lodgepole pine in the ESSF zone of BC. Scientia </w:t>
      </w:r>
      <w:proofErr w:type="spellStart"/>
      <w:r w:rsidRPr="00824F74">
        <w:rPr>
          <w:sz w:val="24"/>
          <w:szCs w:val="24"/>
        </w:rPr>
        <w:t>Silvica</w:t>
      </w:r>
      <w:proofErr w:type="spellEnd"/>
      <w:r w:rsidRPr="00824F74">
        <w:rPr>
          <w:sz w:val="24"/>
          <w:szCs w:val="24"/>
        </w:rPr>
        <w:t xml:space="preserve"> Extension Series 15, Forest Sciences Department, University of British Columbia. </w:t>
      </w:r>
    </w:p>
    <w:p w:rsidR="00940F2D" w:rsidRPr="00824F74" w:rsidRDefault="00940F2D" w:rsidP="00940F2D">
      <w:pPr>
        <w:pStyle w:val="ListParagraph"/>
        <w:numPr>
          <w:ilvl w:val="0"/>
          <w:numId w:val="1"/>
        </w:numPr>
        <w:spacing w:after="0" w:line="480" w:lineRule="auto"/>
        <w:ind w:hanging="72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Hansen, W.D., W.</w:t>
      </w:r>
      <w:r w:rsidRPr="00824F74">
        <w:rPr>
          <w:rFonts w:eastAsia="Times New Roman"/>
          <w:sz w:val="24"/>
          <w:szCs w:val="24"/>
        </w:rPr>
        <w:t xml:space="preserve">H. </w:t>
      </w:r>
      <w:proofErr w:type="spellStart"/>
      <w:r w:rsidRPr="00824F74">
        <w:rPr>
          <w:rFonts w:eastAsia="Times New Roman"/>
          <w:sz w:val="24"/>
          <w:szCs w:val="24"/>
        </w:rPr>
        <w:t>Romme</w:t>
      </w:r>
      <w:proofErr w:type="spellEnd"/>
      <w:r w:rsidRPr="00824F74">
        <w:rPr>
          <w:rFonts w:eastAsia="Times New Roman"/>
          <w:sz w:val="24"/>
          <w:szCs w:val="24"/>
        </w:rPr>
        <w:t>, A. Ba, and M. G. Turner. 2016. Shifting ecological filters mediate postfire expansion of seedling aspen (</w:t>
      </w:r>
      <w:proofErr w:type="spellStart"/>
      <w:r w:rsidRPr="00CE5C4A">
        <w:rPr>
          <w:rFonts w:eastAsia="Times New Roman"/>
          <w:i/>
          <w:sz w:val="24"/>
          <w:szCs w:val="24"/>
        </w:rPr>
        <w:t>Populus</w:t>
      </w:r>
      <w:proofErr w:type="spellEnd"/>
      <w:r w:rsidRPr="00CE5C4A">
        <w:rPr>
          <w:rFonts w:eastAsia="Times New Roman"/>
          <w:i/>
          <w:sz w:val="24"/>
          <w:szCs w:val="24"/>
        </w:rPr>
        <w:t xml:space="preserve"> </w:t>
      </w:r>
      <w:proofErr w:type="spellStart"/>
      <w:r w:rsidRPr="00CE5C4A">
        <w:rPr>
          <w:rFonts w:eastAsia="Times New Roman"/>
          <w:i/>
          <w:sz w:val="24"/>
          <w:szCs w:val="24"/>
        </w:rPr>
        <w:t>tremuloides</w:t>
      </w:r>
      <w:proofErr w:type="spellEnd"/>
      <w:r w:rsidRPr="00824F74">
        <w:rPr>
          <w:rFonts w:eastAsia="Times New Roman"/>
          <w:sz w:val="24"/>
          <w:szCs w:val="24"/>
        </w:rPr>
        <w:t xml:space="preserve">) in Yellowstone. </w:t>
      </w:r>
      <w:r w:rsidRPr="00824F74">
        <w:rPr>
          <w:rFonts w:eastAsia="Times New Roman"/>
          <w:iCs/>
          <w:sz w:val="24"/>
          <w:szCs w:val="24"/>
        </w:rPr>
        <w:t>Forest Ecology and Management</w:t>
      </w:r>
      <w:r w:rsidRPr="00824F74">
        <w:rPr>
          <w:rFonts w:eastAsia="Times New Roman"/>
          <w:sz w:val="24"/>
          <w:szCs w:val="24"/>
        </w:rPr>
        <w:t xml:space="preserve"> </w:t>
      </w:r>
      <w:r w:rsidRPr="00824F74">
        <w:rPr>
          <w:rFonts w:eastAsia="Times New Roman"/>
          <w:iCs/>
          <w:sz w:val="24"/>
          <w:szCs w:val="24"/>
        </w:rPr>
        <w:t>362</w:t>
      </w:r>
      <w:r w:rsidRPr="00824F74">
        <w:rPr>
          <w:rFonts w:eastAsia="Times New Roman"/>
          <w:sz w:val="24"/>
          <w:szCs w:val="24"/>
        </w:rPr>
        <w:t>:218-230.</w:t>
      </w:r>
    </w:p>
    <w:p w:rsidR="00F84AF0" w:rsidRDefault="00F84AF0">
      <w:bookmarkStart w:id="1" w:name="_GoBack"/>
      <w:bookmarkEnd w:id="1"/>
    </w:p>
    <w:sectPr w:rsidR="00F84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3859"/>
    <w:multiLevelType w:val="hybridMultilevel"/>
    <w:tmpl w:val="0AE2F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F2D"/>
    <w:rsid w:val="00940F2D"/>
    <w:rsid w:val="00F8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5ACA1"/>
  <w15:chartTrackingRefBased/>
  <w15:docId w15:val="{DE4FDD13-AE5B-4D97-A725-6F22F4E98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F2D"/>
    <w:pPr>
      <w:spacing w:after="200" w:line="276" w:lineRule="auto"/>
    </w:pPr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F2D"/>
    <w:pPr>
      <w:ind w:left="720"/>
      <w:contextualSpacing/>
    </w:pPr>
  </w:style>
  <w:style w:type="character" w:styleId="Hyperlink">
    <w:name w:val="Hyperlink"/>
    <w:uiPriority w:val="99"/>
    <w:unhideWhenUsed/>
    <w:rsid w:val="00940F2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940F2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Cite">
    <w:name w:val="HTML Cite"/>
    <w:uiPriority w:val="99"/>
    <w:semiHidden/>
    <w:unhideWhenUsed/>
    <w:rsid w:val="00940F2D"/>
    <w:rPr>
      <w:i/>
      <w:iCs/>
    </w:rPr>
  </w:style>
  <w:style w:type="character" w:customStyle="1" w:styleId="author">
    <w:name w:val="author"/>
    <w:rsid w:val="00940F2D"/>
  </w:style>
  <w:style w:type="character" w:customStyle="1" w:styleId="pubyear">
    <w:name w:val="pubyear"/>
    <w:rsid w:val="00940F2D"/>
  </w:style>
  <w:style w:type="character" w:customStyle="1" w:styleId="journaltitle">
    <w:name w:val="journaltitle"/>
    <w:rsid w:val="00940F2D"/>
  </w:style>
  <w:style w:type="character" w:customStyle="1" w:styleId="publisherlocation">
    <w:name w:val="publisherlocation"/>
    <w:rsid w:val="00940F2D"/>
  </w:style>
  <w:style w:type="character" w:styleId="Emphasis">
    <w:name w:val="Emphasis"/>
    <w:uiPriority w:val="20"/>
    <w:qFormat/>
    <w:rsid w:val="00940F2D"/>
    <w:rPr>
      <w:i/>
      <w:iCs/>
    </w:rPr>
  </w:style>
  <w:style w:type="character" w:customStyle="1" w:styleId="groupname">
    <w:name w:val="groupname"/>
    <w:rsid w:val="00940F2D"/>
  </w:style>
  <w:style w:type="character" w:customStyle="1" w:styleId="articletitle">
    <w:name w:val="articletitle"/>
    <w:rsid w:val="00940F2D"/>
  </w:style>
  <w:style w:type="character" w:customStyle="1" w:styleId="emphasistypesmallcaps">
    <w:name w:val="emphasistypesmallcaps"/>
    <w:rsid w:val="00940F2D"/>
  </w:style>
  <w:style w:type="paragraph" w:customStyle="1" w:styleId="reference-author">
    <w:name w:val="reference-author"/>
    <w:basedOn w:val="Normal"/>
    <w:rsid w:val="00940F2D"/>
    <w:pPr>
      <w:spacing w:before="100" w:beforeAutospacing="1" w:after="100" w:afterAutospacing="1" w:line="240" w:lineRule="auto"/>
    </w:pPr>
    <w:rPr>
      <w:rFonts w:ascii="Times" w:eastAsia="Times New Roman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ndrewsforest.oregonstate.edu/data/abstract.cfm?dbcode=TP07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ndrewsforest.oregonstate.edu/data/abstract.cfm?dbcode=TV00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pps.fs.fed.us/fiadb-downloads/datamart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iland.boku.ac.at/iLand+Hub" TargetMode="External"/><Relationship Id="rId10" Type="http://schemas.openxmlformats.org/officeDocument/2006/relationships/hyperlink" Target="http://iland.boku.ac.a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fsl.orst.edu/lter/pubs/webdocs/models/land2do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2688</Words>
  <Characters>15328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winslow</dc:creator>
  <cp:keywords/>
  <dc:description/>
  <cp:lastModifiedBy>winslow</cp:lastModifiedBy>
  <cp:revision>1</cp:revision>
  <dcterms:created xsi:type="dcterms:W3CDTF">2017-11-09T21:04:00Z</dcterms:created>
  <dcterms:modified xsi:type="dcterms:W3CDTF">2017-11-09T21:05:00Z</dcterms:modified>
</cp:coreProperties>
</file>