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sla_policy.docx</w:t>
      </w:r>
    </w:p>
    <w:p>
      <w:r>
        <w:t>Service level policy.</w:t>
      </w:r>
    </w:p>
    <w:p>
      <w:r>
        <w:t>Standard incidents have a target resolution time of 2 business days.</w:t>
      </w:r>
    </w:p>
    <w:p>
      <w:r>
        <w:t>Enterprise customers receive 99.9 percent monthly availability.</w:t>
      </w:r>
    </w:p>
    <w:p>
      <w:r>
        <w:t>Maintenance windows are announced at least 72 hours in advance.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