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0" w:lineRule="atLeast"/>
        <w:jc w:val="left"/>
        <w:rPr>
          <w:rFonts w:ascii="黑体" w:hAnsi="黑体" w:eastAsia="黑体"/>
          <w:b/>
          <w:sz w:val="44"/>
          <w:szCs w:val="44"/>
        </w:rPr>
      </w:pPr>
      <w:r>
        <w:rPr>
          <w:rFonts w:hint="eastAsia" w:ascii="黑体" w:hAnsi="黑体" w:eastAsia="黑体"/>
          <w:b/>
          <w:sz w:val="44"/>
          <w:szCs w:val="44"/>
        </w:rPr>
        <w:t>附件</w:t>
      </w:r>
    </w:p>
    <w:p>
      <w:pPr>
        <w:spacing w:line="0" w:lineRule="atLeast"/>
        <w:jc w:val="left"/>
        <w:rPr>
          <w:rFonts w:ascii="黑体" w:hAnsi="黑体" w:eastAsia="黑体"/>
          <w:b/>
          <w:sz w:val="44"/>
          <w:szCs w:val="44"/>
        </w:rPr>
      </w:pPr>
    </w:p>
    <w:p>
      <w:pPr>
        <w:spacing w:line="0" w:lineRule="atLeast"/>
        <w:jc w:val="center"/>
        <w:rPr>
          <w:rFonts w:ascii="黑体" w:hAnsi="黑体" w:eastAsia="黑体"/>
          <w:b/>
          <w:sz w:val="44"/>
          <w:szCs w:val="44"/>
        </w:rPr>
      </w:pPr>
      <w:r>
        <w:rPr>
          <w:rFonts w:hint="eastAsia" w:ascii="黑体" w:hAnsi="黑体" w:eastAsia="黑体"/>
          <w:b/>
          <w:sz w:val="44"/>
          <w:szCs w:val="44"/>
        </w:rPr>
        <w:t>上海证券交易所发行上市审核业务指南第4号——</w:t>
      </w:r>
    </w:p>
    <w:p>
      <w:pPr>
        <w:spacing w:line="0" w:lineRule="atLeast"/>
        <w:jc w:val="center"/>
        <w:rPr>
          <w:rFonts w:ascii="黑体" w:hAnsi="黑体" w:eastAsia="黑体"/>
          <w:b/>
          <w:sz w:val="44"/>
          <w:szCs w:val="44"/>
        </w:rPr>
      </w:pPr>
      <w:r>
        <w:rPr>
          <w:rFonts w:hint="eastAsia" w:ascii="黑体" w:hAnsi="黑体" w:eastAsia="黑体"/>
          <w:b/>
          <w:sz w:val="44"/>
          <w:szCs w:val="44"/>
        </w:rPr>
        <w:t>常见问题的信息披露和核查要求自查表</w:t>
      </w:r>
    </w:p>
    <w:p>
      <w:pPr>
        <w:spacing w:line="0" w:lineRule="atLeast"/>
        <w:jc w:val="center"/>
        <w:rPr>
          <w:rFonts w:ascii="黑体" w:hAnsi="黑体" w:eastAsia="黑体"/>
          <w:b/>
          <w:sz w:val="44"/>
          <w:szCs w:val="44"/>
        </w:rPr>
      </w:pPr>
      <w:r>
        <w:rPr>
          <w:rFonts w:hint="eastAsia" w:ascii="黑体" w:hAnsi="黑体" w:eastAsia="黑体"/>
          <w:b/>
          <w:sz w:val="44"/>
          <w:szCs w:val="44"/>
        </w:rPr>
        <w:t xml:space="preserve">第五号 </w:t>
      </w:r>
      <w:r>
        <w:rPr>
          <w:rFonts w:hint="eastAsia" w:ascii="黑体" w:hAnsi="黑体" w:eastAsia="黑体"/>
          <w:b/>
          <w:sz w:val="44"/>
          <w:szCs w:val="44"/>
          <w:lang w:eastAsia="zh-CN"/>
        </w:rPr>
        <w:t>上市公司重大资产</w:t>
      </w:r>
      <w:r>
        <w:rPr>
          <w:rFonts w:hint="eastAsia" w:ascii="黑体" w:hAnsi="黑体" w:eastAsia="黑体"/>
          <w:b/>
          <w:sz w:val="44"/>
          <w:szCs w:val="44"/>
        </w:rPr>
        <w:t>重组</w:t>
      </w:r>
    </w:p>
    <w:p>
      <w:pPr>
        <w:spacing w:line="0" w:lineRule="atLeast"/>
        <w:jc w:val="center"/>
        <w:rPr>
          <w:rFonts w:ascii="黑体" w:hAnsi="黑体" w:eastAsia="黑体"/>
          <w:b/>
          <w:kern w:val="0"/>
          <w:sz w:val="32"/>
          <w:szCs w:val="32"/>
        </w:rPr>
      </w:pPr>
    </w:p>
    <w:tbl>
      <w:tblPr>
        <w:tblStyle w:val="11"/>
        <w:tblW w:w="147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1"/>
        <w:gridCol w:w="4625"/>
        <w:gridCol w:w="1163"/>
        <w:gridCol w:w="2193"/>
        <w:gridCol w:w="1500"/>
        <w:gridCol w:w="1200"/>
        <w:gridCol w:w="1369"/>
        <w:gridCol w:w="1256"/>
        <w:gridCol w:w="6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751" w:type="dxa"/>
            <w:vMerge w:val="restart"/>
            <w:shd w:val="clear" w:color="auto" w:fill="8DB3E2"/>
            <w:vAlign w:val="center"/>
          </w:tcPr>
          <w:p>
            <w:pPr>
              <w:jc w:val="center"/>
              <w:rPr>
                <w:rFonts w:ascii="仿宋_GB2312" w:eastAsia="仿宋_GB2312"/>
                <w:b/>
                <w:kern w:val="0"/>
                <w:sz w:val="24"/>
                <w:szCs w:val="24"/>
              </w:rPr>
            </w:pPr>
            <w:r>
              <w:rPr>
                <w:rFonts w:hint="eastAsia" w:ascii="仿宋_GB2312" w:eastAsia="仿宋_GB2312"/>
                <w:b/>
                <w:kern w:val="0"/>
                <w:sz w:val="24"/>
                <w:szCs w:val="24"/>
              </w:rPr>
              <w:t>序号</w:t>
            </w:r>
          </w:p>
        </w:tc>
        <w:tc>
          <w:tcPr>
            <w:tcW w:w="4625" w:type="dxa"/>
            <w:vMerge w:val="restart"/>
            <w:shd w:val="clear" w:color="auto" w:fill="8DB3E2"/>
            <w:vAlign w:val="center"/>
          </w:tcPr>
          <w:p>
            <w:pPr>
              <w:jc w:val="center"/>
              <w:rPr>
                <w:rFonts w:ascii="仿宋_GB2312" w:eastAsia="仿宋_GB2312"/>
                <w:b/>
                <w:bCs/>
                <w:kern w:val="0"/>
                <w:sz w:val="24"/>
                <w:szCs w:val="24"/>
              </w:rPr>
            </w:pPr>
            <w:r>
              <w:rPr>
                <w:rFonts w:hint="eastAsia" w:ascii="仿宋_GB2312" w:eastAsia="仿宋_GB2312"/>
                <w:b/>
                <w:kern w:val="0"/>
                <w:sz w:val="24"/>
                <w:szCs w:val="24"/>
              </w:rPr>
              <w:t>问题</w:t>
            </w:r>
          </w:p>
        </w:tc>
        <w:tc>
          <w:tcPr>
            <w:tcW w:w="1163" w:type="dxa"/>
            <w:vMerge w:val="restart"/>
            <w:shd w:val="clear" w:color="auto" w:fill="8DB3E2"/>
            <w:vAlign w:val="center"/>
          </w:tcPr>
          <w:p>
            <w:pPr>
              <w:jc w:val="center"/>
              <w:rPr>
                <w:rFonts w:ascii="仿宋_GB2312" w:eastAsia="仿宋_GB2312"/>
                <w:b/>
                <w:kern w:val="0"/>
                <w:sz w:val="24"/>
                <w:szCs w:val="24"/>
              </w:rPr>
            </w:pPr>
            <w:r>
              <w:rPr>
                <w:rFonts w:hint="eastAsia" w:ascii="仿宋_GB2312" w:eastAsia="仿宋_GB2312"/>
                <w:b/>
                <w:kern w:val="0"/>
                <w:sz w:val="24"/>
                <w:szCs w:val="24"/>
              </w:rPr>
              <w:t>是否</w:t>
            </w:r>
          </w:p>
          <w:p>
            <w:pPr>
              <w:jc w:val="center"/>
              <w:rPr>
                <w:rFonts w:ascii="仿宋_GB2312" w:eastAsia="仿宋_GB2312"/>
                <w:b/>
                <w:kern w:val="0"/>
                <w:sz w:val="24"/>
                <w:szCs w:val="24"/>
              </w:rPr>
            </w:pPr>
            <w:r>
              <w:rPr>
                <w:rFonts w:hint="eastAsia" w:ascii="仿宋_GB2312" w:eastAsia="仿宋_GB2312"/>
                <w:b/>
                <w:kern w:val="0"/>
                <w:sz w:val="24"/>
                <w:szCs w:val="24"/>
              </w:rPr>
              <w:t>适用</w:t>
            </w:r>
          </w:p>
        </w:tc>
        <w:tc>
          <w:tcPr>
            <w:tcW w:w="2193" w:type="dxa"/>
            <w:tcBorders>
              <w:bottom w:val="single" w:color="000000" w:sz="4" w:space="0"/>
            </w:tcBorders>
            <w:shd w:val="clear" w:color="auto" w:fill="8DB3E2"/>
            <w:vAlign w:val="center"/>
          </w:tcPr>
          <w:p>
            <w:pPr>
              <w:jc w:val="center"/>
              <w:rPr>
                <w:rFonts w:ascii="仿宋_GB2312" w:eastAsia="仿宋_GB2312"/>
                <w:b/>
                <w:kern w:val="0"/>
                <w:sz w:val="24"/>
                <w:szCs w:val="24"/>
              </w:rPr>
            </w:pPr>
            <w:r>
              <w:rPr>
                <w:rFonts w:hint="eastAsia" w:ascii="仿宋_GB2312" w:eastAsia="仿宋_GB2312"/>
                <w:b/>
                <w:kern w:val="0"/>
                <w:sz w:val="24"/>
                <w:szCs w:val="24"/>
              </w:rPr>
              <w:t>披露要求落实情况</w:t>
            </w:r>
          </w:p>
        </w:tc>
        <w:tc>
          <w:tcPr>
            <w:tcW w:w="5325" w:type="dxa"/>
            <w:gridSpan w:val="4"/>
            <w:tcBorders>
              <w:bottom w:val="single" w:color="000000" w:sz="4" w:space="0"/>
            </w:tcBorders>
            <w:shd w:val="clear" w:color="auto" w:fill="8DB3E2"/>
            <w:vAlign w:val="center"/>
          </w:tcPr>
          <w:p>
            <w:pPr>
              <w:jc w:val="center"/>
              <w:rPr>
                <w:rFonts w:ascii="仿宋_GB2312" w:eastAsia="仿宋_GB2312"/>
                <w:b/>
                <w:kern w:val="0"/>
                <w:sz w:val="24"/>
                <w:szCs w:val="24"/>
              </w:rPr>
            </w:pPr>
            <w:r>
              <w:rPr>
                <w:rFonts w:hint="eastAsia" w:ascii="仿宋_GB2312" w:eastAsia="仿宋_GB2312"/>
                <w:b/>
                <w:kern w:val="0"/>
                <w:sz w:val="24"/>
                <w:szCs w:val="24"/>
              </w:rPr>
              <w:t>核查要求落实情况</w:t>
            </w:r>
          </w:p>
        </w:tc>
        <w:tc>
          <w:tcPr>
            <w:tcW w:w="668" w:type="dxa"/>
            <w:vMerge w:val="restart"/>
            <w:shd w:val="clear" w:color="auto" w:fill="8DB3E2"/>
            <w:vAlign w:val="center"/>
          </w:tcPr>
          <w:p>
            <w:pPr>
              <w:jc w:val="center"/>
              <w:rPr>
                <w:rFonts w:ascii="仿宋_GB2312" w:eastAsia="仿宋_GB2312"/>
                <w:b/>
                <w:kern w:val="0"/>
                <w:sz w:val="24"/>
                <w:szCs w:val="24"/>
              </w:rPr>
            </w:pPr>
            <w:r>
              <w:rPr>
                <w:rFonts w:hint="eastAsia" w:ascii="仿宋_GB2312" w:eastAsia="仿宋_GB2312"/>
                <w:b/>
                <w:kern w:val="0"/>
                <w:sz w:val="24"/>
                <w:szCs w:val="24"/>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751" w:type="dxa"/>
            <w:vMerge w:val="continue"/>
            <w:shd w:val="clear" w:color="auto" w:fill="auto"/>
            <w:vAlign w:val="center"/>
          </w:tcPr>
          <w:p>
            <w:pPr>
              <w:jc w:val="center"/>
              <w:rPr>
                <w:rFonts w:ascii="仿宋_GB2312" w:eastAsia="仿宋_GB2312"/>
                <w:b/>
                <w:color w:val="FF0000"/>
                <w:kern w:val="0"/>
                <w:sz w:val="24"/>
                <w:szCs w:val="24"/>
              </w:rPr>
            </w:pPr>
          </w:p>
        </w:tc>
        <w:tc>
          <w:tcPr>
            <w:tcW w:w="4625" w:type="dxa"/>
            <w:vMerge w:val="continue"/>
            <w:shd w:val="clear" w:color="auto" w:fill="auto"/>
            <w:vAlign w:val="center"/>
          </w:tcPr>
          <w:p>
            <w:pPr>
              <w:jc w:val="center"/>
              <w:rPr>
                <w:rFonts w:ascii="仿宋_GB2312" w:eastAsia="仿宋_GB2312"/>
                <w:b/>
                <w:color w:val="FF0000"/>
                <w:kern w:val="0"/>
                <w:sz w:val="24"/>
                <w:szCs w:val="24"/>
              </w:rPr>
            </w:pPr>
          </w:p>
        </w:tc>
        <w:tc>
          <w:tcPr>
            <w:tcW w:w="1163" w:type="dxa"/>
            <w:vMerge w:val="continue"/>
            <w:shd w:val="clear" w:color="auto" w:fill="auto"/>
            <w:vAlign w:val="center"/>
          </w:tcPr>
          <w:p>
            <w:pPr>
              <w:jc w:val="center"/>
              <w:rPr>
                <w:rFonts w:ascii="仿宋_GB2312" w:eastAsia="仿宋_GB2312"/>
                <w:b/>
                <w:color w:val="FF0000"/>
                <w:kern w:val="0"/>
                <w:sz w:val="24"/>
                <w:szCs w:val="24"/>
              </w:rPr>
            </w:pPr>
          </w:p>
        </w:tc>
        <w:tc>
          <w:tcPr>
            <w:tcW w:w="2193" w:type="dxa"/>
            <w:shd w:val="clear" w:color="auto" w:fill="8DB3E2"/>
            <w:vAlign w:val="center"/>
          </w:tcPr>
          <w:p>
            <w:pPr>
              <w:jc w:val="center"/>
              <w:rPr>
                <w:rFonts w:ascii="仿宋_GB2312" w:eastAsia="仿宋_GB2312"/>
                <w:b/>
                <w:kern w:val="0"/>
                <w:sz w:val="24"/>
                <w:szCs w:val="24"/>
              </w:rPr>
            </w:pPr>
            <w:r>
              <w:rPr>
                <w:rFonts w:hint="eastAsia" w:ascii="仿宋_GB2312" w:eastAsia="仿宋_GB2312"/>
                <w:b/>
                <w:kern w:val="0"/>
                <w:sz w:val="24"/>
                <w:szCs w:val="24"/>
              </w:rPr>
              <w:t>重组报告书</w:t>
            </w:r>
          </w:p>
          <w:p>
            <w:pPr>
              <w:jc w:val="center"/>
              <w:rPr>
                <w:rFonts w:ascii="仿宋_GB2312" w:eastAsia="仿宋_GB2312"/>
                <w:b/>
                <w:kern w:val="0"/>
                <w:sz w:val="24"/>
                <w:szCs w:val="24"/>
              </w:rPr>
            </w:pPr>
            <w:r>
              <w:rPr>
                <w:rFonts w:hint="eastAsia" w:ascii="仿宋_GB2312" w:eastAsia="仿宋_GB2312"/>
                <w:b/>
                <w:kern w:val="0"/>
                <w:sz w:val="24"/>
                <w:szCs w:val="24"/>
              </w:rPr>
              <w:t>章节</w:t>
            </w:r>
          </w:p>
        </w:tc>
        <w:tc>
          <w:tcPr>
            <w:tcW w:w="1500" w:type="dxa"/>
            <w:shd w:val="clear" w:color="auto" w:fill="8DB3E2"/>
            <w:vAlign w:val="center"/>
          </w:tcPr>
          <w:p>
            <w:pPr>
              <w:jc w:val="center"/>
              <w:rPr>
                <w:rFonts w:ascii="仿宋_GB2312" w:eastAsia="仿宋_GB2312"/>
                <w:b/>
                <w:kern w:val="0"/>
                <w:sz w:val="24"/>
                <w:szCs w:val="24"/>
              </w:rPr>
            </w:pPr>
            <w:r>
              <w:rPr>
                <w:rFonts w:hint="eastAsia" w:ascii="仿宋_GB2312" w:eastAsia="仿宋_GB2312"/>
                <w:b/>
                <w:kern w:val="0"/>
                <w:sz w:val="24"/>
                <w:szCs w:val="24"/>
              </w:rPr>
              <w:t>独立财务顾问报告章节</w:t>
            </w:r>
          </w:p>
        </w:tc>
        <w:tc>
          <w:tcPr>
            <w:tcW w:w="1200" w:type="dxa"/>
            <w:shd w:val="clear" w:color="auto" w:fill="8DB3E2"/>
            <w:vAlign w:val="center"/>
          </w:tcPr>
          <w:p>
            <w:pPr>
              <w:jc w:val="center"/>
              <w:rPr>
                <w:rFonts w:ascii="仿宋_GB2312" w:eastAsia="仿宋_GB2312"/>
                <w:b/>
                <w:kern w:val="0"/>
                <w:sz w:val="24"/>
                <w:szCs w:val="24"/>
              </w:rPr>
            </w:pPr>
            <w:r>
              <w:rPr>
                <w:rFonts w:hint="eastAsia" w:ascii="仿宋_GB2312" w:eastAsia="仿宋_GB2312"/>
                <w:b/>
                <w:kern w:val="0"/>
                <w:sz w:val="24"/>
                <w:szCs w:val="24"/>
              </w:rPr>
              <w:t>律师核查情况</w:t>
            </w:r>
          </w:p>
        </w:tc>
        <w:tc>
          <w:tcPr>
            <w:tcW w:w="1369" w:type="dxa"/>
            <w:shd w:val="clear" w:color="auto" w:fill="8DB3E2"/>
            <w:vAlign w:val="center"/>
          </w:tcPr>
          <w:p>
            <w:pPr>
              <w:jc w:val="center"/>
              <w:rPr>
                <w:rFonts w:ascii="仿宋_GB2312" w:eastAsia="仿宋_GB2312"/>
                <w:b/>
                <w:kern w:val="0"/>
                <w:sz w:val="24"/>
                <w:szCs w:val="24"/>
              </w:rPr>
            </w:pPr>
            <w:r>
              <w:rPr>
                <w:rFonts w:hint="eastAsia" w:ascii="仿宋_GB2312" w:eastAsia="仿宋_GB2312"/>
                <w:b/>
                <w:kern w:val="0"/>
                <w:sz w:val="24"/>
                <w:szCs w:val="24"/>
              </w:rPr>
              <w:t>会计师</w:t>
            </w:r>
          </w:p>
          <w:p>
            <w:pPr>
              <w:jc w:val="center"/>
              <w:rPr>
                <w:rFonts w:ascii="仿宋_GB2312" w:eastAsia="仿宋_GB2312"/>
                <w:b/>
                <w:kern w:val="0"/>
                <w:sz w:val="24"/>
                <w:szCs w:val="24"/>
              </w:rPr>
            </w:pPr>
            <w:r>
              <w:rPr>
                <w:rFonts w:hint="eastAsia" w:ascii="仿宋_GB2312" w:eastAsia="仿宋_GB2312"/>
                <w:b/>
                <w:kern w:val="0"/>
                <w:sz w:val="24"/>
                <w:szCs w:val="24"/>
              </w:rPr>
              <w:t>核查情况</w:t>
            </w:r>
          </w:p>
        </w:tc>
        <w:tc>
          <w:tcPr>
            <w:tcW w:w="1256" w:type="dxa"/>
            <w:shd w:val="clear" w:color="auto" w:fill="8DB3E2"/>
            <w:vAlign w:val="center"/>
          </w:tcPr>
          <w:p>
            <w:pPr>
              <w:jc w:val="center"/>
              <w:rPr>
                <w:rFonts w:ascii="仿宋_GB2312" w:eastAsia="仿宋_GB2312"/>
                <w:b/>
                <w:kern w:val="0"/>
                <w:sz w:val="24"/>
                <w:szCs w:val="24"/>
              </w:rPr>
            </w:pPr>
            <w:r>
              <w:rPr>
                <w:rFonts w:hint="eastAsia" w:ascii="仿宋_GB2312" w:eastAsia="仿宋_GB2312"/>
                <w:b/>
                <w:kern w:val="0"/>
                <w:sz w:val="24"/>
                <w:szCs w:val="24"/>
              </w:rPr>
              <w:t>评估师核查情况</w:t>
            </w:r>
          </w:p>
        </w:tc>
        <w:tc>
          <w:tcPr>
            <w:tcW w:w="668" w:type="dxa"/>
            <w:vMerge w:val="continue"/>
            <w:vAlign w:val="center"/>
          </w:tcPr>
          <w:p>
            <w:pPr>
              <w:jc w:val="center"/>
              <w:rPr>
                <w:rFonts w:ascii="仿宋_GB2312" w:eastAsia="仿宋_GB2312"/>
                <w:b/>
                <w:color w:val="FF0000"/>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725" w:type="dxa"/>
            <w:gridSpan w:val="9"/>
            <w:tcBorders>
              <w:bottom w:val="single" w:color="000000" w:sz="4" w:space="0"/>
            </w:tcBorders>
            <w:vAlign w:val="center"/>
          </w:tcPr>
          <w:p>
            <w:pPr>
              <w:jc w:val="center"/>
              <w:rPr>
                <w:rFonts w:ascii="仿宋_GB2312" w:eastAsia="仿宋_GB2312"/>
                <w:kern w:val="0"/>
                <w:sz w:val="24"/>
                <w:szCs w:val="24"/>
              </w:rPr>
            </w:pPr>
            <w:r>
              <w:rPr>
                <w:rFonts w:hint="eastAsia" w:ascii="仿宋_GB2312" w:eastAsia="仿宋_GB2312"/>
                <w:b/>
                <w:kern w:val="0"/>
                <w:sz w:val="24"/>
                <w:szCs w:val="24"/>
              </w:rPr>
              <w:t>一、关于交易方案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tcBorders>
              <w:bottom w:val="single" w:color="000000" w:sz="4" w:space="0"/>
            </w:tcBorders>
            <w:vAlign w:val="center"/>
          </w:tcPr>
          <w:p>
            <w:pPr>
              <w:jc w:val="center"/>
              <w:rPr>
                <w:rFonts w:ascii="仿宋_GB2312" w:eastAsia="仿宋_GB2312"/>
                <w:b/>
                <w:bCs/>
                <w:sz w:val="24"/>
                <w:szCs w:val="24"/>
              </w:rPr>
            </w:pPr>
            <w:r>
              <w:rPr>
                <w:rFonts w:hint="eastAsia" w:ascii="仿宋_GB2312" w:eastAsia="仿宋_GB2312"/>
                <w:b/>
                <w:bCs/>
                <w:kern w:val="0"/>
                <w:sz w:val="24"/>
                <w:szCs w:val="24"/>
              </w:rPr>
              <w:t>1-1</w:t>
            </w:r>
          </w:p>
        </w:tc>
        <w:tc>
          <w:tcPr>
            <w:tcW w:w="4625" w:type="dxa"/>
            <w:tcBorders>
              <w:bottom w:val="single" w:color="000000" w:sz="4" w:space="0"/>
            </w:tcBorders>
            <w:vAlign w:val="center"/>
          </w:tcPr>
          <w:p>
            <w:pPr>
              <w:rPr>
                <w:rFonts w:ascii="仿宋_GB2312" w:eastAsia="仿宋_GB2312"/>
                <w:b/>
                <w:bCs/>
                <w:sz w:val="24"/>
                <w:szCs w:val="24"/>
              </w:rPr>
            </w:pPr>
            <w:r>
              <w:rPr>
                <w:rFonts w:hint="eastAsia" w:ascii="仿宋_GB2312" w:eastAsia="仿宋_GB2312"/>
                <w:b/>
                <w:bCs/>
                <w:kern w:val="0"/>
                <w:sz w:val="24"/>
                <w:szCs w:val="24"/>
              </w:rPr>
              <w:t>支付方式</w:t>
            </w:r>
          </w:p>
        </w:tc>
        <w:tc>
          <w:tcPr>
            <w:tcW w:w="1163" w:type="dxa"/>
            <w:tcBorders>
              <w:bottom w:val="single" w:color="000000" w:sz="4" w:space="0"/>
            </w:tcBorders>
            <w:vAlign w:val="center"/>
          </w:tcPr>
          <w:p>
            <w:pPr>
              <w:rPr>
                <w:rFonts w:ascii="仿宋_GB2312" w:eastAsia="仿宋_GB2312"/>
                <w:bCs/>
                <w:kern w:val="0"/>
                <w:sz w:val="24"/>
                <w:szCs w:val="24"/>
              </w:rPr>
            </w:pPr>
          </w:p>
        </w:tc>
        <w:tc>
          <w:tcPr>
            <w:tcW w:w="2193" w:type="dxa"/>
            <w:tcBorders>
              <w:bottom w:val="single" w:color="000000" w:sz="4" w:space="0"/>
            </w:tcBorders>
            <w:vAlign w:val="center"/>
          </w:tcPr>
          <w:p>
            <w:pPr>
              <w:rPr>
                <w:rFonts w:ascii="仿宋_GB2312" w:eastAsia="仿宋_GB2312"/>
                <w:kern w:val="0"/>
                <w:sz w:val="24"/>
                <w:szCs w:val="24"/>
              </w:rPr>
            </w:pPr>
          </w:p>
        </w:tc>
        <w:tc>
          <w:tcPr>
            <w:tcW w:w="1500" w:type="dxa"/>
            <w:tcBorders>
              <w:bottom w:val="single" w:color="000000" w:sz="4" w:space="0"/>
            </w:tcBorders>
            <w:vAlign w:val="center"/>
          </w:tcPr>
          <w:p>
            <w:pPr>
              <w:rPr>
                <w:rFonts w:ascii="仿宋_GB2312" w:eastAsia="仿宋_GB2312"/>
                <w:kern w:val="0"/>
                <w:sz w:val="24"/>
                <w:szCs w:val="24"/>
              </w:rPr>
            </w:pPr>
          </w:p>
        </w:tc>
        <w:tc>
          <w:tcPr>
            <w:tcW w:w="1200" w:type="dxa"/>
            <w:tcBorders>
              <w:bottom w:val="single" w:color="000000" w:sz="4" w:space="0"/>
            </w:tcBorders>
          </w:tcPr>
          <w:p>
            <w:pPr>
              <w:rPr>
                <w:rFonts w:ascii="仿宋_GB2312" w:eastAsia="仿宋_GB2312"/>
                <w:kern w:val="0"/>
                <w:sz w:val="24"/>
                <w:szCs w:val="24"/>
              </w:rPr>
            </w:pPr>
          </w:p>
        </w:tc>
        <w:tc>
          <w:tcPr>
            <w:tcW w:w="1369" w:type="dxa"/>
            <w:tcBorders>
              <w:bottom w:val="single" w:color="000000" w:sz="4" w:space="0"/>
            </w:tcBorders>
          </w:tcPr>
          <w:p>
            <w:pPr>
              <w:rPr>
                <w:rFonts w:ascii="仿宋_GB2312" w:eastAsia="仿宋_GB2312"/>
                <w:kern w:val="0"/>
                <w:sz w:val="24"/>
                <w:szCs w:val="24"/>
              </w:rPr>
            </w:pPr>
          </w:p>
        </w:tc>
        <w:tc>
          <w:tcPr>
            <w:tcW w:w="1256" w:type="dxa"/>
            <w:tcBorders>
              <w:bottom w:val="single" w:color="000000" w:sz="4" w:space="0"/>
            </w:tcBorders>
            <w:vAlign w:val="center"/>
          </w:tcPr>
          <w:p>
            <w:pPr>
              <w:rPr>
                <w:rFonts w:ascii="仿宋_GB2312" w:eastAsia="仿宋_GB2312"/>
                <w:kern w:val="0"/>
                <w:sz w:val="24"/>
                <w:szCs w:val="24"/>
              </w:rPr>
            </w:pPr>
          </w:p>
        </w:tc>
        <w:tc>
          <w:tcPr>
            <w:tcW w:w="668" w:type="dxa"/>
            <w:tcBorders>
              <w:bottom w:val="single" w:color="000000" w:sz="4" w:space="0"/>
            </w:tcBorders>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tcBorders>
              <w:bottom w:val="single" w:color="000000" w:sz="4" w:space="0"/>
            </w:tcBorders>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1-2</w:t>
            </w:r>
          </w:p>
        </w:tc>
        <w:tc>
          <w:tcPr>
            <w:tcW w:w="4625" w:type="dxa"/>
            <w:tcBorders>
              <w:bottom w:val="single" w:color="000000" w:sz="4" w:space="0"/>
            </w:tcBorders>
            <w:vAlign w:val="center"/>
          </w:tcPr>
          <w:p>
            <w:pPr>
              <w:rPr>
                <w:rFonts w:ascii="仿宋_GB2312" w:eastAsia="仿宋_GB2312"/>
                <w:b/>
                <w:bCs/>
                <w:kern w:val="0"/>
                <w:sz w:val="24"/>
                <w:szCs w:val="24"/>
              </w:rPr>
            </w:pPr>
            <w:r>
              <w:rPr>
                <w:rFonts w:hint="eastAsia" w:ascii="仿宋_GB2312" w:eastAsia="仿宋_GB2312"/>
                <w:b/>
                <w:bCs/>
                <w:sz w:val="24"/>
                <w:szCs w:val="24"/>
              </w:rPr>
              <w:t>募集配套资金</w:t>
            </w:r>
          </w:p>
        </w:tc>
        <w:tc>
          <w:tcPr>
            <w:tcW w:w="1163" w:type="dxa"/>
            <w:tcBorders>
              <w:bottom w:val="single" w:color="000000" w:sz="4" w:space="0"/>
            </w:tcBorders>
            <w:vAlign w:val="center"/>
          </w:tcPr>
          <w:p>
            <w:pPr>
              <w:rPr>
                <w:rFonts w:ascii="仿宋_GB2312" w:eastAsia="仿宋_GB2312"/>
                <w:kern w:val="0"/>
                <w:sz w:val="24"/>
                <w:szCs w:val="24"/>
              </w:rPr>
            </w:pPr>
          </w:p>
        </w:tc>
        <w:tc>
          <w:tcPr>
            <w:tcW w:w="2193" w:type="dxa"/>
            <w:tcBorders>
              <w:bottom w:val="single" w:color="000000" w:sz="4" w:space="0"/>
            </w:tcBorders>
            <w:vAlign w:val="center"/>
          </w:tcPr>
          <w:p>
            <w:pPr>
              <w:rPr>
                <w:rFonts w:ascii="仿宋_GB2312" w:eastAsia="仿宋_GB2312"/>
                <w:kern w:val="0"/>
                <w:sz w:val="24"/>
                <w:szCs w:val="24"/>
              </w:rPr>
            </w:pPr>
          </w:p>
        </w:tc>
        <w:tc>
          <w:tcPr>
            <w:tcW w:w="1500" w:type="dxa"/>
            <w:tcBorders>
              <w:bottom w:val="single" w:color="000000" w:sz="4" w:space="0"/>
            </w:tcBorders>
            <w:vAlign w:val="center"/>
          </w:tcPr>
          <w:p>
            <w:pPr>
              <w:rPr>
                <w:rFonts w:ascii="仿宋_GB2312" w:eastAsia="仿宋_GB2312"/>
                <w:bCs/>
                <w:kern w:val="0"/>
                <w:sz w:val="24"/>
                <w:szCs w:val="24"/>
              </w:rPr>
            </w:pPr>
          </w:p>
        </w:tc>
        <w:tc>
          <w:tcPr>
            <w:tcW w:w="1200" w:type="dxa"/>
            <w:tcBorders>
              <w:bottom w:val="single" w:color="000000" w:sz="4" w:space="0"/>
            </w:tcBorders>
          </w:tcPr>
          <w:p>
            <w:pPr>
              <w:rPr>
                <w:rFonts w:ascii="仿宋_GB2312" w:eastAsia="仿宋_GB2312"/>
                <w:kern w:val="0"/>
                <w:sz w:val="24"/>
                <w:szCs w:val="24"/>
              </w:rPr>
            </w:pPr>
          </w:p>
        </w:tc>
        <w:tc>
          <w:tcPr>
            <w:tcW w:w="1369" w:type="dxa"/>
            <w:tcBorders>
              <w:bottom w:val="single" w:color="000000" w:sz="4" w:space="0"/>
            </w:tcBorders>
          </w:tcPr>
          <w:p>
            <w:pPr>
              <w:rPr>
                <w:rFonts w:ascii="仿宋_GB2312" w:eastAsia="仿宋_GB2312"/>
                <w:kern w:val="0"/>
                <w:sz w:val="24"/>
                <w:szCs w:val="24"/>
              </w:rPr>
            </w:pPr>
          </w:p>
        </w:tc>
        <w:tc>
          <w:tcPr>
            <w:tcW w:w="1256" w:type="dxa"/>
            <w:tcBorders>
              <w:bottom w:val="single" w:color="000000" w:sz="4" w:space="0"/>
            </w:tcBorders>
            <w:vAlign w:val="center"/>
          </w:tcPr>
          <w:p>
            <w:pPr>
              <w:rPr>
                <w:rFonts w:ascii="仿宋_GB2312" w:eastAsia="仿宋_GB2312"/>
                <w:kern w:val="0"/>
                <w:sz w:val="24"/>
                <w:szCs w:val="24"/>
              </w:rPr>
            </w:pPr>
          </w:p>
        </w:tc>
        <w:tc>
          <w:tcPr>
            <w:tcW w:w="668" w:type="dxa"/>
            <w:tcBorders>
              <w:bottom w:val="single" w:color="000000" w:sz="4" w:space="0"/>
            </w:tcBorders>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tcBorders>
              <w:bottom w:val="single" w:color="000000" w:sz="4" w:space="0"/>
            </w:tcBorders>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1-3</w:t>
            </w:r>
          </w:p>
        </w:tc>
        <w:tc>
          <w:tcPr>
            <w:tcW w:w="4625" w:type="dxa"/>
            <w:tcBorders>
              <w:bottom w:val="single" w:color="000000" w:sz="4" w:space="0"/>
            </w:tcBorders>
            <w:vAlign w:val="center"/>
          </w:tcPr>
          <w:p>
            <w:pPr>
              <w:rPr>
                <w:rFonts w:ascii="仿宋_GB2312" w:eastAsia="仿宋_GB2312"/>
                <w:b/>
                <w:bCs/>
                <w:kern w:val="0"/>
                <w:sz w:val="24"/>
                <w:szCs w:val="24"/>
              </w:rPr>
            </w:pPr>
            <w:r>
              <w:rPr>
                <w:rFonts w:hint="eastAsia" w:ascii="仿宋_GB2312" w:eastAsia="仿宋_GB2312"/>
                <w:b/>
                <w:bCs/>
                <w:kern w:val="0"/>
                <w:sz w:val="24"/>
                <w:szCs w:val="24"/>
              </w:rPr>
              <w:t>是否构成重组上市</w:t>
            </w:r>
          </w:p>
        </w:tc>
        <w:tc>
          <w:tcPr>
            <w:tcW w:w="1163" w:type="dxa"/>
            <w:tcBorders>
              <w:bottom w:val="single" w:color="000000" w:sz="4" w:space="0"/>
            </w:tcBorders>
            <w:vAlign w:val="center"/>
          </w:tcPr>
          <w:p>
            <w:pPr>
              <w:rPr>
                <w:rFonts w:ascii="仿宋_GB2312" w:eastAsia="仿宋_GB2312"/>
                <w:kern w:val="0"/>
                <w:sz w:val="24"/>
                <w:szCs w:val="24"/>
              </w:rPr>
            </w:pPr>
          </w:p>
        </w:tc>
        <w:tc>
          <w:tcPr>
            <w:tcW w:w="2193" w:type="dxa"/>
            <w:tcBorders>
              <w:bottom w:val="single" w:color="000000" w:sz="4" w:space="0"/>
            </w:tcBorders>
            <w:vAlign w:val="center"/>
          </w:tcPr>
          <w:p>
            <w:pPr>
              <w:rPr>
                <w:rFonts w:ascii="仿宋_GB2312" w:eastAsia="仿宋_GB2312"/>
                <w:kern w:val="0"/>
                <w:sz w:val="24"/>
                <w:szCs w:val="24"/>
              </w:rPr>
            </w:pPr>
          </w:p>
        </w:tc>
        <w:tc>
          <w:tcPr>
            <w:tcW w:w="1500" w:type="dxa"/>
            <w:tcBorders>
              <w:bottom w:val="single" w:color="000000" w:sz="4" w:space="0"/>
            </w:tcBorders>
            <w:vAlign w:val="center"/>
          </w:tcPr>
          <w:p>
            <w:pPr>
              <w:rPr>
                <w:rFonts w:ascii="仿宋_GB2312" w:eastAsia="仿宋_GB2312"/>
                <w:kern w:val="0"/>
                <w:sz w:val="24"/>
                <w:szCs w:val="24"/>
              </w:rPr>
            </w:pPr>
          </w:p>
        </w:tc>
        <w:tc>
          <w:tcPr>
            <w:tcW w:w="1200" w:type="dxa"/>
            <w:tcBorders>
              <w:bottom w:val="single" w:color="000000" w:sz="4" w:space="0"/>
            </w:tcBorders>
          </w:tcPr>
          <w:p>
            <w:pPr>
              <w:rPr>
                <w:rFonts w:ascii="仿宋_GB2312" w:eastAsia="仿宋_GB2312"/>
                <w:kern w:val="0"/>
                <w:sz w:val="24"/>
                <w:szCs w:val="24"/>
              </w:rPr>
            </w:pPr>
          </w:p>
        </w:tc>
        <w:tc>
          <w:tcPr>
            <w:tcW w:w="1369" w:type="dxa"/>
            <w:tcBorders>
              <w:bottom w:val="single" w:color="000000" w:sz="4" w:space="0"/>
            </w:tcBorders>
          </w:tcPr>
          <w:p>
            <w:pPr>
              <w:rPr>
                <w:rFonts w:ascii="仿宋_GB2312" w:eastAsia="仿宋_GB2312"/>
                <w:kern w:val="0"/>
                <w:sz w:val="24"/>
                <w:szCs w:val="24"/>
              </w:rPr>
            </w:pPr>
          </w:p>
        </w:tc>
        <w:tc>
          <w:tcPr>
            <w:tcW w:w="1256" w:type="dxa"/>
            <w:tcBorders>
              <w:bottom w:val="single" w:color="000000" w:sz="4" w:space="0"/>
            </w:tcBorders>
            <w:vAlign w:val="center"/>
          </w:tcPr>
          <w:p>
            <w:pPr>
              <w:rPr>
                <w:rFonts w:ascii="仿宋_GB2312" w:eastAsia="仿宋_GB2312"/>
                <w:kern w:val="0"/>
                <w:sz w:val="24"/>
                <w:szCs w:val="24"/>
              </w:rPr>
            </w:pPr>
          </w:p>
        </w:tc>
        <w:tc>
          <w:tcPr>
            <w:tcW w:w="668" w:type="dxa"/>
            <w:tcBorders>
              <w:bottom w:val="single" w:color="000000" w:sz="4" w:space="0"/>
            </w:tcBorders>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tcBorders>
              <w:bottom w:val="single" w:color="000000" w:sz="4" w:space="0"/>
            </w:tcBorders>
            <w:vAlign w:val="center"/>
          </w:tcPr>
          <w:p>
            <w:pPr>
              <w:jc w:val="center"/>
              <w:rPr>
                <w:rFonts w:ascii="仿宋_GB2312" w:eastAsia="仿宋_GB2312"/>
                <w:b/>
                <w:kern w:val="0"/>
                <w:sz w:val="24"/>
                <w:szCs w:val="24"/>
              </w:rPr>
            </w:pPr>
            <w:r>
              <w:rPr>
                <w:rFonts w:hint="eastAsia" w:ascii="仿宋_GB2312" w:eastAsia="仿宋_GB2312"/>
                <w:b/>
                <w:bCs/>
                <w:kern w:val="0"/>
                <w:sz w:val="24"/>
                <w:szCs w:val="24"/>
              </w:rPr>
              <w:t>1-4</w:t>
            </w:r>
          </w:p>
        </w:tc>
        <w:tc>
          <w:tcPr>
            <w:tcW w:w="4625" w:type="dxa"/>
            <w:tcBorders>
              <w:bottom w:val="single" w:color="000000" w:sz="4" w:space="0"/>
            </w:tcBorders>
            <w:vAlign w:val="center"/>
          </w:tcPr>
          <w:p>
            <w:pPr>
              <w:rPr>
                <w:rFonts w:ascii="仿宋_GB2312" w:eastAsia="仿宋_GB2312"/>
                <w:b/>
                <w:kern w:val="0"/>
                <w:sz w:val="24"/>
                <w:szCs w:val="24"/>
              </w:rPr>
            </w:pPr>
            <w:r>
              <w:rPr>
                <w:rFonts w:hint="eastAsia" w:ascii="仿宋_GB2312" w:eastAsia="仿宋_GB2312"/>
                <w:b/>
                <w:bCs/>
                <w:kern w:val="0"/>
                <w:sz w:val="24"/>
                <w:szCs w:val="24"/>
              </w:rPr>
              <w:t>业绩承诺及可实现性</w:t>
            </w:r>
          </w:p>
        </w:tc>
        <w:tc>
          <w:tcPr>
            <w:tcW w:w="1163" w:type="dxa"/>
            <w:tcBorders>
              <w:bottom w:val="single" w:color="000000" w:sz="4" w:space="0"/>
            </w:tcBorders>
            <w:vAlign w:val="center"/>
          </w:tcPr>
          <w:p>
            <w:pPr>
              <w:rPr>
                <w:rFonts w:ascii="仿宋_GB2312" w:eastAsia="仿宋_GB2312"/>
                <w:kern w:val="0"/>
                <w:sz w:val="24"/>
                <w:szCs w:val="24"/>
              </w:rPr>
            </w:pPr>
          </w:p>
        </w:tc>
        <w:tc>
          <w:tcPr>
            <w:tcW w:w="2193" w:type="dxa"/>
            <w:tcBorders>
              <w:bottom w:val="single" w:color="000000" w:sz="4" w:space="0"/>
            </w:tcBorders>
            <w:vAlign w:val="center"/>
          </w:tcPr>
          <w:p>
            <w:pPr>
              <w:rPr>
                <w:rFonts w:ascii="仿宋_GB2312" w:eastAsia="仿宋_GB2312"/>
                <w:kern w:val="0"/>
                <w:sz w:val="24"/>
                <w:szCs w:val="24"/>
              </w:rPr>
            </w:pPr>
          </w:p>
        </w:tc>
        <w:tc>
          <w:tcPr>
            <w:tcW w:w="1500" w:type="dxa"/>
            <w:tcBorders>
              <w:bottom w:val="single" w:color="000000" w:sz="4" w:space="0"/>
            </w:tcBorders>
            <w:vAlign w:val="center"/>
          </w:tcPr>
          <w:p>
            <w:pPr>
              <w:rPr>
                <w:rFonts w:ascii="仿宋_GB2312" w:eastAsia="仿宋_GB2312"/>
                <w:kern w:val="0"/>
                <w:sz w:val="24"/>
                <w:szCs w:val="24"/>
              </w:rPr>
            </w:pPr>
          </w:p>
        </w:tc>
        <w:tc>
          <w:tcPr>
            <w:tcW w:w="1200" w:type="dxa"/>
            <w:tcBorders>
              <w:bottom w:val="single" w:color="000000" w:sz="4" w:space="0"/>
            </w:tcBorders>
          </w:tcPr>
          <w:p>
            <w:pPr>
              <w:rPr>
                <w:rFonts w:ascii="仿宋_GB2312" w:eastAsia="仿宋_GB2312"/>
                <w:kern w:val="0"/>
                <w:sz w:val="24"/>
                <w:szCs w:val="24"/>
              </w:rPr>
            </w:pPr>
          </w:p>
        </w:tc>
        <w:tc>
          <w:tcPr>
            <w:tcW w:w="1369" w:type="dxa"/>
            <w:tcBorders>
              <w:bottom w:val="single" w:color="000000" w:sz="4" w:space="0"/>
            </w:tcBorders>
          </w:tcPr>
          <w:p>
            <w:pPr>
              <w:rPr>
                <w:rFonts w:ascii="仿宋_GB2312" w:eastAsia="仿宋_GB2312"/>
                <w:kern w:val="0"/>
                <w:sz w:val="24"/>
                <w:szCs w:val="24"/>
              </w:rPr>
            </w:pPr>
          </w:p>
        </w:tc>
        <w:tc>
          <w:tcPr>
            <w:tcW w:w="1256" w:type="dxa"/>
            <w:tcBorders>
              <w:bottom w:val="single" w:color="000000" w:sz="4" w:space="0"/>
            </w:tcBorders>
            <w:vAlign w:val="center"/>
          </w:tcPr>
          <w:p>
            <w:pPr>
              <w:rPr>
                <w:rFonts w:ascii="仿宋_GB2312" w:eastAsia="仿宋_GB2312"/>
                <w:kern w:val="0"/>
                <w:sz w:val="24"/>
                <w:szCs w:val="24"/>
              </w:rPr>
            </w:pPr>
          </w:p>
        </w:tc>
        <w:tc>
          <w:tcPr>
            <w:tcW w:w="668" w:type="dxa"/>
            <w:tcBorders>
              <w:bottom w:val="single" w:color="000000" w:sz="4" w:space="0"/>
            </w:tcBorders>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tcBorders>
              <w:bottom w:val="single" w:color="000000" w:sz="4" w:space="0"/>
            </w:tcBorders>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1-5</w:t>
            </w:r>
          </w:p>
        </w:tc>
        <w:tc>
          <w:tcPr>
            <w:tcW w:w="4625" w:type="dxa"/>
            <w:tcBorders>
              <w:bottom w:val="single" w:color="000000" w:sz="4" w:space="0"/>
            </w:tcBorders>
            <w:vAlign w:val="center"/>
          </w:tcPr>
          <w:p>
            <w:pPr>
              <w:rPr>
                <w:rFonts w:ascii="仿宋_GB2312" w:eastAsia="仿宋_GB2312"/>
                <w:b/>
                <w:bCs/>
                <w:kern w:val="0"/>
                <w:sz w:val="24"/>
                <w:szCs w:val="24"/>
              </w:rPr>
            </w:pPr>
            <w:r>
              <w:rPr>
                <w:rFonts w:hint="eastAsia" w:ascii="仿宋_GB2312" w:eastAsia="仿宋_GB2312"/>
                <w:b/>
                <w:bCs/>
                <w:kern w:val="0"/>
                <w:sz w:val="24"/>
                <w:szCs w:val="24"/>
              </w:rPr>
              <w:t>业绩奖励</w:t>
            </w:r>
          </w:p>
        </w:tc>
        <w:tc>
          <w:tcPr>
            <w:tcW w:w="1163" w:type="dxa"/>
            <w:tcBorders>
              <w:bottom w:val="single" w:color="000000" w:sz="4" w:space="0"/>
            </w:tcBorders>
            <w:vAlign w:val="center"/>
          </w:tcPr>
          <w:p>
            <w:pPr>
              <w:rPr>
                <w:rFonts w:ascii="仿宋_GB2312" w:eastAsia="仿宋_GB2312"/>
                <w:kern w:val="0"/>
                <w:sz w:val="24"/>
                <w:szCs w:val="24"/>
              </w:rPr>
            </w:pPr>
          </w:p>
        </w:tc>
        <w:tc>
          <w:tcPr>
            <w:tcW w:w="2193" w:type="dxa"/>
            <w:tcBorders>
              <w:bottom w:val="single" w:color="000000" w:sz="4" w:space="0"/>
            </w:tcBorders>
            <w:vAlign w:val="center"/>
          </w:tcPr>
          <w:p>
            <w:pPr>
              <w:rPr>
                <w:rFonts w:ascii="仿宋_GB2312" w:eastAsia="仿宋_GB2312"/>
                <w:kern w:val="0"/>
                <w:sz w:val="24"/>
                <w:szCs w:val="24"/>
              </w:rPr>
            </w:pPr>
          </w:p>
        </w:tc>
        <w:tc>
          <w:tcPr>
            <w:tcW w:w="1500" w:type="dxa"/>
            <w:tcBorders>
              <w:bottom w:val="single" w:color="000000" w:sz="4" w:space="0"/>
            </w:tcBorders>
            <w:vAlign w:val="center"/>
          </w:tcPr>
          <w:p>
            <w:pPr>
              <w:rPr>
                <w:rFonts w:ascii="仿宋_GB2312" w:eastAsia="仿宋_GB2312"/>
                <w:kern w:val="0"/>
                <w:sz w:val="24"/>
                <w:szCs w:val="24"/>
              </w:rPr>
            </w:pPr>
          </w:p>
        </w:tc>
        <w:tc>
          <w:tcPr>
            <w:tcW w:w="1200" w:type="dxa"/>
            <w:tcBorders>
              <w:bottom w:val="single" w:color="000000" w:sz="4" w:space="0"/>
            </w:tcBorders>
          </w:tcPr>
          <w:p>
            <w:pPr>
              <w:rPr>
                <w:rFonts w:ascii="仿宋_GB2312" w:eastAsia="仿宋_GB2312"/>
                <w:kern w:val="0"/>
                <w:sz w:val="24"/>
                <w:szCs w:val="24"/>
              </w:rPr>
            </w:pPr>
          </w:p>
        </w:tc>
        <w:tc>
          <w:tcPr>
            <w:tcW w:w="1369" w:type="dxa"/>
            <w:tcBorders>
              <w:bottom w:val="single" w:color="000000" w:sz="4" w:space="0"/>
            </w:tcBorders>
          </w:tcPr>
          <w:p>
            <w:pPr>
              <w:rPr>
                <w:rFonts w:ascii="仿宋_GB2312" w:eastAsia="仿宋_GB2312"/>
                <w:kern w:val="0"/>
                <w:sz w:val="24"/>
                <w:szCs w:val="24"/>
              </w:rPr>
            </w:pPr>
          </w:p>
        </w:tc>
        <w:tc>
          <w:tcPr>
            <w:tcW w:w="1256" w:type="dxa"/>
            <w:tcBorders>
              <w:bottom w:val="single" w:color="000000" w:sz="4" w:space="0"/>
            </w:tcBorders>
            <w:vAlign w:val="center"/>
          </w:tcPr>
          <w:p>
            <w:pPr>
              <w:rPr>
                <w:rFonts w:ascii="仿宋_GB2312" w:eastAsia="仿宋_GB2312"/>
                <w:kern w:val="0"/>
                <w:sz w:val="24"/>
                <w:szCs w:val="24"/>
              </w:rPr>
            </w:pPr>
          </w:p>
        </w:tc>
        <w:tc>
          <w:tcPr>
            <w:tcW w:w="668" w:type="dxa"/>
            <w:tcBorders>
              <w:bottom w:val="single" w:color="000000" w:sz="4" w:space="0"/>
            </w:tcBorders>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1-6</w:t>
            </w:r>
          </w:p>
        </w:tc>
        <w:tc>
          <w:tcPr>
            <w:tcW w:w="4625" w:type="dxa"/>
            <w:vAlign w:val="center"/>
          </w:tcPr>
          <w:p>
            <w:pPr>
              <w:rPr>
                <w:rFonts w:ascii="仿宋_GB2312" w:eastAsia="仿宋_GB2312"/>
                <w:b/>
                <w:bCs/>
                <w:kern w:val="0"/>
                <w:sz w:val="24"/>
                <w:szCs w:val="24"/>
              </w:rPr>
            </w:pPr>
            <w:r>
              <w:rPr>
                <w:rFonts w:hint="eastAsia" w:ascii="仿宋_GB2312" w:eastAsia="仿宋_GB2312"/>
                <w:b/>
                <w:bCs/>
                <w:kern w:val="0"/>
                <w:sz w:val="24"/>
                <w:szCs w:val="24"/>
              </w:rPr>
              <w:t>锁定期安排</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1-7</w:t>
            </w:r>
          </w:p>
        </w:tc>
        <w:tc>
          <w:tcPr>
            <w:tcW w:w="4625" w:type="dxa"/>
            <w:vAlign w:val="center"/>
          </w:tcPr>
          <w:p>
            <w:pPr>
              <w:rPr>
                <w:rFonts w:ascii="仿宋_GB2312" w:eastAsia="仿宋_GB2312"/>
                <w:b/>
                <w:bCs/>
                <w:kern w:val="0"/>
                <w:sz w:val="24"/>
                <w:szCs w:val="24"/>
              </w:rPr>
            </w:pPr>
            <w:r>
              <w:rPr>
                <w:rFonts w:hint="eastAsia" w:ascii="仿宋_GB2312" w:eastAsia="仿宋_GB2312"/>
                <w:b/>
                <w:bCs/>
                <w:kern w:val="0"/>
                <w:sz w:val="24"/>
                <w:szCs w:val="24"/>
              </w:rPr>
              <w:t>过渡期损益安排</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1-8</w:t>
            </w:r>
          </w:p>
        </w:tc>
        <w:tc>
          <w:tcPr>
            <w:tcW w:w="4625" w:type="dxa"/>
            <w:vAlign w:val="center"/>
          </w:tcPr>
          <w:p>
            <w:pPr>
              <w:rPr>
                <w:rFonts w:ascii="仿宋_GB2312" w:eastAsia="仿宋_GB2312"/>
                <w:b/>
                <w:bCs/>
                <w:kern w:val="0"/>
                <w:sz w:val="24"/>
                <w:szCs w:val="24"/>
              </w:rPr>
            </w:pPr>
            <w:r>
              <w:rPr>
                <w:rFonts w:hint="eastAsia" w:ascii="仿宋_GB2312" w:eastAsia="仿宋_GB2312"/>
                <w:b/>
                <w:bCs/>
                <w:kern w:val="0"/>
                <w:sz w:val="24"/>
                <w:szCs w:val="24"/>
              </w:rPr>
              <w:t>交易必要性及协同效应</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725" w:type="dxa"/>
            <w:gridSpan w:val="9"/>
            <w:vAlign w:val="center"/>
          </w:tcPr>
          <w:p>
            <w:pPr>
              <w:jc w:val="center"/>
              <w:rPr>
                <w:rFonts w:ascii="仿宋_GB2312" w:eastAsia="仿宋_GB2312"/>
                <w:kern w:val="0"/>
                <w:sz w:val="24"/>
                <w:szCs w:val="24"/>
              </w:rPr>
            </w:pPr>
            <w:r>
              <w:rPr>
                <w:rFonts w:hint="eastAsia" w:ascii="仿宋_GB2312" w:eastAsia="仿宋_GB2312"/>
                <w:b/>
                <w:kern w:val="0"/>
                <w:sz w:val="24"/>
                <w:szCs w:val="24"/>
              </w:rPr>
              <w:t>二、关于合规性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2-1</w:t>
            </w:r>
          </w:p>
        </w:tc>
        <w:tc>
          <w:tcPr>
            <w:tcW w:w="4625" w:type="dxa"/>
            <w:vAlign w:val="center"/>
          </w:tcPr>
          <w:p>
            <w:pPr>
              <w:autoSpaceDE w:val="0"/>
              <w:autoSpaceDN w:val="0"/>
              <w:adjustRightInd w:val="0"/>
              <w:rPr>
                <w:rFonts w:ascii="仿宋_GB2312" w:eastAsia="仿宋_GB2312"/>
                <w:b/>
                <w:kern w:val="0"/>
                <w:sz w:val="24"/>
                <w:szCs w:val="24"/>
              </w:rPr>
            </w:pPr>
            <w:r>
              <w:rPr>
                <w:rFonts w:hint="eastAsia" w:ascii="仿宋_GB2312" w:eastAsia="仿宋_GB2312"/>
                <w:b/>
                <w:bCs/>
                <w:sz w:val="24"/>
                <w:szCs w:val="24"/>
              </w:rPr>
              <w:t>需履行的前置审批或并联审批程序</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2-2</w:t>
            </w:r>
          </w:p>
        </w:tc>
        <w:tc>
          <w:tcPr>
            <w:tcW w:w="4625" w:type="dxa"/>
            <w:vAlign w:val="center"/>
          </w:tcPr>
          <w:p>
            <w:pPr>
              <w:rPr>
                <w:rFonts w:ascii="仿宋_GB2312" w:eastAsia="仿宋_GB2312"/>
                <w:b/>
                <w:bCs/>
                <w:sz w:val="24"/>
                <w:szCs w:val="24"/>
              </w:rPr>
            </w:pPr>
            <w:r>
              <w:rPr>
                <w:rFonts w:hint="eastAsia" w:ascii="仿宋_GB2312" w:eastAsia="仿宋_GB2312"/>
                <w:b/>
                <w:bCs/>
                <w:sz w:val="24"/>
                <w:szCs w:val="24"/>
              </w:rPr>
              <w:t>产业政策</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2-3</w:t>
            </w:r>
          </w:p>
        </w:tc>
        <w:tc>
          <w:tcPr>
            <w:tcW w:w="4625" w:type="dxa"/>
            <w:vAlign w:val="center"/>
          </w:tcPr>
          <w:p>
            <w:pPr>
              <w:rPr>
                <w:rFonts w:ascii="仿宋_GB2312" w:eastAsia="仿宋_GB2312"/>
                <w:b/>
                <w:sz w:val="24"/>
                <w:szCs w:val="24"/>
              </w:rPr>
            </w:pPr>
            <w:r>
              <w:rPr>
                <w:rFonts w:hint="eastAsia" w:ascii="仿宋_GB2312" w:eastAsia="仿宋_GB2312"/>
                <w:b/>
                <w:bCs/>
                <w:kern w:val="0"/>
                <w:sz w:val="24"/>
                <w:szCs w:val="24"/>
              </w:rPr>
              <w:t>重组条件</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2-4</w:t>
            </w:r>
          </w:p>
        </w:tc>
        <w:tc>
          <w:tcPr>
            <w:tcW w:w="4625" w:type="dxa"/>
            <w:vAlign w:val="center"/>
          </w:tcPr>
          <w:p>
            <w:pPr>
              <w:rPr>
                <w:rFonts w:ascii="仿宋_GB2312" w:eastAsia="仿宋_GB2312"/>
                <w:b/>
                <w:bCs/>
                <w:kern w:val="0"/>
                <w:sz w:val="24"/>
                <w:szCs w:val="24"/>
              </w:rPr>
            </w:pPr>
            <w:r>
              <w:rPr>
                <w:rFonts w:hint="eastAsia" w:ascii="仿宋_GB2312" w:eastAsia="仿宋_GB2312"/>
                <w:b/>
                <w:bCs/>
                <w:kern w:val="0"/>
                <w:sz w:val="24"/>
                <w:szCs w:val="24"/>
              </w:rPr>
              <w:t>重组上市条件</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2-5</w:t>
            </w:r>
          </w:p>
        </w:tc>
        <w:tc>
          <w:tcPr>
            <w:tcW w:w="4625" w:type="dxa"/>
            <w:vAlign w:val="center"/>
          </w:tcPr>
          <w:p>
            <w:pPr>
              <w:rPr>
                <w:rFonts w:ascii="仿宋_GB2312" w:eastAsia="仿宋_GB2312"/>
                <w:b/>
                <w:bCs/>
                <w:sz w:val="24"/>
                <w:szCs w:val="24"/>
              </w:rPr>
            </w:pPr>
            <w:r>
              <w:rPr>
                <w:rFonts w:hint="eastAsia" w:ascii="仿宋_GB2312" w:eastAsia="仿宋_GB2312"/>
                <w:b/>
                <w:bCs/>
                <w:kern w:val="0"/>
                <w:sz w:val="24"/>
                <w:szCs w:val="24"/>
              </w:rPr>
              <w:t>标的资产——行业准入及经营资质</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2-6</w:t>
            </w:r>
          </w:p>
        </w:tc>
        <w:tc>
          <w:tcPr>
            <w:tcW w:w="4625" w:type="dxa"/>
            <w:vAlign w:val="center"/>
          </w:tcPr>
          <w:p>
            <w:pPr>
              <w:rPr>
                <w:rFonts w:ascii="仿宋_GB2312" w:eastAsia="仿宋_GB2312"/>
                <w:b/>
                <w:sz w:val="24"/>
                <w:szCs w:val="24"/>
              </w:rPr>
            </w:pPr>
            <w:r>
              <w:rPr>
                <w:rFonts w:hint="eastAsia" w:ascii="仿宋_GB2312" w:eastAsia="仿宋_GB2312"/>
                <w:b/>
                <w:bCs/>
                <w:kern w:val="0"/>
                <w:sz w:val="24"/>
                <w:szCs w:val="24"/>
              </w:rPr>
              <w:t>标的资产——权属状况</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2-7</w:t>
            </w:r>
          </w:p>
        </w:tc>
        <w:tc>
          <w:tcPr>
            <w:tcW w:w="4625" w:type="dxa"/>
            <w:vAlign w:val="center"/>
          </w:tcPr>
          <w:p>
            <w:pPr>
              <w:autoSpaceDE w:val="0"/>
              <w:autoSpaceDN w:val="0"/>
              <w:adjustRightInd w:val="0"/>
              <w:rPr>
                <w:rFonts w:ascii="仿宋_GB2312" w:eastAsia="仿宋_GB2312"/>
                <w:b/>
                <w:bCs/>
                <w:kern w:val="0"/>
                <w:sz w:val="24"/>
                <w:szCs w:val="24"/>
              </w:rPr>
            </w:pPr>
            <w:r>
              <w:rPr>
                <w:rFonts w:hint="eastAsia" w:ascii="仿宋_GB2312" w:eastAsia="仿宋_GB2312"/>
                <w:b/>
                <w:kern w:val="0"/>
                <w:sz w:val="24"/>
                <w:szCs w:val="24"/>
              </w:rPr>
              <w:t>标的资产——资金占用</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2-8</w:t>
            </w:r>
          </w:p>
        </w:tc>
        <w:tc>
          <w:tcPr>
            <w:tcW w:w="4625" w:type="dxa"/>
            <w:vAlign w:val="center"/>
          </w:tcPr>
          <w:p>
            <w:pPr>
              <w:rPr>
                <w:rFonts w:ascii="仿宋_GB2312" w:eastAsia="仿宋_GB2312"/>
                <w:bCs/>
                <w:kern w:val="0"/>
                <w:sz w:val="24"/>
                <w:szCs w:val="24"/>
              </w:rPr>
            </w:pPr>
            <w:r>
              <w:rPr>
                <w:rFonts w:hint="eastAsia" w:ascii="仿宋_GB2312" w:eastAsia="仿宋_GB2312"/>
                <w:b/>
                <w:bCs/>
                <w:kern w:val="0"/>
                <w:sz w:val="24"/>
                <w:szCs w:val="24"/>
              </w:rPr>
              <w:t>交易对方——标的资产股东人数</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2-9</w:t>
            </w:r>
          </w:p>
        </w:tc>
        <w:tc>
          <w:tcPr>
            <w:tcW w:w="4625" w:type="dxa"/>
            <w:vAlign w:val="center"/>
          </w:tcPr>
          <w:p>
            <w:pPr>
              <w:autoSpaceDE w:val="0"/>
              <w:autoSpaceDN w:val="0"/>
              <w:adjustRightInd w:val="0"/>
              <w:rPr>
                <w:rFonts w:ascii="仿宋_GB2312" w:eastAsia="仿宋_GB2312"/>
                <w:b/>
                <w:bCs/>
                <w:kern w:val="0"/>
                <w:sz w:val="24"/>
                <w:szCs w:val="24"/>
              </w:rPr>
            </w:pPr>
            <w:r>
              <w:rPr>
                <w:rFonts w:hint="eastAsia" w:ascii="仿宋_GB2312" w:eastAsia="仿宋_GB2312"/>
                <w:b/>
                <w:bCs/>
                <w:kern w:val="0"/>
                <w:sz w:val="24"/>
                <w:szCs w:val="24"/>
              </w:rPr>
              <w:t>交易对方——涉及合伙企业、契约型私募基金、券商资管计划、信托计划、基金专户及基金子公司产品、理财产品、保险资管计划、专门为本次交易设立的公司等</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2-10</w:t>
            </w:r>
          </w:p>
        </w:tc>
        <w:tc>
          <w:tcPr>
            <w:tcW w:w="4625" w:type="dxa"/>
            <w:vAlign w:val="center"/>
          </w:tcPr>
          <w:p>
            <w:pPr>
              <w:autoSpaceDE w:val="0"/>
              <w:autoSpaceDN w:val="0"/>
              <w:adjustRightInd w:val="0"/>
              <w:rPr>
                <w:rFonts w:ascii="仿宋_GB2312" w:eastAsia="仿宋_GB2312"/>
                <w:b/>
                <w:kern w:val="0"/>
                <w:sz w:val="24"/>
                <w:szCs w:val="24"/>
              </w:rPr>
            </w:pPr>
            <w:r>
              <w:rPr>
                <w:rFonts w:hint="eastAsia" w:ascii="仿宋_GB2312" w:eastAsia="仿宋_GB2312"/>
                <w:b/>
                <w:kern w:val="0"/>
                <w:sz w:val="24"/>
                <w:szCs w:val="24"/>
              </w:rPr>
              <w:t>信息披露要求及信息披露豁免</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2-11</w:t>
            </w:r>
          </w:p>
        </w:tc>
        <w:tc>
          <w:tcPr>
            <w:tcW w:w="4625" w:type="dxa"/>
            <w:vAlign w:val="center"/>
          </w:tcPr>
          <w:p>
            <w:pPr>
              <w:autoSpaceDE w:val="0"/>
              <w:autoSpaceDN w:val="0"/>
              <w:adjustRightInd w:val="0"/>
              <w:rPr>
                <w:rFonts w:ascii="仿宋_GB2312" w:eastAsia="仿宋_GB2312"/>
                <w:b/>
                <w:kern w:val="0"/>
                <w:sz w:val="24"/>
                <w:szCs w:val="24"/>
              </w:rPr>
            </w:pPr>
            <w:r>
              <w:rPr>
                <w:rFonts w:hint="eastAsia" w:ascii="仿宋_GB2312" w:eastAsia="仿宋_GB2312"/>
                <w:b/>
                <w:bCs/>
                <w:kern w:val="0"/>
                <w:sz w:val="24"/>
                <w:szCs w:val="24"/>
              </w:rPr>
              <w:t>整合管控风险</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2-12</w:t>
            </w:r>
          </w:p>
        </w:tc>
        <w:tc>
          <w:tcPr>
            <w:tcW w:w="4625" w:type="dxa"/>
            <w:vAlign w:val="center"/>
          </w:tcPr>
          <w:p>
            <w:pPr>
              <w:autoSpaceDE w:val="0"/>
              <w:autoSpaceDN w:val="0"/>
              <w:adjustRightInd w:val="0"/>
              <w:rPr>
                <w:rFonts w:ascii="仿宋_GB2312" w:eastAsia="仿宋_GB2312"/>
                <w:b/>
                <w:kern w:val="0"/>
                <w:sz w:val="24"/>
                <w:szCs w:val="24"/>
              </w:rPr>
            </w:pPr>
            <w:r>
              <w:rPr>
                <w:rFonts w:hint="eastAsia" w:ascii="仿宋_GB2312" w:eastAsia="仿宋_GB2312"/>
                <w:b/>
                <w:kern w:val="0"/>
                <w:sz w:val="24"/>
                <w:szCs w:val="24"/>
              </w:rPr>
              <w:t>承诺事项及舆情情况</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725" w:type="dxa"/>
            <w:gridSpan w:val="9"/>
            <w:vAlign w:val="center"/>
          </w:tcPr>
          <w:p>
            <w:pPr>
              <w:jc w:val="center"/>
              <w:rPr>
                <w:rFonts w:ascii="仿宋_GB2312" w:eastAsia="仿宋_GB2312"/>
                <w:kern w:val="0"/>
                <w:sz w:val="24"/>
                <w:szCs w:val="24"/>
              </w:rPr>
            </w:pPr>
            <w:r>
              <w:rPr>
                <w:rFonts w:hint="eastAsia" w:ascii="仿宋_GB2312" w:eastAsia="仿宋_GB2312"/>
                <w:b/>
                <w:kern w:val="0"/>
                <w:sz w:val="24"/>
                <w:szCs w:val="24"/>
              </w:rPr>
              <w:t>三、关于标的资产估值与作价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3</w:t>
            </w:r>
            <w:r>
              <w:rPr>
                <w:rFonts w:ascii="仿宋_GB2312" w:eastAsia="仿宋_GB2312"/>
                <w:b/>
                <w:kern w:val="0"/>
                <w:sz w:val="24"/>
                <w:szCs w:val="24"/>
              </w:rPr>
              <w:t>-1</w:t>
            </w:r>
          </w:p>
        </w:tc>
        <w:tc>
          <w:tcPr>
            <w:tcW w:w="4625" w:type="dxa"/>
            <w:vAlign w:val="center"/>
          </w:tcPr>
          <w:p>
            <w:pPr>
              <w:rPr>
                <w:rFonts w:ascii="仿宋_GB2312" w:eastAsia="仿宋_GB2312"/>
                <w:b/>
                <w:kern w:val="0"/>
                <w:sz w:val="24"/>
                <w:szCs w:val="24"/>
                <w:highlight w:val="yellow"/>
              </w:rPr>
            </w:pPr>
            <w:r>
              <w:rPr>
                <w:rFonts w:hint="eastAsia" w:ascii="仿宋_GB2312" w:hAnsi="仿宋_GB2312" w:eastAsia="仿宋_GB2312" w:cs="仿宋_GB2312"/>
                <w:b/>
                <w:spacing w:val="-4"/>
                <w:sz w:val="24"/>
                <w:szCs w:val="24"/>
              </w:rPr>
              <w:t>本次</w:t>
            </w:r>
            <w:r>
              <w:rPr>
                <w:rFonts w:hint="eastAsia" w:ascii="仿宋_GB2312" w:hAnsi="仿宋_GB2312" w:eastAsia="仿宋_GB2312" w:cs="仿宋_GB2312"/>
                <w:b/>
                <w:spacing w:val="-3"/>
                <w:sz w:val="24"/>
                <w:szCs w:val="24"/>
              </w:rPr>
              <w:t>交</w:t>
            </w:r>
            <w:r>
              <w:rPr>
                <w:rFonts w:hint="eastAsia" w:ascii="仿宋_GB2312" w:hAnsi="仿宋_GB2312" w:eastAsia="仿宋_GB2312" w:cs="仿宋_GB2312"/>
                <w:b/>
                <w:spacing w:val="-2"/>
                <w:sz w:val="24"/>
                <w:szCs w:val="24"/>
              </w:rPr>
              <w:t>易</w:t>
            </w:r>
            <w:r>
              <w:rPr>
                <w:rFonts w:hint="eastAsia" w:ascii="仿宋_GB2312" w:hAnsi="仿宋_GB2312" w:eastAsia="仿宋_GB2312" w:cs="仿宋_GB2312"/>
                <w:b/>
                <w:spacing w:val="-4"/>
                <w:sz w:val="24"/>
                <w:szCs w:val="24"/>
              </w:rPr>
              <w:t>以资</w:t>
            </w:r>
            <w:r>
              <w:rPr>
                <w:rFonts w:hint="eastAsia" w:ascii="仿宋_GB2312" w:hAnsi="仿宋_GB2312" w:eastAsia="仿宋_GB2312" w:cs="仿宋_GB2312"/>
                <w:b/>
                <w:spacing w:val="-3"/>
                <w:sz w:val="24"/>
                <w:szCs w:val="24"/>
              </w:rPr>
              <w:t>产</w:t>
            </w:r>
            <w:r>
              <w:rPr>
                <w:rFonts w:hint="eastAsia" w:ascii="仿宋_GB2312" w:hAnsi="仿宋_GB2312" w:eastAsia="仿宋_GB2312" w:cs="仿宋_GB2312"/>
                <w:b/>
                <w:spacing w:val="-2"/>
                <w:sz w:val="24"/>
                <w:szCs w:val="24"/>
              </w:rPr>
              <w:t>评估结</w:t>
            </w:r>
            <w:r>
              <w:rPr>
                <w:rFonts w:hint="eastAsia" w:ascii="仿宋_GB2312" w:hAnsi="仿宋_GB2312" w:eastAsia="仿宋_GB2312" w:cs="仿宋_GB2312"/>
                <w:b/>
                <w:spacing w:val="-4"/>
                <w:sz w:val="24"/>
                <w:szCs w:val="24"/>
              </w:rPr>
              <w:t>果或</w:t>
            </w:r>
            <w:r>
              <w:rPr>
                <w:rFonts w:hint="eastAsia" w:ascii="仿宋_GB2312" w:hAnsi="仿宋_GB2312" w:eastAsia="仿宋_GB2312" w:cs="仿宋_GB2312"/>
                <w:b/>
                <w:spacing w:val="-3"/>
                <w:sz w:val="24"/>
                <w:szCs w:val="24"/>
              </w:rPr>
              <w:t>估</w:t>
            </w:r>
            <w:r>
              <w:rPr>
                <w:rFonts w:hint="eastAsia" w:ascii="仿宋_GB2312" w:hAnsi="仿宋_GB2312" w:eastAsia="仿宋_GB2312" w:cs="仿宋_GB2312"/>
                <w:b/>
                <w:spacing w:val="-2"/>
                <w:sz w:val="24"/>
                <w:szCs w:val="24"/>
              </w:rPr>
              <w:t>值报告</w:t>
            </w:r>
            <w:r>
              <w:rPr>
                <w:rFonts w:hint="eastAsia" w:ascii="仿宋_GB2312" w:hAnsi="仿宋_GB2312" w:eastAsia="仿宋_GB2312" w:cs="仿宋_GB2312"/>
                <w:b/>
                <w:spacing w:val="-4"/>
                <w:sz w:val="24"/>
                <w:szCs w:val="24"/>
              </w:rPr>
              <w:t>结果</w:t>
            </w:r>
            <w:r>
              <w:rPr>
                <w:rFonts w:hint="eastAsia" w:ascii="仿宋_GB2312" w:hAnsi="仿宋_GB2312" w:eastAsia="仿宋_GB2312" w:cs="仿宋_GB2312"/>
                <w:b/>
                <w:spacing w:val="-3"/>
                <w:sz w:val="24"/>
                <w:szCs w:val="24"/>
              </w:rPr>
              <w:t>作</w:t>
            </w:r>
            <w:r>
              <w:rPr>
                <w:rFonts w:hint="eastAsia" w:ascii="仿宋_GB2312" w:hAnsi="仿宋_GB2312" w:eastAsia="仿宋_GB2312" w:cs="仿宋_GB2312"/>
                <w:b/>
                <w:spacing w:val="-2"/>
                <w:sz w:val="24"/>
                <w:szCs w:val="24"/>
              </w:rPr>
              <w:t>为定价</w:t>
            </w:r>
            <w:r>
              <w:rPr>
                <w:rFonts w:hint="eastAsia" w:ascii="仿宋_GB2312" w:hAnsi="仿宋_GB2312" w:eastAsia="仿宋_GB2312" w:cs="仿宋_GB2312"/>
                <w:b/>
                <w:spacing w:val="-5"/>
                <w:sz w:val="24"/>
                <w:szCs w:val="24"/>
              </w:rPr>
              <w:t>依</w:t>
            </w:r>
            <w:r>
              <w:rPr>
                <w:rFonts w:hint="eastAsia" w:ascii="仿宋_GB2312" w:hAnsi="仿宋_GB2312" w:eastAsia="仿宋_GB2312" w:cs="仿宋_GB2312"/>
                <w:b/>
                <w:spacing w:val="-4"/>
                <w:sz w:val="24"/>
                <w:szCs w:val="24"/>
              </w:rPr>
              <w:t>据</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3-</w:t>
            </w:r>
            <w:r>
              <w:rPr>
                <w:rFonts w:ascii="仿宋_GB2312" w:eastAsia="仿宋_GB2312"/>
                <w:b/>
                <w:kern w:val="0"/>
                <w:sz w:val="24"/>
                <w:szCs w:val="24"/>
              </w:rPr>
              <w:t>2</w:t>
            </w:r>
          </w:p>
        </w:tc>
        <w:tc>
          <w:tcPr>
            <w:tcW w:w="4625" w:type="dxa"/>
            <w:vAlign w:val="center"/>
          </w:tcPr>
          <w:p>
            <w:pPr>
              <w:autoSpaceDE w:val="0"/>
              <w:autoSpaceDN w:val="0"/>
              <w:adjustRightInd w:val="0"/>
              <w:rPr>
                <w:rFonts w:ascii="仿宋_GB2312" w:eastAsia="仿宋_GB2312"/>
                <w:b/>
                <w:bCs/>
                <w:kern w:val="0"/>
                <w:sz w:val="24"/>
                <w:szCs w:val="24"/>
              </w:rPr>
            </w:pPr>
            <w:r>
              <w:rPr>
                <w:rFonts w:hint="eastAsia" w:ascii="仿宋_GB2312" w:hAnsi="仿宋_GB2312" w:eastAsia="仿宋_GB2312" w:cs="仿宋_GB2312"/>
                <w:b/>
                <w:spacing w:val="-3"/>
                <w:sz w:val="24"/>
                <w:szCs w:val="24"/>
              </w:rPr>
              <w:t>以</w:t>
            </w:r>
            <w:r>
              <w:rPr>
                <w:rFonts w:hint="eastAsia" w:ascii="仿宋_GB2312" w:hAnsi="仿宋_GB2312" w:eastAsia="仿宋_GB2312" w:cs="仿宋_GB2312"/>
                <w:b/>
                <w:spacing w:val="-2"/>
                <w:sz w:val="24"/>
                <w:szCs w:val="24"/>
              </w:rPr>
              <w:t>收益法</w:t>
            </w:r>
            <w:r>
              <w:rPr>
                <w:rFonts w:hint="eastAsia" w:ascii="仿宋_GB2312" w:hAnsi="仿宋_GB2312" w:eastAsia="仿宋_GB2312" w:cs="仿宋_GB2312"/>
                <w:b/>
                <w:spacing w:val="-4"/>
                <w:sz w:val="24"/>
                <w:szCs w:val="24"/>
              </w:rPr>
              <w:t>评估</w:t>
            </w:r>
            <w:r>
              <w:rPr>
                <w:rFonts w:hint="eastAsia" w:ascii="仿宋_GB2312" w:hAnsi="仿宋_GB2312" w:eastAsia="仿宋_GB2312" w:cs="仿宋_GB2312"/>
                <w:b/>
                <w:spacing w:val="-3"/>
                <w:sz w:val="24"/>
                <w:szCs w:val="24"/>
              </w:rPr>
              <w:t>结</w:t>
            </w:r>
            <w:r>
              <w:rPr>
                <w:rFonts w:hint="eastAsia" w:ascii="仿宋_GB2312" w:hAnsi="仿宋_GB2312" w:eastAsia="仿宋_GB2312" w:cs="仿宋_GB2312"/>
                <w:b/>
                <w:spacing w:val="-2"/>
                <w:sz w:val="24"/>
                <w:szCs w:val="24"/>
              </w:rPr>
              <w:t>果作为</w:t>
            </w:r>
            <w:r>
              <w:rPr>
                <w:rFonts w:hint="eastAsia" w:ascii="仿宋_GB2312" w:hAnsi="仿宋_GB2312" w:eastAsia="仿宋_GB2312" w:cs="仿宋_GB2312"/>
                <w:b/>
                <w:spacing w:val="-4"/>
                <w:sz w:val="24"/>
                <w:szCs w:val="24"/>
              </w:rPr>
              <w:t>定</w:t>
            </w:r>
            <w:r>
              <w:rPr>
                <w:rFonts w:hint="eastAsia" w:ascii="仿宋_GB2312" w:hAnsi="仿宋_GB2312" w:eastAsia="仿宋_GB2312" w:cs="仿宋_GB2312"/>
                <w:b/>
                <w:spacing w:val="-3"/>
                <w:sz w:val="24"/>
                <w:szCs w:val="24"/>
              </w:rPr>
              <w:t>价依据</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3-</w:t>
            </w:r>
            <w:r>
              <w:rPr>
                <w:rFonts w:ascii="仿宋_GB2312" w:eastAsia="仿宋_GB2312"/>
                <w:b/>
                <w:kern w:val="0"/>
                <w:sz w:val="24"/>
                <w:szCs w:val="24"/>
              </w:rPr>
              <w:t>3</w:t>
            </w:r>
          </w:p>
        </w:tc>
        <w:tc>
          <w:tcPr>
            <w:tcW w:w="4625" w:type="dxa"/>
            <w:vAlign w:val="center"/>
          </w:tcPr>
          <w:p>
            <w:pPr>
              <w:autoSpaceDE w:val="0"/>
              <w:autoSpaceDN w:val="0"/>
              <w:adjustRightInd w:val="0"/>
              <w:rPr>
                <w:rFonts w:ascii="仿宋_GB2312" w:eastAsia="仿宋_GB2312"/>
                <w:b/>
                <w:bCs/>
                <w:kern w:val="0"/>
                <w:sz w:val="24"/>
                <w:szCs w:val="24"/>
              </w:rPr>
            </w:pPr>
            <w:r>
              <w:rPr>
                <w:rFonts w:hint="eastAsia" w:ascii="仿宋_GB2312" w:hAnsi="仿宋_GB2312" w:eastAsia="仿宋_GB2312" w:cs="仿宋_GB2312"/>
                <w:b/>
                <w:spacing w:val="-6"/>
                <w:sz w:val="24"/>
                <w:szCs w:val="24"/>
              </w:rPr>
              <w:t>以</w:t>
            </w:r>
            <w:r>
              <w:rPr>
                <w:rFonts w:hint="eastAsia" w:ascii="仿宋_GB2312" w:hAnsi="仿宋_GB2312" w:eastAsia="仿宋_GB2312" w:cs="仿宋_GB2312"/>
                <w:b/>
                <w:spacing w:val="-3"/>
                <w:sz w:val="24"/>
                <w:szCs w:val="24"/>
              </w:rPr>
              <w:t>市场法评估</w:t>
            </w:r>
            <w:r>
              <w:rPr>
                <w:rFonts w:hint="eastAsia" w:ascii="仿宋_GB2312" w:hAnsi="仿宋_GB2312" w:eastAsia="仿宋_GB2312" w:cs="仿宋_GB2312"/>
                <w:b/>
                <w:spacing w:val="-6"/>
                <w:sz w:val="24"/>
                <w:szCs w:val="24"/>
              </w:rPr>
              <w:t>结</w:t>
            </w:r>
            <w:r>
              <w:rPr>
                <w:rFonts w:hint="eastAsia" w:ascii="仿宋_GB2312" w:hAnsi="仿宋_GB2312" w:eastAsia="仿宋_GB2312" w:cs="仿宋_GB2312"/>
                <w:b/>
                <w:spacing w:val="-3"/>
                <w:sz w:val="24"/>
                <w:szCs w:val="24"/>
              </w:rPr>
              <w:t>果作为定价</w:t>
            </w:r>
            <w:r>
              <w:rPr>
                <w:rFonts w:hint="eastAsia" w:ascii="仿宋_GB2312" w:hAnsi="仿宋_GB2312" w:eastAsia="仿宋_GB2312" w:cs="仿宋_GB2312"/>
                <w:b/>
                <w:spacing w:val="-5"/>
                <w:sz w:val="24"/>
                <w:szCs w:val="24"/>
              </w:rPr>
              <w:t>依</w:t>
            </w:r>
            <w:r>
              <w:rPr>
                <w:rFonts w:hint="eastAsia" w:ascii="仿宋_GB2312" w:hAnsi="仿宋_GB2312" w:eastAsia="仿宋_GB2312" w:cs="仿宋_GB2312"/>
                <w:b/>
                <w:spacing w:val="-4"/>
                <w:sz w:val="24"/>
                <w:szCs w:val="24"/>
              </w:rPr>
              <w:t>据</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3-</w:t>
            </w:r>
            <w:r>
              <w:rPr>
                <w:rFonts w:ascii="仿宋_GB2312" w:eastAsia="仿宋_GB2312"/>
                <w:b/>
                <w:kern w:val="0"/>
                <w:sz w:val="24"/>
                <w:szCs w:val="24"/>
              </w:rPr>
              <w:t>4</w:t>
            </w:r>
          </w:p>
        </w:tc>
        <w:tc>
          <w:tcPr>
            <w:tcW w:w="4625" w:type="dxa"/>
            <w:vAlign w:val="center"/>
          </w:tcPr>
          <w:p>
            <w:pPr>
              <w:rPr>
                <w:rFonts w:ascii="仿宋_GB2312" w:eastAsia="仿宋_GB2312"/>
                <w:b/>
                <w:kern w:val="0"/>
                <w:sz w:val="24"/>
                <w:szCs w:val="24"/>
              </w:rPr>
            </w:pPr>
            <w:r>
              <w:rPr>
                <w:rFonts w:hint="eastAsia" w:ascii="仿宋_GB2312" w:hAnsi="仿宋_GB2312" w:eastAsia="仿宋_GB2312" w:cs="仿宋_GB2312"/>
                <w:b/>
                <w:spacing w:val="-4"/>
                <w:sz w:val="24"/>
                <w:szCs w:val="24"/>
              </w:rPr>
              <w:t>以资</w:t>
            </w:r>
            <w:r>
              <w:rPr>
                <w:rFonts w:hint="eastAsia" w:ascii="仿宋_GB2312" w:hAnsi="仿宋_GB2312" w:eastAsia="仿宋_GB2312" w:cs="仿宋_GB2312"/>
                <w:b/>
                <w:spacing w:val="-3"/>
                <w:sz w:val="24"/>
                <w:szCs w:val="24"/>
              </w:rPr>
              <w:t>产</w:t>
            </w:r>
            <w:r>
              <w:rPr>
                <w:rFonts w:hint="eastAsia" w:ascii="仿宋_GB2312" w:hAnsi="仿宋_GB2312" w:eastAsia="仿宋_GB2312" w:cs="仿宋_GB2312"/>
                <w:b/>
                <w:spacing w:val="-2"/>
                <w:sz w:val="24"/>
                <w:szCs w:val="24"/>
              </w:rPr>
              <w:t>基础法</w:t>
            </w:r>
            <w:r>
              <w:rPr>
                <w:rFonts w:hint="eastAsia" w:ascii="仿宋_GB2312" w:hAnsi="仿宋_GB2312" w:eastAsia="仿宋_GB2312" w:cs="仿宋_GB2312"/>
                <w:b/>
                <w:spacing w:val="-4"/>
                <w:sz w:val="24"/>
                <w:szCs w:val="24"/>
              </w:rPr>
              <w:t>评估</w:t>
            </w:r>
            <w:r>
              <w:rPr>
                <w:rFonts w:hint="eastAsia" w:ascii="仿宋_GB2312" w:hAnsi="仿宋_GB2312" w:eastAsia="仿宋_GB2312" w:cs="仿宋_GB2312"/>
                <w:b/>
                <w:spacing w:val="-3"/>
                <w:sz w:val="24"/>
                <w:szCs w:val="24"/>
              </w:rPr>
              <w:t>结</w:t>
            </w:r>
            <w:r>
              <w:rPr>
                <w:rFonts w:hint="eastAsia" w:ascii="仿宋_GB2312" w:hAnsi="仿宋_GB2312" w:eastAsia="仿宋_GB2312" w:cs="仿宋_GB2312"/>
                <w:b/>
                <w:spacing w:val="-2"/>
                <w:sz w:val="24"/>
                <w:szCs w:val="24"/>
              </w:rPr>
              <w:t>果作为</w:t>
            </w:r>
            <w:r>
              <w:rPr>
                <w:rFonts w:hint="eastAsia" w:ascii="仿宋_GB2312" w:hAnsi="仿宋_GB2312" w:eastAsia="仿宋_GB2312" w:cs="仿宋_GB2312"/>
                <w:b/>
                <w:spacing w:val="-4"/>
                <w:sz w:val="24"/>
                <w:szCs w:val="24"/>
              </w:rPr>
              <w:t>定</w:t>
            </w:r>
            <w:r>
              <w:rPr>
                <w:rFonts w:hint="eastAsia" w:ascii="仿宋_GB2312" w:hAnsi="仿宋_GB2312" w:eastAsia="仿宋_GB2312" w:cs="仿宋_GB2312"/>
                <w:b/>
                <w:spacing w:val="-3"/>
                <w:sz w:val="24"/>
                <w:szCs w:val="24"/>
              </w:rPr>
              <w:t>价依据</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3-</w:t>
            </w:r>
            <w:r>
              <w:rPr>
                <w:rFonts w:ascii="仿宋_GB2312" w:eastAsia="仿宋_GB2312"/>
                <w:b/>
                <w:kern w:val="0"/>
                <w:sz w:val="24"/>
                <w:szCs w:val="24"/>
              </w:rPr>
              <w:t>5</w:t>
            </w:r>
          </w:p>
        </w:tc>
        <w:tc>
          <w:tcPr>
            <w:tcW w:w="4625" w:type="dxa"/>
            <w:vAlign w:val="center"/>
          </w:tcPr>
          <w:p>
            <w:pPr>
              <w:rPr>
                <w:rFonts w:ascii="仿宋_GB2312" w:eastAsia="仿宋_GB2312"/>
                <w:b/>
                <w:kern w:val="0"/>
                <w:sz w:val="24"/>
                <w:szCs w:val="24"/>
              </w:rPr>
            </w:pPr>
            <w:r>
              <w:rPr>
                <w:rFonts w:hint="eastAsia" w:ascii="仿宋_GB2312" w:hAnsi="仿宋_GB2312" w:eastAsia="仿宋_GB2312" w:cs="仿宋_GB2312"/>
                <w:b/>
                <w:spacing w:val="-4"/>
                <w:sz w:val="24"/>
                <w:szCs w:val="24"/>
              </w:rPr>
              <w:t>交易作价</w:t>
            </w:r>
            <w:r>
              <w:rPr>
                <w:rFonts w:hint="eastAsia" w:ascii="仿宋_GB2312" w:hAnsi="仿宋_GB2312" w:eastAsia="仿宋_GB2312" w:cs="仿宋_GB2312"/>
                <w:b/>
                <w:spacing w:val="-8"/>
                <w:sz w:val="24"/>
                <w:szCs w:val="24"/>
              </w:rPr>
              <w:t>的</w:t>
            </w:r>
            <w:r>
              <w:rPr>
                <w:rFonts w:hint="eastAsia" w:ascii="仿宋_GB2312" w:hAnsi="仿宋_GB2312" w:eastAsia="仿宋_GB2312" w:cs="仿宋_GB2312"/>
                <w:b/>
                <w:spacing w:val="-5"/>
                <w:sz w:val="24"/>
                <w:szCs w:val="24"/>
              </w:rPr>
              <w:t>公允性及合理性</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3</w:t>
            </w:r>
            <w:r>
              <w:rPr>
                <w:rFonts w:ascii="仿宋_GB2312" w:eastAsia="仿宋_GB2312"/>
                <w:b/>
                <w:kern w:val="0"/>
                <w:sz w:val="24"/>
                <w:szCs w:val="24"/>
              </w:rPr>
              <w:t>-6</w:t>
            </w:r>
          </w:p>
        </w:tc>
        <w:tc>
          <w:tcPr>
            <w:tcW w:w="4625" w:type="dxa"/>
            <w:vAlign w:val="center"/>
          </w:tcPr>
          <w:p>
            <w:pPr>
              <w:rPr>
                <w:rFonts w:ascii="仿宋_GB2312" w:eastAsia="仿宋_GB2312"/>
                <w:b/>
                <w:kern w:val="0"/>
                <w:sz w:val="24"/>
                <w:szCs w:val="24"/>
              </w:rPr>
            </w:pPr>
            <w:r>
              <w:rPr>
                <w:rFonts w:hint="eastAsia" w:ascii="仿宋_GB2312" w:hAnsi="仿宋_GB2312" w:eastAsia="仿宋_GB2312" w:cs="仿宋_GB2312"/>
                <w:b/>
                <w:sz w:val="24"/>
                <w:szCs w:val="24"/>
              </w:rPr>
              <w:t>商誉会计处理及减值风险</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725" w:type="dxa"/>
            <w:gridSpan w:val="9"/>
            <w:vAlign w:val="center"/>
          </w:tcPr>
          <w:p>
            <w:pPr>
              <w:jc w:val="center"/>
              <w:rPr>
                <w:rFonts w:ascii="仿宋_GB2312" w:eastAsia="仿宋_GB2312"/>
                <w:kern w:val="0"/>
                <w:sz w:val="24"/>
                <w:szCs w:val="24"/>
              </w:rPr>
            </w:pPr>
            <w:r>
              <w:rPr>
                <w:rFonts w:hint="eastAsia" w:ascii="仿宋_GB2312" w:eastAsia="仿宋_GB2312"/>
                <w:b/>
                <w:bCs/>
                <w:kern w:val="0"/>
                <w:sz w:val="24"/>
                <w:szCs w:val="24"/>
              </w:rPr>
              <w:t>四、关于</w:t>
            </w:r>
            <w:r>
              <w:rPr>
                <w:rFonts w:hint="eastAsia" w:ascii="仿宋_GB2312" w:eastAsia="仿宋_GB2312"/>
                <w:b/>
                <w:kern w:val="0"/>
                <w:sz w:val="24"/>
                <w:szCs w:val="24"/>
              </w:rPr>
              <w:t>标的资产经营情况及财务状况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4-1</w:t>
            </w:r>
          </w:p>
        </w:tc>
        <w:tc>
          <w:tcPr>
            <w:tcW w:w="4625" w:type="dxa"/>
            <w:vAlign w:val="center"/>
          </w:tcPr>
          <w:p>
            <w:pPr>
              <w:jc w:val="left"/>
              <w:rPr>
                <w:rFonts w:ascii="仿宋_GB2312" w:eastAsia="仿宋_GB2312"/>
                <w:b/>
                <w:kern w:val="0"/>
                <w:sz w:val="24"/>
                <w:szCs w:val="24"/>
              </w:rPr>
            </w:pPr>
            <w:r>
              <w:rPr>
                <w:rFonts w:hint="eastAsia" w:ascii="仿宋_GB2312" w:eastAsia="仿宋_GB2312"/>
                <w:b/>
                <w:kern w:val="0"/>
                <w:sz w:val="24"/>
                <w:szCs w:val="24"/>
              </w:rPr>
              <w:t>行业特点及竞争格局</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4-2</w:t>
            </w:r>
          </w:p>
        </w:tc>
        <w:tc>
          <w:tcPr>
            <w:tcW w:w="4625" w:type="dxa"/>
            <w:vAlign w:val="center"/>
          </w:tcPr>
          <w:p>
            <w:pPr>
              <w:rPr>
                <w:rFonts w:ascii="仿宋_GB2312" w:eastAsia="仿宋_GB2312"/>
                <w:b/>
                <w:kern w:val="0"/>
                <w:sz w:val="24"/>
                <w:szCs w:val="24"/>
              </w:rPr>
            </w:pPr>
            <w:r>
              <w:rPr>
                <w:rFonts w:hint="eastAsia" w:ascii="仿宋_GB2312" w:eastAsia="仿宋_GB2312"/>
                <w:b/>
                <w:bCs/>
                <w:sz w:val="24"/>
                <w:szCs w:val="24"/>
              </w:rPr>
              <w:t>主要客户和供应商</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4-3</w:t>
            </w:r>
          </w:p>
        </w:tc>
        <w:tc>
          <w:tcPr>
            <w:tcW w:w="4625" w:type="dxa"/>
            <w:vAlign w:val="center"/>
          </w:tcPr>
          <w:p>
            <w:pPr>
              <w:rPr>
                <w:rFonts w:ascii="仿宋_GB2312" w:eastAsia="仿宋_GB2312"/>
                <w:b/>
                <w:kern w:val="0"/>
                <w:sz w:val="24"/>
                <w:szCs w:val="24"/>
              </w:rPr>
            </w:pPr>
            <w:r>
              <w:rPr>
                <w:rFonts w:hint="eastAsia" w:ascii="仿宋_GB2312" w:eastAsia="仿宋_GB2312"/>
                <w:b/>
                <w:sz w:val="24"/>
                <w:szCs w:val="24"/>
              </w:rPr>
              <w:t>财务状况</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eastAsia="仿宋_GB2312"/>
                <w:b/>
                <w:kern w:val="0"/>
                <w:sz w:val="24"/>
                <w:szCs w:val="24"/>
              </w:rPr>
            </w:pPr>
            <w:r>
              <w:rPr>
                <w:rFonts w:hint="eastAsia" w:ascii="仿宋_GB2312" w:eastAsia="仿宋_GB2312"/>
                <w:b/>
                <w:kern w:val="0"/>
                <w:sz w:val="24"/>
                <w:szCs w:val="24"/>
              </w:rPr>
              <w:t>4-4</w:t>
            </w:r>
          </w:p>
        </w:tc>
        <w:tc>
          <w:tcPr>
            <w:tcW w:w="4625" w:type="dxa"/>
            <w:vAlign w:val="center"/>
          </w:tcPr>
          <w:p>
            <w:pPr>
              <w:jc w:val="left"/>
              <w:rPr>
                <w:rFonts w:ascii="仿宋_GB2312" w:eastAsia="仿宋_GB2312"/>
                <w:b/>
                <w:bCs/>
                <w:kern w:val="0"/>
                <w:sz w:val="24"/>
                <w:szCs w:val="24"/>
              </w:rPr>
            </w:pPr>
            <w:r>
              <w:rPr>
                <w:rFonts w:hint="eastAsia" w:ascii="仿宋_GB2312" w:eastAsia="仿宋_GB2312"/>
                <w:b/>
                <w:kern w:val="0"/>
                <w:sz w:val="24"/>
                <w:szCs w:val="24"/>
              </w:rPr>
              <w:t>盈利能力</w:t>
            </w:r>
          </w:p>
        </w:tc>
        <w:tc>
          <w:tcPr>
            <w:tcW w:w="1163" w:type="dxa"/>
            <w:vAlign w:val="center"/>
          </w:tcPr>
          <w:p>
            <w:pPr>
              <w:rPr>
                <w:rFonts w:ascii="仿宋_GB2312" w:eastAsia="仿宋_GB2312"/>
                <w:bCs/>
                <w:kern w:val="0"/>
                <w:sz w:val="24"/>
                <w:szCs w:val="24"/>
              </w:rPr>
            </w:pPr>
          </w:p>
        </w:tc>
        <w:tc>
          <w:tcPr>
            <w:tcW w:w="2193" w:type="dxa"/>
            <w:vAlign w:val="center"/>
          </w:tcPr>
          <w:p>
            <w:pPr>
              <w:rPr>
                <w:rFonts w:ascii="仿宋_GB2312" w:hAnsi="仿宋_GB2312" w:eastAsia="仿宋_GB2312" w:cs="仿宋_GB2312"/>
                <w:kern w:val="0"/>
                <w:sz w:val="24"/>
                <w:szCs w:val="24"/>
              </w:rPr>
            </w:pPr>
          </w:p>
        </w:tc>
        <w:tc>
          <w:tcPr>
            <w:tcW w:w="1500" w:type="dxa"/>
            <w:vAlign w:val="center"/>
          </w:tcPr>
          <w:p>
            <w:pPr>
              <w:rPr>
                <w:rFonts w:ascii="仿宋_GB2312" w:eastAsia="仿宋_GB2312"/>
                <w:kern w:val="0"/>
                <w:sz w:val="24"/>
                <w:szCs w:val="24"/>
              </w:rPr>
            </w:pPr>
          </w:p>
        </w:tc>
        <w:tc>
          <w:tcPr>
            <w:tcW w:w="1200" w:type="dxa"/>
          </w:tcPr>
          <w:p>
            <w:pPr>
              <w:rPr>
                <w:rFonts w:ascii="仿宋_GB2312" w:eastAsia="仿宋_GB2312"/>
                <w:kern w:val="0"/>
                <w:sz w:val="24"/>
                <w:szCs w:val="24"/>
              </w:rPr>
            </w:pPr>
          </w:p>
        </w:tc>
        <w:tc>
          <w:tcPr>
            <w:tcW w:w="1369" w:type="dxa"/>
          </w:tcPr>
          <w:p>
            <w:pPr>
              <w:rPr>
                <w:rFonts w:ascii="仿宋_GB2312" w:eastAsia="仿宋_GB2312"/>
                <w:kern w:val="0"/>
                <w:sz w:val="24"/>
                <w:szCs w:val="24"/>
              </w:rPr>
            </w:pPr>
          </w:p>
        </w:tc>
        <w:tc>
          <w:tcPr>
            <w:tcW w:w="1256" w:type="dxa"/>
            <w:vAlign w:val="center"/>
          </w:tcPr>
          <w:p>
            <w:pPr>
              <w:rPr>
                <w:rFonts w:ascii="仿宋_GB2312" w:eastAsia="仿宋_GB2312"/>
                <w:kern w:val="0"/>
                <w:sz w:val="24"/>
                <w:szCs w:val="24"/>
              </w:rPr>
            </w:pPr>
          </w:p>
        </w:tc>
        <w:tc>
          <w:tcPr>
            <w:tcW w:w="668" w:type="dxa"/>
            <w:vAlign w:val="center"/>
          </w:tcPr>
          <w:p>
            <w:pPr>
              <w:rPr>
                <w:rFonts w:ascii="仿宋_GB2312" w:eastAsia="仿宋_GB2312"/>
                <w:kern w:val="0"/>
                <w:sz w:val="24"/>
                <w:szCs w:val="24"/>
              </w:rPr>
            </w:pPr>
          </w:p>
        </w:tc>
      </w:tr>
    </w:tbl>
    <w:p>
      <w:pPr>
        <w:adjustRightInd w:val="0"/>
        <w:snapToGrid w:val="0"/>
        <w:spacing w:line="600" w:lineRule="exact"/>
        <w:ind w:firstLine="602" w:firstLineChars="200"/>
        <w:rPr>
          <w:rFonts w:ascii="Times New Roman" w:hAnsi="黑体" w:eastAsia="黑体"/>
          <w:b/>
          <w:sz w:val="30"/>
          <w:szCs w:val="30"/>
        </w:rPr>
      </w:pPr>
    </w:p>
    <w:p>
      <w:pPr>
        <w:adjustRightInd w:val="0"/>
        <w:snapToGrid w:val="0"/>
        <w:spacing w:line="600" w:lineRule="exact"/>
        <w:ind w:firstLine="602" w:firstLineChars="200"/>
        <w:rPr>
          <w:rFonts w:ascii="Times New Roman" w:hAnsi="Times New Roman" w:eastAsia="黑体"/>
          <w:b/>
          <w:sz w:val="44"/>
          <w:szCs w:val="44"/>
        </w:rPr>
      </w:pPr>
      <w:r>
        <w:rPr>
          <w:rFonts w:hint="eastAsia" w:ascii="Times New Roman" w:hAnsi="黑体" w:eastAsia="黑体"/>
          <w:b/>
          <w:sz w:val="30"/>
          <w:szCs w:val="30"/>
        </w:rPr>
        <w:t>填写要求：</w:t>
      </w:r>
    </w:p>
    <w:p>
      <w:pPr>
        <w:adjustRightInd w:val="0"/>
        <w:snapToGrid w:val="0"/>
        <w:spacing w:line="600" w:lineRule="exact"/>
        <w:ind w:firstLine="602" w:firstLineChars="200"/>
        <w:outlineLvl w:val="0"/>
        <w:rPr>
          <w:rFonts w:ascii="Times New Roman" w:hAnsi="Times New Roman" w:eastAsia="黑体"/>
          <w:b/>
          <w:sz w:val="30"/>
          <w:szCs w:val="30"/>
        </w:rPr>
      </w:pPr>
      <w:r>
        <w:rPr>
          <w:rFonts w:hint="eastAsia" w:ascii="Times New Roman" w:hAnsi="黑体" w:eastAsia="黑体"/>
          <w:b/>
          <w:sz w:val="30"/>
          <w:szCs w:val="30"/>
        </w:rPr>
        <w:t>一、填写规范</w:t>
      </w:r>
    </w:p>
    <w:p>
      <w:pPr>
        <w:spacing w:line="6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rPr>
        <w:t>1.请独立财务顾问、律师、会计师、评估师参考“二、核查及披露要求”认真、如实填写和提交《常见问题的信息披露和核查要求自查表》（以下简称《自查表》）。</w:t>
      </w:r>
    </w:p>
    <w:p>
      <w:pPr>
        <w:adjustRightInd w:val="0"/>
        <w:snapToGrid w:val="0"/>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2.请独立财务顾问在《自查表》“披露要求落实情况”中填写相关内容在重组报告书的章节，在“核查要求落实情况”中填写相关适用事项在独立财务顾问报告等申报材料中的章节（如有）。</w:t>
      </w:r>
    </w:p>
    <w:p>
      <w:pPr>
        <w:spacing w:line="6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rPr>
        <w:t>3.涉及律师、会计师、评估师核查事项的，请在《自查表》后添加附件说明对相关问题的核查情况，并在《自查表》“核查要求落实情况”中填写相关适用事项对应的附件。</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4.相关事项注明为主板或科创板的，适用于特定板块上市公司；如无特别注明，科创板和主板均应适用。相关事项不适用的，原则上无需在独立财务顾问报告及相关附件中进行说明，但需在《自查表》“备注”一栏中写明理由。有其他需要特别说明的事项，亦请在“备注”一栏中填写。</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5.请独立财务顾问在审核系统提交首次申报材料时或者受理后3个工作日内提交《自查表》，《自查表》填报目录为</w:t>
      </w:r>
      <w:bookmarkStart w:id="0" w:name="_GoBack"/>
      <w:bookmarkEnd w:id="0"/>
      <w:r>
        <w:rPr>
          <w:rFonts w:ascii="仿宋_GB2312" w:hAnsi="Times New Roman" w:eastAsia="仿宋_GB2312"/>
          <w:sz w:val="30"/>
          <w:szCs w:val="30"/>
        </w:rPr>
        <w:t>6-8-</w:t>
      </w:r>
      <w:r>
        <w:rPr>
          <w:rFonts w:hint="eastAsia" w:ascii="仿宋_GB2312" w:hAnsi="Times New Roman" w:eastAsia="仿宋_GB2312"/>
          <w:sz w:val="30"/>
          <w:szCs w:val="30"/>
          <w:lang w:val="en-US" w:eastAsia="zh-CN"/>
        </w:rPr>
        <w:t>2</w:t>
      </w:r>
      <w:r>
        <w:rPr>
          <w:rFonts w:hint="eastAsia" w:ascii="仿宋_GB2312" w:hAnsi="Times New Roman" w:eastAsia="仿宋_GB2312"/>
          <w:sz w:val="30"/>
          <w:szCs w:val="30"/>
        </w:rPr>
        <w:t>，采用可编辑的word格式。</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6.《自查表》应由独立财务顾问</w:t>
      </w:r>
      <w:r>
        <w:rPr>
          <w:rFonts w:hint="eastAsia" w:ascii="仿宋_GB2312" w:hAnsi="Times New Roman" w:eastAsia="仿宋_GB2312"/>
          <w:sz w:val="30"/>
          <w:szCs w:val="30"/>
          <w:lang w:eastAsia="zh-CN"/>
        </w:rPr>
        <w:t>重组业务</w:t>
      </w:r>
      <w:r>
        <w:rPr>
          <w:rFonts w:hint="eastAsia" w:ascii="仿宋_GB2312" w:hAnsi="Times New Roman" w:eastAsia="仿宋_GB2312"/>
          <w:sz w:val="30"/>
          <w:szCs w:val="30"/>
        </w:rPr>
        <w:t>负责人、内核负责人、投行质控负责人、项目主办人、签字律师、签字会计师、签字评估师签字，加盖独立财务顾问、律师事务所、会计师事务所、评估机构或者估值机构（以下简称中介机构）公章并注明签署日期。</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7.《自查表》仅列示申报常见问题，以供参考。中介机构应当按照规则规定并结合上市公司实际情况，对申请文件进行审慎核查。如上市公司存在其他影响重组条件和信息披露要求的重大事项且不属于《自查表》事项的，可对《自查表》进行必要的增补。</w:t>
      </w:r>
    </w:p>
    <w:p>
      <w:pPr>
        <w:spacing w:line="600" w:lineRule="exact"/>
        <w:ind w:firstLine="600" w:firstLineChars="200"/>
        <w:rPr>
          <w:rFonts w:ascii="仿宋_GB2312" w:hAnsi="Times New Roman" w:eastAsia="仿宋_GB2312" w:cs="宋体"/>
          <w:color w:val="000000"/>
          <w:kern w:val="0"/>
          <w:sz w:val="30"/>
          <w:szCs w:val="30"/>
        </w:rPr>
      </w:pPr>
      <w:r>
        <w:rPr>
          <w:rFonts w:hint="eastAsia" w:ascii="仿宋_GB2312" w:hAnsi="Times New Roman" w:eastAsia="仿宋_GB2312"/>
          <w:sz w:val="30"/>
          <w:szCs w:val="30"/>
        </w:rPr>
        <w:t>本所将根据相关规则的修订，动态更新《自查表》。中介机构填写《自查表》过程中，如有任何疑问或完善建议，可通过电子邮件等方式向本所咨询或反映诉求。Email：</w:t>
      </w:r>
      <w:r>
        <w:fldChar w:fldCharType="begin"/>
      </w:r>
      <w:r>
        <w:instrText xml:space="preserve"> HYPERLINK "mailto:shzx@sse.com.cn" </w:instrText>
      </w:r>
      <w:r>
        <w:fldChar w:fldCharType="separate"/>
      </w:r>
      <w:r>
        <w:rPr>
          <w:rStyle w:val="13"/>
          <w:rFonts w:ascii="仿宋_GB2312" w:hAnsi="Times New Roman" w:eastAsia="仿宋_GB2312"/>
          <w:color w:val="auto"/>
          <w:sz w:val="30"/>
          <w:szCs w:val="30"/>
          <w:u w:val="none"/>
        </w:rPr>
        <w:t>shz</w:t>
      </w:r>
      <w:r>
        <w:rPr>
          <w:rStyle w:val="13"/>
          <w:rFonts w:hint="eastAsia" w:ascii="仿宋_GB2312" w:hAnsi="Times New Roman" w:eastAsia="仿宋_GB2312"/>
          <w:color w:val="auto"/>
          <w:sz w:val="30"/>
          <w:szCs w:val="30"/>
          <w:u w:val="none"/>
        </w:rPr>
        <w:t>x</w:t>
      </w:r>
      <w:r>
        <w:rPr>
          <w:rStyle w:val="13"/>
          <w:rFonts w:ascii="仿宋_GB2312" w:hAnsi="Times New Roman" w:eastAsia="仿宋_GB2312"/>
          <w:color w:val="auto"/>
          <w:sz w:val="30"/>
          <w:szCs w:val="30"/>
          <w:u w:val="none"/>
        </w:rPr>
        <w:t>@sse.com.cn</w:t>
      </w:r>
      <w:r>
        <w:rPr>
          <w:rStyle w:val="13"/>
          <w:rFonts w:ascii="仿宋_GB2312" w:hAnsi="Times New Roman" w:eastAsia="仿宋_GB2312"/>
          <w:color w:val="auto"/>
          <w:sz w:val="30"/>
          <w:szCs w:val="30"/>
          <w:u w:val="none"/>
        </w:rPr>
        <w:fldChar w:fldCharType="end"/>
      </w:r>
    </w:p>
    <w:p>
      <w:pPr>
        <w:adjustRightInd w:val="0"/>
        <w:snapToGrid w:val="0"/>
        <w:spacing w:line="600" w:lineRule="exact"/>
        <w:ind w:firstLine="452" w:firstLineChars="150"/>
        <w:rPr>
          <w:rFonts w:ascii="黑体" w:hAnsi="黑体" w:eastAsia="黑体"/>
          <w:b/>
          <w:sz w:val="30"/>
          <w:szCs w:val="30"/>
        </w:rPr>
      </w:pPr>
      <w:r>
        <w:rPr>
          <w:rFonts w:hint="eastAsia" w:ascii="黑体" w:hAnsi="黑体" w:eastAsia="黑体"/>
          <w:b/>
          <w:sz w:val="30"/>
          <w:szCs w:val="30"/>
        </w:rPr>
        <w:t>二、核查及披露要求</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4"/>
        <w:gridCol w:w="1165"/>
        <w:gridCol w:w="4039"/>
        <w:gridCol w:w="6054"/>
        <w:gridCol w:w="16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1" w:hRule="atLeast"/>
          <w:tblHeader/>
        </w:trPr>
        <w:tc>
          <w:tcPr>
            <w:tcW w:w="14010" w:type="dxa"/>
            <w:gridSpan w:val="5"/>
            <w:shd w:val="clear" w:color="auto" w:fill="8DB3E2"/>
            <w:noWrap/>
            <w:vAlign w:val="center"/>
          </w:tcPr>
          <w:p>
            <w:pPr>
              <w:adjustRightInd w:val="0"/>
              <w:snapToGrid w:val="0"/>
              <w:ind w:firstLine="482" w:firstLineChars="200"/>
              <w:jc w:val="center"/>
              <w:rPr>
                <w:rFonts w:ascii="仿宋_GB2312" w:hAnsi="仿宋_GB2312" w:eastAsia="仿宋_GB2312" w:cs="仿宋_GB2312"/>
                <w:sz w:val="24"/>
                <w:szCs w:val="24"/>
              </w:rPr>
            </w:pPr>
            <w:r>
              <w:rPr>
                <w:rFonts w:hint="eastAsia" w:ascii="仿宋_GB2312" w:hAnsi="仿宋_GB2312" w:eastAsia="仿宋_GB2312" w:cs="仿宋_GB2312"/>
                <w:b/>
                <w:kern w:val="0"/>
                <w:sz w:val="24"/>
                <w:szCs w:val="24"/>
              </w:rPr>
              <w:t>一、关于交易方案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074" w:type="dxa"/>
            <w:noWrap/>
          </w:tcPr>
          <w:p>
            <w:pPr>
              <w:jc w:val="center"/>
              <w:rPr>
                <w:rFonts w:ascii="仿宋_GB2312" w:hAnsi="仿宋_GB2312" w:eastAsia="仿宋_GB2312" w:cs="仿宋_GB2312"/>
                <w:b/>
                <w:kern w:val="0"/>
                <w:sz w:val="24"/>
                <w:szCs w:val="24"/>
              </w:rPr>
            </w:pPr>
            <w:r>
              <w:rPr>
                <w:rFonts w:hint="eastAsia" w:ascii="仿宋_GB2312" w:hAnsi="仿宋_GB2312" w:eastAsia="仿宋_GB2312" w:cs="仿宋_GB2312"/>
                <w:b/>
                <w:kern w:val="0"/>
                <w:sz w:val="24"/>
                <w:szCs w:val="24"/>
              </w:rPr>
              <w:t>序号</w:t>
            </w:r>
          </w:p>
        </w:tc>
        <w:tc>
          <w:tcPr>
            <w:tcW w:w="1165" w:type="dxa"/>
            <w:noWrap/>
          </w:tcPr>
          <w:p>
            <w:pPr>
              <w:jc w:val="center"/>
              <w:rPr>
                <w:rFonts w:ascii="仿宋_GB2312" w:hAnsi="仿宋_GB2312" w:eastAsia="仿宋_GB2312" w:cs="仿宋_GB2312"/>
                <w:b/>
                <w:kern w:val="0"/>
                <w:sz w:val="24"/>
                <w:szCs w:val="24"/>
              </w:rPr>
            </w:pPr>
            <w:r>
              <w:rPr>
                <w:rFonts w:hint="eastAsia" w:ascii="仿宋_GB2312" w:hAnsi="仿宋_GB2312" w:eastAsia="仿宋_GB2312" w:cs="仿宋_GB2312"/>
                <w:b/>
                <w:kern w:val="0"/>
                <w:sz w:val="24"/>
                <w:szCs w:val="24"/>
              </w:rPr>
              <w:t>问题</w:t>
            </w:r>
          </w:p>
        </w:tc>
        <w:tc>
          <w:tcPr>
            <w:tcW w:w="4039" w:type="dxa"/>
            <w:noWrap/>
          </w:tcPr>
          <w:p>
            <w:pPr>
              <w:ind w:firstLine="482" w:firstLineChars="200"/>
              <w:jc w:val="center"/>
              <w:rPr>
                <w:rFonts w:ascii="仿宋_GB2312" w:hAnsi="仿宋_GB2312" w:eastAsia="仿宋_GB2312" w:cs="仿宋_GB2312"/>
                <w:b/>
                <w:kern w:val="0"/>
                <w:sz w:val="24"/>
                <w:szCs w:val="24"/>
              </w:rPr>
            </w:pPr>
            <w:r>
              <w:rPr>
                <w:rFonts w:hint="eastAsia" w:ascii="仿宋_GB2312" w:hAnsi="仿宋_GB2312" w:eastAsia="仿宋_GB2312" w:cs="仿宋_GB2312"/>
                <w:b/>
                <w:kern w:val="0"/>
                <w:sz w:val="24"/>
                <w:szCs w:val="24"/>
              </w:rPr>
              <w:t>披露要求</w:t>
            </w:r>
          </w:p>
        </w:tc>
        <w:tc>
          <w:tcPr>
            <w:tcW w:w="6054" w:type="dxa"/>
            <w:noWrap/>
          </w:tcPr>
          <w:p>
            <w:pPr>
              <w:ind w:firstLine="482" w:firstLineChars="200"/>
              <w:jc w:val="center"/>
              <w:rPr>
                <w:rFonts w:ascii="仿宋_GB2312" w:hAnsi="仿宋_GB2312" w:eastAsia="仿宋_GB2312" w:cs="仿宋_GB2312"/>
                <w:b/>
                <w:kern w:val="0"/>
                <w:sz w:val="24"/>
                <w:szCs w:val="24"/>
              </w:rPr>
            </w:pPr>
            <w:r>
              <w:rPr>
                <w:rFonts w:hint="eastAsia" w:ascii="仿宋_GB2312" w:hAnsi="仿宋_GB2312" w:eastAsia="仿宋_GB2312" w:cs="仿宋_GB2312"/>
                <w:b/>
                <w:kern w:val="0"/>
                <w:sz w:val="24"/>
                <w:szCs w:val="24"/>
              </w:rPr>
              <w:t>核查要求</w:t>
            </w:r>
          </w:p>
        </w:tc>
        <w:tc>
          <w:tcPr>
            <w:tcW w:w="1678" w:type="dxa"/>
            <w:noWrap/>
          </w:tcPr>
          <w:p>
            <w:pPr>
              <w:jc w:val="center"/>
              <w:rPr>
                <w:rFonts w:ascii="仿宋_GB2312" w:hAnsi="仿宋_GB2312" w:eastAsia="仿宋_GB2312" w:cs="仿宋_GB2312"/>
                <w:b/>
                <w:kern w:val="0"/>
                <w:sz w:val="24"/>
                <w:szCs w:val="24"/>
              </w:rPr>
            </w:pPr>
            <w:r>
              <w:rPr>
                <w:rFonts w:hint="eastAsia" w:ascii="仿宋_GB2312" w:hAnsi="仿宋_GB2312" w:eastAsia="仿宋_GB2312" w:cs="仿宋_GB2312"/>
                <w:b/>
                <w:kern w:val="0"/>
                <w:sz w:val="24"/>
                <w:szCs w:val="24"/>
              </w:rPr>
              <w:t>参考规范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bCs/>
                <w:sz w:val="24"/>
                <w:szCs w:val="24"/>
              </w:rPr>
            </w:pPr>
            <w:r>
              <w:rPr>
                <w:rFonts w:hint="eastAsia" w:ascii="仿宋_GB2312" w:hAnsi="仿宋_GB2312" w:eastAsia="仿宋_GB2312" w:cs="仿宋_GB2312"/>
                <w:b/>
                <w:bCs/>
                <w:kern w:val="0"/>
                <w:sz w:val="24"/>
                <w:szCs w:val="24"/>
              </w:rPr>
              <w:t>1-1</w:t>
            </w:r>
          </w:p>
        </w:tc>
        <w:tc>
          <w:tcPr>
            <w:tcW w:w="1165" w:type="dxa"/>
            <w:noWrap/>
            <w:vAlign w:val="center"/>
          </w:tcPr>
          <w:p>
            <w:pPr>
              <w:rPr>
                <w:rFonts w:ascii="仿宋_GB2312" w:hAnsi="仿宋_GB2312" w:eastAsia="仿宋_GB2312" w:cs="仿宋_GB2312"/>
                <w:b/>
                <w:bCs/>
                <w:sz w:val="24"/>
                <w:szCs w:val="24"/>
              </w:rPr>
            </w:pPr>
            <w:r>
              <w:rPr>
                <w:rFonts w:hint="eastAsia" w:ascii="仿宋_GB2312" w:hAnsi="仿宋_GB2312" w:eastAsia="仿宋_GB2312" w:cs="仿宋_GB2312"/>
                <w:b/>
                <w:bCs/>
                <w:kern w:val="0"/>
                <w:sz w:val="24"/>
                <w:szCs w:val="24"/>
              </w:rPr>
              <w:t>支付方式</w:t>
            </w:r>
          </w:p>
        </w:tc>
        <w:tc>
          <w:tcPr>
            <w:tcW w:w="4039"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上市公司应当在重组报告书中披露：</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（1）发行股份的定价及依据、发行价格调整方案等相关信息；</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（2）发行优先股、可转债、定向权证、存托凭证等购买资产的，比照前项要求披露；</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（3）支付现金购买资产的资金来源（如适用）；</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（4）置出资产情况、估值及作价的公允性（如适用）；</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（5）换股吸收合并方案中，换股价格及确定依据、换股价格调整方案、异议股东权利保护安排、债权人权利保护安排等相关信息；</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（6）《公开发行证券的公司信息披露内容与格式准则第26号——上市公司重大资产重组》（以下简称《26号格式准则》）第十六节、第十七节规定的其他披露信息。</w:t>
            </w:r>
          </w:p>
        </w:tc>
        <w:tc>
          <w:tcPr>
            <w:tcW w:w="6054"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上市公司发行股份购买资产的，核查发行价格是否符合《上市公司重大资产重组管理办法》（以下简称《重组办法》）第四十五条的规定，价格调整机制是否符合《&lt;上市公司重大资产重组管理办法&gt;第二十九条、第四十五条的适用意见——证券期货法律适用意见第15号》（以下简称《证券期货法律适用意见第15号》）的相关要求；</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（2）上市公司通过发行优先股、可转债、定向权证、存托凭证等购买资产的，核查发行价格、转股期限、锁定期等安排是否符合《优先股试点管理办法》《可转换公司债券管理办法》等相关规定；</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（3）涉及现金支付的，核查上市公司是否具有相应的支付能力。资金主要来自借款的，核查具体借款安排及可实现性，相关财务成本对上市公司生产经营的影响；</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（4）涉及资产置出的，核查置出资产的原因及影响，估值及作价公允性；拟置出资产超过现有资产50%的，核查是否符合《监管规则适用指引——上市类第1号》1-11的规定；</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5）涉及换股吸收合并的，核查换股价格及价格调整方案的合规性，是否存在异议股东，异议股东及债权人权利保护安排的合规性，异议股东现金选择权的提供方是否具备支付能力；核查被吸并主体的业务资质、特许经营权、知识产权等主要资产的权属转移是否存在障碍；</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（6）相关信息披露是否符合《26号格式准则》第十六节、第十七节的规定。</w:t>
            </w:r>
          </w:p>
          <w:p>
            <w:pPr>
              <w:ind w:firstLine="480" w:firstLineChars="200"/>
              <w:rPr>
                <w:rFonts w:ascii="仿宋_GB2312" w:hAnsi="仿宋_GB2312" w:eastAsia="仿宋_GB2312" w:cs="仿宋_GB2312"/>
                <w:b/>
                <w:bCs/>
                <w:sz w:val="24"/>
                <w:szCs w:val="24"/>
              </w:rPr>
            </w:pPr>
            <w:r>
              <w:rPr>
                <w:rFonts w:hint="eastAsia" w:ascii="仿宋_GB2312" w:hAnsi="仿宋_GB2312" w:eastAsia="仿宋_GB2312" w:cs="仿宋_GB2312"/>
                <w:bCs/>
                <w:kern w:val="0"/>
                <w:sz w:val="24"/>
                <w:szCs w:val="24"/>
              </w:rPr>
              <w:t>律师应对上述事项进行核查，并发表明确核查意见。评估师应对（4）进行核查，并发表明确核查意见。</w:t>
            </w:r>
          </w:p>
        </w:tc>
        <w:tc>
          <w:tcPr>
            <w:tcW w:w="1678" w:type="dxa"/>
            <w:noWrap/>
          </w:tcPr>
          <w:p>
            <w:pPr>
              <w:rPr>
                <w:rFonts w:ascii="仿宋_GB2312" w:hAnsi="仿宋_GB2312" w:eastAsia="仿宋_GB2312" w:cs="仿宋_GB2312"/>
                <w:b/>
                <w:bCs/>
                <w:sz w:val="24"/>
                <w:szCs w:val="24"/>
              </w:rPr>
            </w:pPr>
            <w:r>
              <w:rPr>
                <w:rFonts w:hint="eastAsia" w:ascii="仿宋_GB2312" w:eastAsia="仿宋_GB2312"/>
                <w:sz w:val="24"/>
                <w:szCs w:val="24"/>
              </w:rPr>
              <w:t>《重组办法》第四十五条，《证券期货法律适用意见第15号》，《监管规则适用指引——上市类第1号》1-11，《26号格式准则》第十六节、第十七节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1-2</w:t>
            </w:r>
          </w:p>
        </w:tc>
        <w:tc>
          <w:tcPr>
            <w:tcW w:w="1165" w:type="dxa"/>
            <w:noWrap/>
            <w:vAlign w:val="center"/>
          </w:tcPr>
          <w:p>
            <w:pPr>
              <w:pStyle w:val="23"/>
              <w:jc w:val="both"/>
              <w:rPr>
                <w:rFonts w:ascii="仿宋_GB2312" w:hAnsi="仿宋_GB2312" w:eastAsia="仿宋_GB2312" w:cs="仿宋_GB2312"/>
              </w:rPr>
            </w:pPr>
            <w:r>
              <w:rPr>
                <w:rFonts w:hint="eastAsia" w:ascii="仿宋_GB2312" w:hAnsi="仿宋_GB2312" w:eastAsia="仿宋_GB2312" w:cs="仿宋_GB2312"/>
                <w:b/>
                <w:bCs/>
                <w:color w:val="auto"/>
              </w:rPr>
              <w:t>募集配套资金</w:t>
            </w:r>
          </w:p>
        </w:tc>
        <w:tc>
          <w:tcPr>
            <w:tcW w:w="4039"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上市公司应当在重组报告书中披露：</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（1）募集配套资金的金额及相当于发行证券购买资产交易价格的比例；</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（2）募集配套资金的股份发行情况；</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（3）募集配套资金的用途。包括具体用途、资金安排、测试依据、使用计划进度和预期收益，如募集配套资金用于投资项目的，披露项目是否取得相应的许可证书或者有关主管部门的批复文件；</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（4）</w:t>
            </w:r>
            <w:r>
              <w:rPr>
                <w:rFonts w:ascii="仿宋_GB2312" w:hAnsi="仿宋_GB2312" w:eastAsia="仿宋_GB2312" w:cs="仿宋_GB2312"/>
                <w:bCs/>
                <w:kern w:val="0"/>
                <w:sz w:val="24"/>
                <w:szCs w:val="24"/>
              </w:rPr>
              <w:t>募集配套资金的必要性。</w:t>
            </w:r>
            <w:r>
              <w:rPr>
                <w:rFonts w:hint="eastAsia" w:ascii="仿宋_GB2312" w:hAnsi="仿宋_GB2312" w:eastAsia="仿宋_GB2312" w:cs="仿宋_GB2312"/>
                <w:bCs/>
                <w:kern w:val="0"/>
                <w:sz w:val="24"/>
                <w:szCs w:val="24"/>
              </w:rPr>
              <w:t>结合行业特点、资金用途、前次募集资金使用效率、上市公司及标的资产现有生产经营规模和财务状况、是否有利于提高重组项目的整合绩效等方面，论证本次募集配套资金的必要性及配套金额是否与之相匹配；</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（5）</w:t>
            </w:r>
            <w:r>
              <w:rPr>
                <w:rFonts w:ascii="仿宋_GB2312" w:hAnsi="仿宋_GB2312" w:eastAsia="仿宋_GB2312" w:cs="仿宋_GB2312"/>
                <w:bCs/>
                <w:kern w:val="0"/>
                <w:sz w:val="24"/>
                <w:szCs w:val="24"/>
              </w:rPr>
              <w:t>科创板上市公司募集配套资金的，披露相关资金是否用于科技创新领域，以及募投项目实施促进上市公司科技创新水平提升的方式。</w:t>
            </w:r>
          </w:p>
        </w:tc>
        <w:tc>
          <w:tcPr>
            <w:tcW w:w="6054"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核查募集配套资金的规模是否符合《监管规则适用指引——上市类第1号》1-1的规定，发行对象、发行价格、定价方式是否符合《上市公司证券发行注册管理办法》（以下简称《再融资管理办法》）第五十六条和第五十七条的规定；</w:t>
            </w:r>
          </w:p>
          <w:p>
            <w:pPr>
              <w:ind w:firstLine="480" w:firstLineChars="200"/>
            </w:pPr>
            <w:r>
              <w:rPr>
                <w:rFonts w:hint="eastAsia" w:ascii="仿宋_GB2312" w:hAnsi="仿宋_GB2312" w:eastAsia="仿宋_GB2312" w:cs="仿宋_GB2312"/>
                <w:bCs/>
                <w:kern w:val="0"/>
                <w:sz w:val="24"/>
                <w:szCs w:val="24"/>
              </w:rPr>
              <w:t>（2）核查本次募集配套资金的必要性；涉及募投项目的，核查募投项目的具体投资构成明细、各项投资支出的必要性和合理性；</w:t>
            </w:r>
          </w:p>
          <w:p>
            <w:pPr>
              <w:ind w:firstLine="480" w:firstLineChars="200"/>
            </w:pPr>
            <w:r>
              <w:rPr>
                <w:rFonts w:hint="eastAsia" w:ascii="仿宋_GB2312" w:hAnsi="仿宋_GB2312" w:eastAsia="仿宋_GB2312" w:cs="仿宋_GB2312"/>
                <w:bCs/>
                <w:kern w:val="0"/>
                <w:sz w:val="24"/>
                <w:szCs w:val="24"/>
              </w:rPr>
              <w:t>（3）募投项目的审批、批准或备案情况、相关进展以及是否存在重大不确定性。</w:t>
            </w:r>
          </w:p>
          <w:p>
            <w:pPr>
              <w:ind w:firstLine="480" w:firstLineChars="200"/>
              <w:rPr>
                <w:rFonts w:ascii="仿宋_GB2312" w:hAnsi="仿宋_GB2312" w:eastAsia="仿宋_GB2312" w:cs="仿宋_GB2312"/>
                <w:sz w:val="24"/>
                <w:szCs w:val="24"/>
              </w:rPr>
            </w:pPr>
            <w:r>
              <w:rPr>
                <w:rFonts w:hint="eastAsia" w:ascii="仿宋_GB2312" w:hAnsi="仿宋_GB2312" w:eastAsia="仿宋_GB2312" w:cs="仿宋_GB2312"/>
                <w:bCs/>
                <w:kern w:val="0"/>
                <w:sz w:val="24"/>
                <w:szCs w:val="24"/>
              </w:rPr>
              <w:t>律师应对上述事项进行核查，并发表明确核查意见。</w:t>
            </w:r>
          </w:p>
        </w:tc>
        <w:tc>
          <w:tcPr>
            <w:tcW w:w="1678" w:type="dxa"/>
            <w:noWrap/>
          </w:tcPr>
          <w:p>
            <w:pPr>
              <w:rPr>
                <w:rFonts w:ascii="仿宋_GB2312" w:eastAsia="仿宋_GB2312"/>
                <w:sz w:val="24"/>
                <w:szCs w:val="24"/>
              </w:rPr>
            </w:pPr>
            <w:r>
              <w:rPr>
                <w:rFonts w:hint="eastAsia" w:ascii="仿宋_GB2312" w:eastAsia="仿宋_GB2312"/>
                <w:sz w:val="24"/>
                <w:szCs w:val="24"/>
              </w:rPr>
              <w:t>《26号格式准则》第六十四条、第六十五条，《监管规则适用指引——上市类第1号》1-1，《再融资管理办法》第五十六条、第五十七条</w:t>
            </w:r>
          </w:p>
          <w:p>
            <w:pPr>
              <w:ind w:firstLine="480" w:firstLineChars="200"/>
              <w:rPr>
                <w:rFonts w:ascii="仿宋_GB2312" w:hAnsi="仿宋_GB2312" w:eastAsia="仿宋_GB2312" w:cs="仿宋_GB2312"/>
                <w:bCs/>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1-3</w:t>
            </w:r>
          </w:p>
        </w:tc>
        <w:tc>
          <w:tcPr>
            <w:tcW w:w="1165" w:type="dxa"/>
            <w:noWrap/>
            <w:vAlign w:val="center"/>
          </w:tcPr>
          <w:p>
            <w:pPr>
              <w:rPr>
                <w:rFonts w:ascii="仿宋_GB2312" w:hAnsi="仿宋_GB2312" w:eastAsia="仿宋_GB2312" w:cs="仿宋_GB2312"/>
                <w:b/>
                <w:bCs/>
                <w:kern w:val="0"/>
                <w:sz w:val="24"/>
                <w:szCs w:val="24"/>
              </w:rPr>
            </w:pPr>
            <w:r>
              <w:rPr>
                <w:rFonts w:hint="eastAsia" w:ascii="仿宋_GB2312" w:hAnsi="仿宋_GB2312" w:eastAsia="仿宋_GB2312" w:cs="仿宋_GB2312"/>
                <w:b/>
                <w:bCs/>
                <w:sz w:val="24"/>
                <w:szCs w:val="24"/>
              </w:rPr>
              <w:t>是否构成重组上市</w:t>
            </w:r>
          </w:p>
        </w:tc>
        <w:tc>
          <w:tcPr>
            <w:tcW w:w="4039"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上市公司应当在重组报告书中披露：</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（1）本次交易是否构成重组上市及判断依据；</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如披露本次交易不构成重组上市，但交易完成后，持有上市公司百分之五以上股份的股东或者实际控制人持股情况或者控制公司的情况以及上市公司的业务构成都将发生较大变化，披露未来三十六个月上市公司是否存在维持或变更控制权、调整主营业务的相关安排、承诺、协议等，如存在，详细披露主要内容。</w:t>
            </w:r>
          </w:p>
        </w:tc>
        <w:tc>
          <w:tcPr>
            <w:tcW w:w="6054"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（1）上市公司控制权最近36个月内是否发生变更；本次交易是否导致上市公司控制权发生变更；</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根据《重组办法》第十三条、《〈上市公司重大资产重组管理办法〉第十四条、第四十四条的适用意见——证券期货法律适用意见第12号》（以下简称《证券期货法律适用意见第12号》）、《监管规则适用指引——上市类第1号》1-1等相关规定，核查本次交易是否构成重组上市；</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（2）如上市公司控制权最近36个月内发生变更，或者本次交易导致上市公司控制权发生变更，且认为本次交易不构成重组上市的，审慎核查不构成重组上市的原因及依据充分性。</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律师应对上述事项进行核查，并发表明确核查意见。</w:t>
            </w:r>
          </w:p>
        </w:tc>
        <w:tc>
          <w:tcPr>
            <w:tcW w:w="1678" w:type="dxa"/>
            <w:noWrap/>
          </w:tcPr>
          <w:p>
            <w:pPr>
              <w:pStyle w:val="23"/>
              <w:jc w:val="both"/>
              <w:rPr>
                <w:rFonts w:ascii="仿宋_GB2312" w:hAnsi="仿宋_GB2312" w:eastAsia="仿宋_GB2312" w:cs="仿宋_GB2312"/>
                <w:bCs/>
                <w:color w:val="auto"/>
              </w:rPr>
            </w:pPr>
            <w:r>
              <w:rPr>
                <w:rFonts w:hint="eastAsia" w:ascii="仿宋_GB2312" w:hAnsi="Calibri" w:eastAsia="仿宋_GB2312"/>
                <w:color w:val="auto"/>
                <w:kern w:val="2"/>
              </w:rPr>
              <w:t>《重组办法》第十三条、《26号格式准则》第十三条、《证券期货法律适用意见第12号》、《监管规则适用指引——上市类第1号》1-1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22" w:hRule="atLeast"/>
        </w:trPr>
        <w:tc>
          <w:tcPr>
            <w:tcW w:w="1074" w:type="dxa"/>
            <w:noWrap/>
            <w:vAlign w:val="center"/>
          </w:tcPr>
          <w:p>
            <w:pPr>
              <w:jc w:val="center"/>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1-4</w:t>
            </w:r>
          </w:p>
        </w:tc>
        <w:tc>
          <w:tcPr>
            <w:tcW w:w="1165" w:type="dxa"/>
            <w:noWrap/>
            <w:vAlign w:val="center"/>
          </w:tcPr>
          <w:p>
            <w:pPr>
              <w:pStyle w:val="23"/>
              <w:jc w:val="both"/>
              <w:rPr>
                <w:rFonts w:ascii="仿宋_GB2312" w:hAnsi="仿宋_GB2312" w:eastAsia="仿宋_GB2312" w:cs="仿宋_GB2312"/>
                <w:b/>
                <w:bCs/>
                <w:color w:val="auto"/>
              </w:rPr>
            </w:pPr>
            <w:r>
              <w:rPr>
                <w:rFonts w:hint="eastAsia" w:ascii="仿宋_GB2312" w:hAnsi="仿宋_GB2312" w:eastAsia="仿宋_GB2312" w:cs="仿宋_GB2312"/>
                <w:b/>
                <w:bCs/>
                <w:color w:val="auto"/>
              </w:rPr>
              <w:t>业绩承诺及可实现性</w:t>
            </w:r>
          </w:p>
        </w:tc>
        <w:tc>
          <w:tcPr>
            <w:tcW w:w="4039" w:type="dxa"/>
            <w:noWrap/>
          </w:tcPr>
          <w:p>
            <w:pPr>
              <w:numPr>
                <w:ilvl w:val="255"/>
                <w:numId w:val="0"/>
              </w:num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上市公司应当在重组报告书中披露：</w:t>
            </w:r>
          </w:p>
          <w:p>
            <w:pPr>
              <w:numPr>
                <w:ilvl w:val="255"/>
                <w:numId w:val="0"/>
              </w:num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（1）业绩补偿协议的主要内容，包括但不限于业绩承诺内容、业绩补偿方式、减值测试安排等；如业绩承诺涉及净利润指标的，说明净利润计算方式，是否扣除非经常性损益；</w:t>
            </w:r>
          </w:p>
          <w:p>
            <w:pPr>
              <w:numPr>
                <w:ilvl w:val="255"/>
                <w:numId w:val="0"/>
              </w:num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（2）业绩承诺是否合理，是否存在异常增长，是否符合行业发展趋势和业务发展规律；</w:t>
            </w:r>
          </w:p>
          <w:p>
            <w:pPr>
              <w:numPr>
                <w:ilvl w:val="255"/>
                <w:numId w:val="0"/>
              </w:num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（3）交易对方是否按照规定与上市公司签订了明确可行的补偿协议；</w:t>
            </w:r>
          </w:p>
          <w:p>
            <w:pPr>
              <w:numPr>
                <w:ilvl w:val="255"/>
                <w:numId w:val="0"/>
              </w:num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（4）交易对方是否具备相应的履约能力，在承诺期内是否具有明确的履约保障措施。</w:t>
            </w:r>
          </w:p>
        </w:tc>
        <w:tc>
          <w:tcPr>
            <w:tcW w:w="6054"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（1）核查业绩承诺的相关协议，业绩承诺的具体内容，业绩承诺补偿安排的合规性、合理性，业绩承诺的可实现性，业绩补偿义务人确保承诺履行相关安排的可行性；</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核查是否涉及《监管规则适用指引——上市类第1号》1-2的业绩补偿范围，如涉及，业绩承诺具体安排、补偿方式以及保障措施是否符合《重组办法》第三十五条、《监管规则适用指引——上市类第1号》1-2的规定。</w:t>
            </w:r>
          </w:p>
          <w:p>
            <w:pPr>
              <w:ind w:firstLine="480" w:firstLineChars="200"/>
              <w:rPr>
                <w:rFonts w:ascii="仿宋_GB2312" w:hAnsi="仿宋_GB2312" w:eastAsia="仿宋_GB2312" w:cs="仿宋_GB2312"/>
                <w:sz w:val="24"/>
                <w:szCs w:val="24"/>
              </w:rPr>
            </w:pPr>
            <w:r>
              <w:rPr>
                <w:rFonts w:hint="eastAsia" w:ascii="仿宋_GB2312" w:hAnsi="仿宋_GB2312" w:eastAsia="仿宋_GB2312" w:cs="仿宋_GB2312"/>
                <w:bCs/>
                <w:kern w:val="0"/>
                <w:sz w:val="24"/>
                <w:szCs w:val="24"/>
              </w:rPr>
              <w:t>律师应对上述事项进行核查，并发表明确核查意见。</w:t>
            </w:r>
          </w:p>
        </w:tc>
        <w:tc>
          <w:tcPr>
            <w:tcW w:w="1678" w:type="dxa"/>
            <w:noWrap/>
          </w:tcPr>
          <w:p>
            <w:pPr>
              <w:rPr>
                <w:rFonts w:ascii="仿宋_GB2312" w:hAnsi="仿宋_GB2312" w:eastAsia="仿宋_GB2312" w:cs="仿宋_GB2312"/>
                <w:bCs/>
                <w:kern w:val="0"/>
                <w:sz w:val="24"/>
                <w:szCs w:val="24"/>
              </w:rPr>
            </w:pPr>
            <w:r>
              <w:rPr>
                <w:rFonts w:hint="eastAsia" w:ascii="仿宋_GB2312" w:eastAsia="仿宋_GB2312"/>
                <w:sz w:val="24"/>
                <w:szCs w:val="24"/>
              </w:rPr>
              <w:t>《26号格式准则》第二十七条、《重组办法》第三十五条、《监管规则适用指引——上市类第1号》1-2、《上海证券交易所上市公司重大资产重组审核规则》（以下简称《重组审核规则》）第二十四条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1-5</w:t>
            </w:r>
          </w:p>
        </w:tc>
        <w:tc>
          <w:tcPr>
            <w:tcW w:w="1165" w:type="dxa"/>
            <w:noWrap/>
            <w:vAlign w:val="center"/>
          </w:tcPr>
          <w:p>
            <w:pPr>
              <w:pStyle w:val="23"/>
              <w:jc w:val="both"/>
              <w:rPr>
                <w:rFonts w:ascii="仿宋_GB2312" w:hAnsi="仿宋_GB2312" w:eastAsia="仿宋_GB2312" w:cs="仿宋_GB2312"/>
                <w:b/>
                <w:bCs/>
                <w:color w:val="auto"/>
              </w:rPr>
            </w:pPr>
            <w:r>
              <w:rPr>
                <w:rFonts w:hint="eastAsia" w:ascii="仿宋_GB2312" w:hAnsi="仿宋_GB2312" w:eastAsia="仿宋_GB2312" w:cs="仿宋_GB2312"/>
                <w:b/>
                <w:bCs/>
                <w:color w:val="auto"/>
              </w:rPr>
              <w:t>业绩奖励</w:t>
            </w:r>
          </w:p>
        </w:tc>
        <w:tc>
          <w:tcPr>
            <w:tcW w:w="4039"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上市公司应当在重组报告书中披露：</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（1）设置业绩奖励的原因、业绩奖励对象的范围、确定方式、依据及合理性，相关会计处理及对上市公司可能造成的影响；</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（2）计算业绩承诺是否完成时，对业绩奖励的会计处理，是否属于非经常性损益。</w:t>
            </w:r>
          </w:p>
        </w:tc>
        <w:tc>
          <w:tcPr>
            <w:tcW w:w="6054"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结合业绩奖励总额上限、业绩奖励对象及确定方式等，核查业绩奖励方案是否符合《监管规则适用指引——上市类第1号》1-2的规定。</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律师应对上述事项进行核查，并发表明确核查意见。</w:t>
            </w:r>
          </w:p>
        </w:tc>
        <w:tc>
          <w:tcPr>
            <w:tcW w:w="1678" w:type="dxa"/>
            <w:noWrap/>
          </w:tcPr>
          <w:p>
            <w:pPr>
              <w:pStyle w:val="23"/>
              <w:jc w:val="both"/>
              <w:rPr>
                <w:rFonts w:ascii="仿宋_GB2312" w:hAnsi="仿宋_GB2312" w:eastAsia="仿宋_GB2312" w:cs="仿宋_GB2312"/>
                <w:bCs/>
              </w:rPr>
            </w:pPr>
            <w:r>
              <w:rPr>
                <w:rFonts w:hint="eastAsia" w:ascii="仿宋_GB2312" w:hAnsi="Calibri" w:eastAsia="仿宋_GB2312"/>
                <w:color w:val="auto"/>
                <w:kern w:val="2"/>
              </w:rPr>
              <w:t>《重组办法》第三十五条、《监管规则适用指引——上市类第1号》1-2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tcPr>
          <w:p>
            <w:pPr>
              <w:jc w:val="center"/>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1-6</w:t>
            </w:r>
          </w:p>
        </w:tc>
        <w:tc>
          <w:tcPr>
            <w:tcW w:w="1165" w:type="dxa"/>
            <w:noWrap/>
          </w:tcPr>
          <w:p>
            <w:pPr>
              <w:pStyle w:val="23"/>
              <w:jc w:val="both"/>
              <w:rPr>
                <w:rFonts w:ascii="仿宋_GB2312" w:hAnsi="仿宋_GB2312" w:eastAsia="仿宋_GB2312" w:cs="仿宋_GB2312"/>
                <w:b/>
                <w:bCs/>
                <w:color w:val="auto"/>
              </w:rPr>
            </w:pPr>
            <w:r>
              <w:rPr>
                <w:rFonts w:hint="eastAsia" w:ascii="仿宋_GB2312" w:hAnsi="仿宋_GB2312" w:eastAsia="仿宋_GB2312" w:cs="仿宋_GB2312"/>
                <w:b/>
                <w:bCs/>
                <w:color w:val="auto"/>
              </w:rPr>
              <w:t>锁定期安排</w:t>
            </w:r>
          </w:p>
        </w:tc>
        <w:tc>
          <w:tcPr>
            <w:tcW w:w="4039"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上市公司应当在重组报告书中披露：</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（1）特定对象以资产认购取得上市公司股份的锁定期符合《重组办法》第四十六条第一款规定的情况；</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（2）重组上市涉及各主体的股份锁定期符合《重组办法》第四十六条第二款规定的情况；</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（3）配套募集资金的股份锁定期符合《再融资管理办法》第五十九条规定的情况；</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（4）适用《上市公司收购管理办法》（以下简称《收购办法》）第六十三条第一款第三项规定免于发出要约的，锁定期符合相关规定的情况。</w:t>
            </w:r>
          </w:p>
        </w:tc>
        <w:tc>
          <w:tcPr>
            <w:tcW w:w="6054"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（1）核查特定对象以资产认购取得上市公司股份的锁定期是否符合《重组办法》第四十六条第一款的规定；</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（2）涉及重组上市的，核查相关主体的股份锁定期是否符合《重组办法》第四十六条第二款的规定；</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（3）核查配套募集资金的股份锁定期是否符合《再融资管理办法》第五十九条的相关规定；</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（4）适用《收购办法》第六十三条第一款第三项规定免于发出要约的，核查锁定期是否符合相关规定。</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律师应对上述事项进行核查，并发表明确核查意见。</w:t>
            </w:r>
          </w:p>
        </w:tc>
        <w:tc>
          <w:tcPr>
            <w:tcW w:w="1678" w:type="dxa"/>
            <w:noWrap/>
          </w:tcPr>
          <w:p>
            <w:pPr>
              <w:pStyle w:val="23"/>
              <w:jc w:val="both"/>
              <w:rPr>
                <w:rFonts w:ascii="仿宋_GB2312" w:hAnsi="仿宋_GB2312" w:eastAsia="仿宋_GB2312" w:cs="仿宋_GB2312"/>
                <w:bCs/>
              </w:rPr>
            </w:pPr>
            <w:r>
              <w:rPr>
                <w:rFonts w:hint="eastAsia" w:ascii="仿宋_GB2312" w:hAnsi="Calibri" w:eastAsia="仿宋_GB2312"/>
                <w:color w:val="auto"/>
                <w:kern w:val="2"/>
              </w:rPr>
              <w:t>《重组办法》第四十六条、《再融资管理办法》第五十九条、《收购办法》第六十三条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1-7</w:t>
            </w:r>
          </w:p>
        </w:tc>
        <w:tc>
          <w:tcPr>
            <w:tcW w:w="1165" w:type="dxa"/>
            <w:noWrap/>
            <w:vAlign w:val="center"/>
          </w:tcPr>
          <w:p>
            <w:pPr>
              <w:pStyle w:val="23"/>
              <w:jc w:val="both"/>
              <w:rPr>
                <w:rFonts w:ascii="仿宋_GB2312" w:hAnsi="仿宋_GB2312" w:eastAsia="仿宋_GB2312" w:cs="仿宋_GB2312"/>
                <w:b/>
                <w:bCs/>
                <w:color w:val="auto"/>
              </w:rPr>
            </w:pPr>
            <w:r>
              <w:rPr>
                <w:rFonts w:hint="eastAsia" w:ascii="仿宋_GB2312" w:hAnsi="仿宋_GB2312" w:eastAsia="仿宋_GB2312" w:cs="仿宋_GB2312"/>
                <w:b/>
                <w:bCs/>
                <w:color w:val="auto"/>
              </w:rPr>
              <w:t>过渡期损益安排</w:t>
            </w:r>
          </w:p>
        </w:tc>
        <w:tc>
          <w:tcPr>
            <w:tcW w:w="4039"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上市公司应当在重组报告书中披露：</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标的资产在过渡期间的损益安排。</w:t>
            </w:r>
          </w:p>
        </w:tc>
        <w:tc>
          <w:tcPr>
            <w:tcW w:w="6054"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（1）拟购买资产以基于未来收益预期的估值方法作为主要评估方法的，过渡期损益安排是否符合《监管规则适用指引——上市类第1号》1-6的规定。</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（2）标的资产以资产基础法等作为主要评估方法的，过渡期损益安排的合理性。</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律师应对上述事项进行核查，并表明确核查意见。</w:t>
            </w:r>
          </w:p>
        </w:tc>
        <w:tc>
          <w:tcPr>
            <w:tcW w:w="1678" w:type="dxa"/>
            <w:noWrap/>
          </w:tcPr>
          <w:p>
            <w:pPr>
              <w:pStyle w:val="23"/>
              <w:jc w:val="both"/>
              <w:rPr>
                <w:rFonts w:ascii="仿宋_GB2312" w:hAnsi="仿宋_GB2312" w:eastAsia="仿宋_GB2312" w:cs="仿宋_GB2312"/>
                <w:bCs/>
              </w:rPr>
            </w:pPr>
            <w:r>
              <w:rPr>
                <w:rFonts w:hint="eastAsia" w:ascii="仿宋_GB2312" w:hAnsi="Calibri" w:eastAsia="仿宋_GB2312"/>
                <w:color w:val="auto"/>
                <w:kern w:val="2"/>
              </w:rPr>
              <w:t>《监管规则适用指引——上市类第1号》1-6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bCs/>
                <w:kern w:val="0"/>
                <w:sz w:val="24"/>
                <w:szCs w:val="24"/>
              </w:rPr>
            </w:pPr>
            <w:r>
              <w:rPr>
                <w:rFonts w:hint="eastAsia" w:ascii="仿宋_GB2312" w:hAnsi="仿宋_GB2312" w:eastAsia="仿宋_GB2312" w:cs="仿宋_GB2312"/>
                <w:b/>
                <w:bCs/>
                <w:kern w:val="0"/>
                <w:sz w:val="24"/>
                <w:szCs w:val="24"/>
              </w:rPr>
              <w:t>1-8</w:t>
            </w:r>
          </w:p>
        </w:tc>
        <w:tc>
          <w:tcPr>
            <w:tcW w:w="1165" w:type="dxa"/>
            <w:noWrap/>
            <w:vAlign w:val="center"/>
          </w:tcPr>
          <w:p>
            <w:pPr>
              <w:pStyle w:val="23"/>
              <w:jc w:val="both"/>
              <w:rPr>
                <w:rFonts w:ascii="仿宋_GB2312" w:hAnsi="仿宋_GB2312" w:eastAsia="仿宋_GB2312" w:cs="仿宋_GB2312"/>
                <w:b/>
                <w:bCs/>
                <w:color w:val="auto"/>
              </w:rPr>
            </w:pPr>
            <w:r>
              <w:rPr>
                <w:rFonts w:hint="eastAsia" w:ascii="仿宋_GB2312" w:hAnsi="仿宋_GB2312" w:eastAsia="仿宋_GB2312" w:cs="仿宋_GB2312"/>
                <w:b/>
                <w:bCs/>
                <w:color w:val="auto"/>
              </w:rPr>
              <w:t>交易必要性及协同效应</w:t>
            </w:r>
          </w:p>
        </w:tc>
        <w:tc>
          <w:tcPr>
            <w:tcW w:w="4039"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上市公司应当在重组报告书中披露：</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本次交易的必要性，包括但不限于：上市公司是否具有明确可行的发展战略，是否存在不当市值管理行为，上市公司的控股股东、实际控制人、董事、监事、高级管理人员在本次交易披露前后是否存在股份减持情形或者大比例减持计划，本次交易是否具有商业实质，是否存在利益输送的情形；</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主板上市公司向控股股东、实际控制人或者其控制的关联人之外的特定对象发行股份购买资产，且控制权未发生变更的，披露本次交易促进上市公司行业整合、转型升级的具体情况；如所购买资产与现有主营业务没有显著协同效应的，应当充分披露本次交易后上市公司的经营发展战略和业务管理模式，以及业务转型升级可能面临的风险和应对措施；</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（3）科创板上市公司拟购买资产所属行业符合科创板行业定位、</w:t>
            </w:r>
            <w:r>
              <w:rPr>
                <w:rFonts w:ascii="仿宋_GB2312" w:hAnsi="仿宋_GB2312" w:eastAsia="仿宋_GB2312" w:cs="仿宋_GB2312"/>
                <w:bCs/>
                <w:kern w:val="0"/>
                <w:sz w:val="24"/>
                <w:szCs w:val="24"/>
              </w:rPr>
              <w:t>与上市公司处于同行业或者上下游</w:t>
            </w:r>
            <w:r>
              <w:rPr>
                <w:rFonts w:hint="eastAsia" w:ascii="仿宋_GB2312" w:hAnsi="仿宋_GB2312" w:eastAsia="仿宋_GB2312" w:cs="仿宋_GB2312"/>
                <w:bCs/>
                <w:kern w:val="0"/>
                <w:sz w:val="24"/>
                <w:szCs w:val="24"/>
              </w:rPr>
              <w:t>，以及拟购买资产主营业务与上市公司主营业务具有协同效应的具体情况。</w:t>
            </w:r>
          </w:p>
        </w:tc>
        <w:tc>
          <w:tcPr>
            <w:tcW w:w="6054"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本次交易的商业逻辑，是否存在不当市值管理行为；上市公司的控股股东、实际控制人、董事、监事、高级管理人员在本次交易披露前后是否存在股份减持情形或者大比例减持计划；本次交易是否具有商业实质，是否存在利益输送的情形；</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（2）主板上市公司向控股股东、实际控制人或者其控制的关联人之外的特定对象发行股份购买资产，且控制权未发生变更的，核查是否符合《重组办法》第四十三条的相关规定；</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（3）科创板上市公司发行股份购买资产的，核查拟购买资产所属行业是否符合科创板行业定位、</w:t>
            </w:r>
            <w:r>
              <w:rPr>
                <w:rFonts w:ascii="仿宋_GB2312" w:hAnsi="仿宋_GB2312" w:eastAsia="仿宋_GB2312" w:cs="仿宋_GB2312"/>
                <w:bCs/>
                <w:kern w:val="0"/>
                <w:sz w:val="24"/>
                <w:szCs w:val="24"/>
              </w:rPr>
              <w:t>与上市公司</w:t>
            </w:r>
            <w:r>
              <w:rPr>
                <w:rFonts w:hint="eastAsia" w:ascii="仿宋_GB2312" w:hAnsi="仿宋_GB2312" w:eastAsia="仿宋_GB2312" w:cs="仿宋_GB2312"/>
                <w:bCs/>
                <w:kern w:val="0"/>
                <w:sz w:val="24"/>
                <w:szCs w:val="24"/>
              </w:rPr>
              <w:t>是否</w:t>
            </w:r>
            <w:r>
              <w:rPr>
                <w:rFonts w:ascii="仿宋_GB2312" w:hAnsi="仿宋_GB2312" w:eastAsia="仿宋_GB2312" w:cs="仿宋_GB2312"/>
                <w:bCs/>
                <w:kern w:val="0"/>
                <w:sz w:val="24"/>
                <w:szCs w:val="24"/>
              </w:rPr>
              <w:t>处于同行业或者上下游</w:t>
            </w:r>
            <w:r>
              <w:rPr>
                <w:rFonts w:hint="eastAsia" w:ascii="仿宋_GB2312" w:hAnsi="仿宋_GB2312" w:eastAsia="仿宋_GB2312" w:cs="仿宋_GB2312"/>
                <w:bCs/>
                <w:kern w:val="0"/>
                <w:sz w:val="24"/>
                <w:szCs w:val="24"/>
              </w:rPr>
              <w:t>，以及拟购买资产主营业务与上市公司主营业务是否具有协同效应。</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律师应对上述事项进行核查，并发表明确核查意见。</w:t>
            </w:r>
          </w:p>
        </w:tc>
        <w:tc>
          <w:tcPr>
            <w:tcW w:w="1678" w:type="dxa"/>
            <w:noWrap/>
          </w:tcPr>
          <w:p>
            <w:pPr>
              <w:pStyle w:val="23"/>
              <w:jc w:val="both"/>
              <w:rPr>
                <w:rFonts w:ascii="仿宋_GB2312" w:hAnsi="仿宋_GB2312" w:eastAsia="仿宋_GB2312" w:cs="仿宋_GB2312"/>
                <w:bCs/>
              </w:rPr>
            </w:pPr>
            <w:r>
              <w:rPr>
                <w:rFonts w:hint="eastAsia" w:ascii="仿宋_GB2312" w:hAnsi="Calibri" w:eastAsia="仿宋_GB2312"/>
                <w:color w:val="auto"/>
                <w:kern w:val="2"/>
              </w:rPr>
              <w:t>《重组办法》第四十三条，《重组审核规则》第十六条、第二十二条</w:t>
            </w:r>
          </w:p>
        </w:tc>
      </w:tr>
    </w:tbl>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5"/>
        <w:gridCol w:w="1364"/>
        <w:gridCol w:w="4039"/>
        <w:gridCol w:w="6054"/>
        <w:gridCol w:w="16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1" w:hRule="atLeast"/>
          <w:tblHeader/>
        </w:trPr>
        <w:tc>
          <w:tcPr>
            <w:tcW w:w="14010" w:type="dxa"/>
            <w:gridSpan w:val="5"/>
            <w:shd w:val="clear" w:color="auto" w:fill="8DB3E2"/>
            <w:noWrap/>
            <w:vAlign w:val="center"/>
          </w:tcPr>
          <w:p>
            <w:pPr>
              <w:adjustRightInd w:val="0"/>
              <w:snapToGrid w:val="0"/>
              <w:jc w:val="center"/>
              <w:rPr>
                <w:rFonts w:ascii="宋体" w:hAnsi="宋体"/>
                <w:szCs w:val="21"/>
              </w:rPr>
            </w:pPr>
            <w:r>
              <w:rPr>
                <w:rFonts w:hint="eastAsia" w:ascii="仿宋_GB2312" w:eastAsia="仿宋_GB2312"/>
                <w:b/>
                <w:kern w:val="0"/>
                <w:sz w:val="24"/>
                <w:szCs w:val="24"/>
              </w:rPr>
              <w:t>二、关于合规性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875" w:type="dxa"/>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序号</w:t>
            </w:r>
          </w:p>
        </w:tc>
        <w:tc>
          <w:tcPr>
            <w:tcW w:w="1364" w:type="dxa"/>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问题</w:t>
            </w:r>
          </w:p>
        </w:tc>
        <w:tc>
          <w:tcPr>
            <w:tcW w:w="4039" w:type="dxa"/>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披露要求</w:t>
            </w:r>
          </w:p>
        </w:tc>
        <w:tc>
          <w:tcPr>
            <w:tcW w:w="6054" w:type="dxa"/>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核查要求</w:t>
            </w:r>
          </w:p>
        </w:tc>
        <w:tc>
          <w:tcPr>
            <w:tcW w:w="1678" w:type="dxa"/>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参考规范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5" w:type="dxa"/>
            <w:noWrap/>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2-1</w:t>
            </w:r>
          </w:p>
        </w:tc>
        <w:tc>
          <w:tcPr>
            <w:tcW w:w="1364" w:type="dxa"/>
            <w:noWrap/>
            <w:vAlign w:val="center"/>
          </w:tcPr>
          <w:p>
            <w:pPr>
              <w:rPr>
                <w:rFonts w:ascii="仿宋_GB2312" w:eastAsia="仿宋_GB2312"/>
                <w:b/>
                <w:bCs/>
                <w:kern w:val="0"/>
                <w:sz w:val="24"/>
                <w:szCs w:val="24"/>
              </w:rPr>
            </w:pPr>
            <w:r>
              <w:rPr>
                <w:rFonts w:hint="eastAsia" w:ascii="仿宋_GB2312" w:eastAsia="仿宋_GB2312"/>
                <w:b/>
                <w:bCs/>
                <w:sz w:val="24"/>
                <w:szCs w:val="24"/>
              </w:rPr>
              <w:t>需履行的前置审批或并联审批程序</w:t>
            </w:r>
          </w:p>
        </w:tc>
        <w:tc>
          <w:tcPr>
            <w:tcW w:w="4039"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上市公司应当在重组报告书中披露：</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本次重组已履行的和尚未履行的决策程序及报批程序，本次重组方案实施前尚需取得的有关批准。涉及并联审批的，应当明确取得批准前不得实施本次交易。</w:t>
            </w:r>
          </w:p>
        </w:tc>
        <w:tc>
          <w:tcPr>
            <w:tcW w:w="6054" w:type="dxa"/>
            <w:noWrap/>
          </w:tcPr>
          <w:p>
            <w:pPr>
              <w:ind w:firstLine="480" w:firstLineChars="200"/>
              <w:rPr>
                <w:rFonts w:ascii="仿宋_GB2312" w:eastAsia="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本次交易已履行审批程序的完备性；尚未履行的审批程序，是否存在障碍以及对本次交易的影响。</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律师应对上述事项进行核查，并发表明确核查意见。</w:t>
            </w:r>
          </w:p>
        </w:tc>
        <w:tc>
          <w:tcPr>
            <w:tcW w:w="1678" w:type="dxa"/>
            <w:noWrap/>
          </w:tcPr>
          <w:p>
            <w:pPr>
              <w:rPr>
                <w:rFonts w:ascii="仿宋_GB2312" w:eastAsia="仿宋_GB2312"/>
                <w:sz w:val="24"/>
                <w:szCs w:val="24"/>
              </w:rPr>
            </w:pPr>
            <w:r>
              <w:rPr>
                <w:rFonts w:hint="eastAsia" w:ascii="仿宋_GB2312" w:eastAsia="仿宋_GB2312"/>
                <w:sz w:val="24"/>
                <w:szCs w:val="24"/>
              </w:rPr>
              <w:t>《26号格式准则》第十一条</w:t>
            </w:r>
          </w:p>
          <w:p>
            <w:pPr>
              <w:rPr>
                <w:rFonts w:ascii="仿宋_GB2312" w:eastAsia="仿宋_GB2312"/>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5" w:type="dxa"/>
            <w:noWrap/>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2-2</w:t>
            </w:r>
          </w:p>
        </w:tc>
        <w:tc>
          <w:tcPr>
            <w:tcW w:w="1364" w:type="dxa"/>
            <w:noWrap/>
            <w:vAlign w:val="center"/>
          </w:tcPr>
          <w:p>
            <w:pPr>
              <w:rPr>
                <w:rFonts w:ascii="仿宋_GB2312" w:eastAsia="仿宋_GB2312"/>
                <w:b/>
                <w:bCs/>
                <w:kern w:val="0"/>
                <w:sz w:val="24"/>
                <w:szCs w:val="24"/>
              </w:rPr>
            </w:pPr>
            <w:r>
              <w:rPr>
                <w:rFonts w:hint="eastAsia" w:ascii="仿宋_GB2312" w:eastAsia="仿宋_GB2312"/>
                <w:b/>
                <w:bCs/>
                <w:sz w:val="24"/>
                <w:szCs w:val="24"/>
              </w:rPr>
              <w:t>产业政策</w:t>
            </w:r>
          </w:p>
        </w:tc>
        <w:tc>
          <w:tcPr>
            <w:tcW w:w="4039"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上市公司应当在重组报告书中披露：</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本次交易符合国家产业政策和有关环境保护、土地管理、反垄断、外商投资、对外投资等法律和行政法规的规定。</w:t>
            </w:r>
          </w:p>
          <w:p>
            <w:pPr>
              <w:rPr>
                <w:rFonts w:ascii="仿宋_GB2312" w:eastAsia="仿宋_GB2312"/>
                <w:bCs/>
                <w:kern w:val="0"/>
                <w:sz w:val="24"/>
                <w:szCs w:val="24"/>
              </w:rPr>
            </w:pPr>
          </w:p>
        </w:tc>
        <w:tc>
          <w:tcPr>
            <w:tcW w:w="6054" w:type="dxa"/>
            <w:noWrap/>
          </w:tcPr>
          <w:p>
            <w:pPr>
              <w:ind w:firstLine="480" w:firstLineChars="200"/>
              <w:rPr>
                <w:rFonts w:ascii="仿宋_GB2312" w:eastAsia="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（1）本次交易是否符合国家产业政策和有关环境保护、土地管理、反垄断、外商投资、对外投资等法律和行政法规的规定；</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（2）涉及高耗能、高排放的，应根据相关规定充分核查。</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律师应对上述事项进行核查，并发表明确核查意见。</w:t>
            </w:r>
          </w:p>
        </w:tc>
        <w:tc>
          <w:tcPr>
            <w:tcW w:w="1678" w:type="dxa"/>
            <w:noWrap/>
          </w:tcPr>
          <w:p>
            <w:pPr>
              <w:rPr>
                <w:rFonts w:ascii="仿宋_GB2312" w:eastAsia="仿宋_GB2312"/>
                <w:sz w:val="24"/>
                <w:szCs w:val="24"/>
              </w:rPr>
            </w:pPr>
            <w:r>
              <w:rPr>
                <w:rFonts w:hint="eastAsia" w:ascii="仿宋_GB2312" w:eastAsia="仿宋_GB2312"/>
                <w:sz w:val="24"/>
                <w:szCs w:val="24"/>
              </w:rPr>
              <w:t>《重组办法》第十一条、《26号格式准则》第二十一条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5" w:type="dxa"/>
            <w:noWrap/>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2-3</w:t>
            </w:r>
          </w:p>
        </w:tc>
        <w:tc>
          <w:tcPr>
            <w:tcW w:w="1364" w:type="dxa"/>
            <w:noWrap/>
            <w:vAlign w:val="center"/>
          </w:tcPr>
          <w:p>
            <w:pPr>
              <w:rPr>
                <w:rFonts w:ascii="仿宋_GB2312" w:eastAsia="仿宋_GB2312"/>
                <w:b/>
                <w:bCs/>
                <w:kern w:val="0"/>
                <w:sz w:val="24"/>
                <w:szCs w:val="24"/>
              </w:rPr>
            </w:pPr>
            <w:r>
              <w:rPr>
                <w:rFonts w:hint="eastAsia" w:ascii="仿宋_GB2312" w:eastAsia="仿宋_GB2312"/>
                <w:b/>
                <w:bCs/>
                <w:kern w:val="0"/>
                <w:sz w:val="24"/>
                <w:szCs w:val="24"/>
              </w:rPr>
              <w:t>重组条件</w:t>
            </w:r>
          </w:p>
        </w:tc>
        <w:tc>
          <w:tcPr>
            <w:tcW w:w="4039"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上市公司应当在重组报告书中披露：</w:t>
            </w:r>
          </w:p>
          <w:p>
            <w:pPr>
              <w:ind w:firstLine="480" w:firstLineChars="200"/>
              <w:rPr>
                <w:rFonts w:ascii="仿宋_GB2312" w:hAnsi="仿宋" w:eastAsia="仿宋_GB2312"/>
                <w:sz w:val="24"/>
                <w:szCs w:val="24"/>
              </w:rPr>
            </w:pPr>
            <w:r>
              <w:rPr>
                <w:rFonts w:hint="eastAsia" w:ascii="仿宋_GB2312" w:hAnsi="仿宋" w:eastAsia="仿宋_GB2312"/>
                <w:sz w:val="24"/>
                <w:szCs w:val="24"/>
              </w:rPr>
              <w:t>（1）本次交易有利于提高上市公司资产质量、改善财务状况和增强持续经营能力，不存在可能导致上市公司重组后主要资产为现金或者无具体经营业务的情形；</w:t>
            </w:r>
          </w:p>
          <w:p>
            <w:pPr>
              <w:ind w:firstLine="480" w:firstLineChars="200"/>
              <w:rPr>
                <w:rFonts w:ascii="仿宋_GB2312" w:hAnsi="仿宋" w:eastAsia="仿宋_GB2312"/>
                <w:sz w:val="24"/>
                <w:szCs w:val="24"/>
              </w:rPr>
            </w:pPr>
            <w:r>
              <w:rPr>
                <w:rFonts w:hint="eastAsia" w:ascii="仿宋_GB2312" w:hAnsi="仿宋" w:eastAsia="仿宋_GB2312"/>
                <w:sz w:val="24"/>
                <w:szCs w:val="24"/>
              </w:rPr>
              <w:t>（2）本次交易有利于上市公司减少关联交易、避免同业竞争、增强独立性；有利于上市公司形成或者保持健全有效的法人治理结构；</w:t>
            </w:r>
          </w:p>
          <w:p>
            <w:pPr>
              <w:ind w:firstLine="480" w:firstLineChars="200"/>
              <w:rPr>
                <w:rFonts w:ascii="仿宋_GB2312" w:hAnsi="仿宋" w:eastAsia="仿宋_GB2312"/>
                <w:sz w:val="24"/>
                <w:szCs w:val="24"/>
              </w:rPr>
            </w:pPr>
            <w:r>
              <w:rPr>
                <w:rFonts w:hint="eastAsia" w:ascii="仿宋_GB2312" w:hAnsi="仿宋" w:eastAsia="仿宋_GB2312"/>
                <w:sz w:val="24"/>
                <w:szCs w:val="24"/>
              </w:rPr>
              <w:t>（3）所涉及的资产为权属清晰的经营性资产，能在约定期限内办理完毕权属转移手续，相关债权债务处理合法；</w:t>
            </w:r>
          </w:p>
          <w:p>
            <w:pPr>
              <w:ind w:firstLine="480" w:firstLineChars="200"/>
              <w:rPr>
                <w:rFonts w:ascii="仿宋_GB2312" w:hAnsi="仿宋" w:eastAsia="仿宋_GB2312"/>
                <w:sz w:val="24"/>
                <w:szCs w:val="24"/>
              </w:rPr>
            </w:pPr>
            <w:r>
              <w:rPr>
                <w:rFonts w:hint="eastAsia" w:ascii="仿宋_GB2312" w:hAnsi="仿宋" w:eastAsia="仿宋_GB2312"/>
                <w:sz w:val="24"/>
                <w:szCs w:val="24"/>
              </w:rPr>
              <w:t>（4）所涉及的资产定价公允，不存在损害上市公司和股东合法权益的情形；</w:t>
            </w:r>
          </w:p>
          <w:p>
            <w:pPr>
              <w:ind w:firstLine="480" w:firstLineChars="200"/>
              <w:rPr>
                <w:rFonts w:ascii="仿宋_GB2312" w:eastAsia="仿宋_GB2312"/>
                <w:bCs/>
                <w:kern w:val="0"/>
                <w:sz w:val="24"/>
                <w:szCs w:val="24"/>
              </w:rPr>
            </w:pPr>
            <w:r>
              <w:rPr>
                <w:rFonts w:hint="eastAsia" w:ascii="仿宋_GB2312" w:hAnsi="仿宋" w:eastAsia="仿宋_GB2312"/>
                <w:sz w:val="24"/>
                <w:szCs w:val="24"/>
              </w:rPr>
              <w:t>（5）《重组办法》第十一条、第四十三条规定的其他条件。</w:t>
            </w:r>
          </w:p>
        </w:tc>
        <w:tc>
          <w:tcPr>
            <w:tcW w:w="6054" w:type="dxa"/>
            <w:noWrap/>
          </w:tcPr>
          <w:p>
            <w:pPr>
              <w:ind w:firstLine="480" w:firstLineChars="200"/>
              <w:rPr>
                <w:rFonts w:ascii="仿宋_GB2312" w:eastAsia="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numPr>
                <w:ilvl w:val="255"/>
                <w:numId w:val="0"/>
              </w:numPr>
              <w:ind w:firstLine="480" w:firstLineChars="200"/>
              <w:rPr>
                <w:rFonts w:ascii="仿宋_GB2312" w:eastAsia="仿宋_GB2312"/>
                <w:bCs/>
                <w:kern w:val="0"/>
                <w:sz w:val="24"/>
                <w:szCs w:val="24"/>
              </w:rPr>
            </w:pPr>
            <w:r>
              <w:rPr>
                <w:rFonts w:hint="eastAsia" w:ascii="仿宋_GB2312" w:eastAsia="仿宋_GB2312"/>
                <w:bCs/>
                <w:kern w:val="0"/>
                <w:sz w:val="24"/>
                <w:szCs w:val="24"/>
              </w:rPr>
              <w:t>（1）本次交易是否符合《重组办法》第十一条相关规定；</w:t>
            </w:r>
          </w:p>
          <w:p>
            <w:pPr>
              <w:numPr>
                <w:ilvl w:val="255"/>
                <w:numId w:val="0"/>
              </w:numPr>
              <w:ind w:firstLine="480" w:firstLineChars="200"/>
              <w:rPr>
                <w:rFonts w:ascii="仿宋_GB2312" w:eastAsia="仿宋_GB2312"/>
                <w:bCs/>
                <w:kern w:val="0"/>
                <w:sz w:val="24"/>
                <w:szCs w:val="24"/>
              </w:rPr>
            </w:pPr>
            <w:r>
              <w:rPr>
                <w:rFonts w:hint="eastAsia" w:ascii="仿宋_GB2312" w:eastAsia="仿宋_GB2312"/>
                <w:bCs/>
                <w:kern w:val="0"/>
                <w:sz w:val="24"/>
                <w:szCs w:val="24"/>
              </w:rPr>
              <w:t>（2）本次交易是否符合《重组办法》第四十三条的规定。</w:t>
            </w:r>
          </w:p>
          <w:p>
            <w:pPr>
              <w:ind w:firstLine="480" w:firstLineChars="200"/>
              <w:rPr>
                <w:rFonts w:ascii="仿宋_GB2312" w:eastAsia="仿宋_GB2312"/>
                <w:bCs/>
                <w:kern w:val="0"/>
                <w:sz w:val="24"/>
                <w:szCs w:val="24"/>
              </w:rPr>
            </w:pPr>
            <w:r>
              <w:rPr>
                <w:rFonts w:hint="eastAsia" w:ascii="仿宋_GB2312" w:hAnsi="仿宋" w:eastAsia="仿宋_GB2312"/>
                <w:sz w:val="24"/>
                <w:szCs w:val="24"/>
              </w:rPr>
              <w:t>律师应对上述事项进行核查，并发表明确核查意见。</w:t>
            </w:r>
          </w:p>
          <w:p>
            <w:pPr>
              <w:ind w:firstLine="480" w:firstLineChars="200"/>
              <w:rPr>
                <w:rFonts w:ascii="仿宋_GB2312" w:eastAsia="仿宋_GB2312"/>
                <w:bCs/>
                <w:kern w:val="0"/>
                <w:sz w:val="24"/>
                <w:szCs w:val="24"/>
              </w:rPr>
            </w:pPr>
          </w:p>
        </w:tc>
        <w:tc>
          <w:tcPr>
            <w:tcW w:w="1678" w:type="dxa"/>
            <w:noWrap/>
          </w:tcPr>
          <w:p>
            <w:pPr>
              <w:rPr>
                <w:rFonts w:ascii="仿宋_GB2312" w:eastAsia="仿宋_GB2312"/>
                <w:bCs/>
                <w:kern w:val="0"/>
                <w:sz w:val="24"/>
                <w:szCs w:val="24"/>
              </w:rPr>
            </w:pPr>
            <w:r>
              <w:rPr>
                <w:rFonts w:hint="eastAsia" w:ascii="仿宋_GB2312" w:eastAsia="仿宋_GB2312"/>
                <w:sz w:val="24"/>
                <w:szCs w:val="24"/>
              </w:rPr>
              <w:t>《重组办法》第十一条、第四十三条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5" w:hRule="atLeast"/>
        </w:trPr>
        <w:tc>
          <w:tcPr>
            <w:tcW w:w="875" w:type="dxa"/>
            <w:noWrap/>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2-4</w:t>
            </w:r>
          </w:p>
        </w:tc>
        <w:tc>
          <w:tcPr>
            <w:tcW w:w="1364" w:type="dxa"/>
            <w:noWrap/>
            <w:vAlign w:val="center"/>
          </w:tcPr>
          <w:p>
            <w:pPr>
              <w:rPr>
                <w:rFonts w:ascii="仿宋_GB2312" w:eastAsia="仿宋_GB2312"/>
                <w:b/>
                <w:bCs/>
                <w:kern w:val="0"/>
                <w:sz w:val="24"/>
                <w:szCs w:val="24"/>
              </w:rPr>
            </w:pPr>
            <w:r>
              <w:rPr>
                <w:rFonts w:hint="eastAsia" w:ascii="仿宋_GB2312" w:eastAsia="仿宋_GB2312"/>
                <w:b/>
                <w:bCs/>
                <w:kern w:val="0"/>
                <w:sz w:val="24"/>
                <w:szCs w:val="24"/>
              </w:rPr>
              <w:t>重组上市条件</w:t>
            </w:r>
          </w:p>
        </w:tc>
        <w:tc>
          <w:tcPr>
            <w:tcW w:w="4039"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上市公司应当在重组报告书中披露：</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（1）拟购买资产符合《首次公开发行股票注册管理办法》（以下简称《首发管理办法》）第二章对于发行条件的要求情况；</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（2）拟购买资产符合《首发管理办法》等相关规则对于板块定位的要求情况；</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（3）拟购买资产符合《重组审核规则》第十条等对于重组上市条件的要求情况；</w:t>
            </w:r>
          </w:p>
          <w:p>
            <w:pPr>
              <w:ind w:firstLine="480" w:firstLineChars="200"/>
              <w:rPr>
                <w:rFonts w:ascii="仿宋_GB2312" w:hAnsi="仿宋" w:eastAsia="仿宋_GB2312"/>
                <w:sz w:val="24"/>
                <w:szCs w:val="24"/>
              </w:rPr>
            </w:pPr>
            <w:r>
              <w:rPr>
                <w:rFonts w:hint="eastAsia" w:ascii="仿宋_GB2312" w:hAnsi="仿宋_GB2312" w:eastAsia="仿宋_GB2312" w:cs="仿宋_GB2312"/>
                <w:bCs/>
                <w:kern w:val="0"/>
                <w:sz w:val="24"/>
                <w:szCs w:val="24"/>
              </w:rPr>
              <w:t>（4）拟购买资产符合《重组办法》第十三条关于上市公司、控股股东及实际控制人等的相关要求情况。</w:t>
            </w:r>
          </w:p>
        </w:tc>
        <w:tc>
          <w:tcPr>
            <w:tcW w:w="6054" w:type="dxa"/>
            <w:noWrap/>
          </w:tcPr>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（1）拟购买资产是否符合《首发管理办法》第二章对于发行条件的要求；</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（2）拟购买资产是否符合《首发管理办法》《科创属性评价指引（试行）》《上海证券交易所科创板企业发行上市申报及推荐暂行规定》等规则对于板块定位的要求；</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（3）拟购买资产是否符合《重组审核规则》第十条的要求；如拟购买资产为存在表决权差异安排的，核查拟购买资产是否符合《重组审核规则》第十一条的要求；</w:t>
            </w:r>
          </w:p>
          <w:p>
            <w:pPr>
              <w:ind w:firstLine="480" w:firstLineChars="200"/>
              <w:rPr>
                <w:rFonts w:ascii="仿宋_GB2312" w:hAnsi="仿宋_GB2312" w:eastAsia="仿宋_GB2312" w:cs="仿宋_GB2312"/>
                <w:bCs/>
                <w:kern w:val="0"/>
                <w:sz w:val="24"/>
                <w:szCs w:val="24"/>
              </w:rPr>
            </w:pPr>
            <w:r>
              <w:rPr>
                <w:rFonts w:hint="eastAsia" w:ascii="仿宋_GB2312" w:hAnsi="仿宋_GB2312" w:eastAsia="仿宋_GB2312" w:cs="仿宋_GB2312"/>
                <w:bCs/>
                <w:kern w:val="0"/>
                <w:sz w:val="24"/>
                <w:szCs w:val="24"/>
              </w:rPr>
              <w:t>（4）标的资产是否符合《重组办法》第十三条关于上市公司、控股股东及实际控制人等的相关要求。</w:t>
            </w:r>
          </w:p>
          <w:p>
            <w:pPr>
              <w:ind w:firstLine="480" w:firstLineChars="200"/>
              <w:rPr>
                <w:rFonts w:ascii="仿宋_GB2312" w:eastAsia="仿宋_GB2312"/>
                <w:bCs/>
                <w:kern w:val="0"/>
                <w:sz w:val="24"/>
                <w:szCs w:val="24"/>
              </w:rPr>
            </w:pPr>
            <w:r>
              <w:rPr>
                <w:rFonts w:hint="eastAsia" w:ascii="仿宋_GB2312" w:hAnsi="仿宋_GB2312" w:eastAsia="仿宋_GB2312" w:cs="仿宋_GB2312"/>
                <w:bCs/>
                <w:kern w:val="0"/>
                <w:sz w:val="24"/>
                <w:szCs w:val="24"/>
              </w:rPr>
              <w:t>律师应对上述事项进行核查，并发表明确核查意见。会计师应对（1）（3）进行核查，并发表明确核查意见。</w:t>
            </w:r>
          </w:p>
        </w:tc>
        <w:tc>
          <w:tcPr>
            <w:tcW w:w="1678" w:type="dxa"/>
            <w:noWrap/>
          </w:tcPr>
          <w:p>
            <w:pPr>
              <w:rPr>
                <w:rFonts w:ascii="仿宋_GB2312" w:eastAsia="仿宋_GB2312"/>
                <w:sz w:val="24"/>
                <w:szCs w:val="24"/>
              </w:rPr>
            </w:pPr>
            <w:r>
              <w:rPr>
                <w:rFonts w:hint="eastAsia" w:ascii="仿宋_GB2312" w:eastAsia="仿宋_GB2312"/>
                <w:sz w:val="24"/>
                <w:szCs w:val="24"/>
              </w:rPr>
              <w:t>《重组审核规则》第十条、第十一条，《重组办法》第十三条，《首发注册办法》第二章、第三条，《科创属性评价指引（试行）》，《上海证券交易所科创板企业发行上市申报及推荐暂行规定》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5" w:hRule="atLeast"/>
        </w:trPr>
        <w:tc>
          <w:tcPr>
            <w:tcW w:w="875" w:type="dxa"/>
            <w:noWrap/>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2-5</w:t>
            </w:r>
          </w:p>
        </w:tc>
        <w:tc>
          <w:tcPr>
            <w:tcW w:w="1364" w:type="dxa"/>
            <w:noWrap/>
            <w:vAlign w:val="center"/>
          </w:tcPr>
          <w:p>
            <w:pPr>
              <w:rPr>
                <w:rFonts w:ascii="仿宋_GB2312" w:eastAsia="仿宋_GB2312"/>
                <w:b/>
                <w:bCs/>
                <w:kern w:val="0"/>
                <w:sz w:val="24"/>
                <w:szCs w:val="24"/>
              </w:rPr>
            </w:pPr>
            <w:r>
              <w:rPr>
                <w:rFonts w:hint="eastAsia" w:ascii="仿宋_GB2312" w:eastAsia="仿宋_GB2312"/>
                <w:b/>
                <w:bCs/>
                <w:kern w:val="0"/>
                <w:sz w:val="24"/>
                <w:szCs w:val="24"/>
              </w:rPr>
              <w:t>标的资产——行业准入及经营资质等</w:t>
            </w:r>
          </w:p>
        </w:tc>
        <w:tc>
          <w:tcPr>
            <w:tcW w:w="4039" w:type="dxa"/>
            <w:noWrap/>
          </w:tcPr>
          <w:p>
            <w:pPr>
              <w:ind w:firstLine="480" w:firstLineChars="200"/>
              <w:rPr>
                <w:rFonts w:ascii="仿宋_GB2312" w:hAnsi="仿宋" w:eastAsia="仿宋_GB2312"/>
                <w:sz w:val="24"/>
                <w:szCs w:val="24"/>
              </w:rPr>
            </w:pPr>
            <w:r>
              <w:rPr>
                <w:rFonts w:ascii="仿宋_GB2312" w:hAnsi="仿宋" w:eastAsia="仿宋_GB2312"/>
                <w:sz w:val="24"/>
                <w:szCs w:val="24"/>
              </w:rPr>
              <w:t>上市公司</w:t>
            </w:r>
            <w:r>
              <w:rPr>
                <w:rFonts w:hint="eastAsia" w:ascii="仿宋_GB2312" w:hAnsi="仿宋_GB2312" w:eastAsia="仿宋_GB2312" w:cs="仿宋_GB2312"/>
                <w:bCs/>
                <w:kern w:val="0"/>
                <w:sz w:val="24"/>
                <w:szCs w:val="24"/>
              </w:rPr>
              <w:t>应当</w:t>
            </w:r>
            <w:r>
              <w:rPr>
                <w:rFonts w:ascii="仿宋_GB2312" w:hAnsi="仿宋" w:eastAsia="仿宋_GB2312"/>
                <w:sz w:val="24"/>
                <w:szCs w:val="24"/>
              </w:rPr>
              <w:t>在重组报告书中披露：</w:t>
            </w:r>
          </w:p>
          <w:p>
            <w:pPr>
              <w:ind w:firstLine="480" w:firstLineChars="200"/>
              <w:rPr>
                <w:rFonts w:ascii="仿宋_GB2312" w:hAnsi="仿宋" w:eastAsia="仿宋_GB2312"/>
                <w:sz w:val="24"/>
                <w:szCs w:val="24"/>
              </w:rPr>
            </w:pPr>
            <w:r>
              <w:rPr>
                <w:rFonts w:hint="eastAsia" w:ascii="仿宋_GB2312" w:hAnsi="仿宋" w:eastAsia="仿宋_GB2312"/>
                <w:sz w:val="24"/>
                <w:szCs w:val="24"/>
              </w:rPr>
              <w:t>（1）拟购买资产涉及的土地使用权、矿业权等资源类权利是否已取得相应的权属证书，是否已具备相应的开发或开采条件，以及土地出让金、矿业权价款等费用的缴纳情况；</w:t>
            </w:r>
          </w:p>
          <w:p>
            <w:pPr>
              <w:ind w:firstLine="480" w:firstLineChars="200"/>
              <w:rPr>
                <w:rFonts w:ascii="仿宋_GB2312" w:hAnsi="仿宋" w:eastAsia="仿宋_GB2312"/>
                <w:sz w:val="24"/>
                <w:szCs w:val="24"/>
              </w:rPr>
            </w:pPr>
            <w:r>
              <w:rPr>
                <w:rFonts w:hint="eastAsia" w:ascii="仿宋_GB2312" w:hAnsi="仿宋" w:eastAsia="仿宋_GB2312"/>
                <w:sz w:val="24"/>
                <w:szCs w:val="24"/>
              </w:rPr>
              <w:t>（2）拟购买资产涉及立项、环保、行业准入、用地、规划、施工建设等有关报批事项的，是否已取得相应的许可证书或相关主管部门的批复文件；</w:t>
            </w:r>
          </w:p>
          <w:p>
            <w:pPr>
              <w:ind w:firstLine="480" w:firstLineChars="200"/>
              <w:rPr>
                <w:rFonts w:ascii="仿宋_GB2312" w:hAnsi="仿宋" w:eastAsia="仿宋_GB2312"/>
                <w:sz w:val="24"/>
                <w:szCs w:val="24"/>
              </w:rPr>
            </w:pPr>
            <w:r>
              <w:rPr>
                <w:rFonts w:hint="eastAsia" w:ascii="仿宋_GB2312" w:hAnsi="仿宋" w:eastAsia="仿宋_GB2312"/>
                <w:sz w:val="24"/>
                <w:szCs w:val="24"/>
              </w:rPr>
              <w:t>（3）拟购买资产涉及特许经营权的，主要包括特许经营权的取得情况、期限、费用标准，以及对拟购买资产持续生产经营的影响；</w:t>
            </w:r>
          </w:p>
          <w:p>
            <w:pPr>
              <w:ind w:firstLine="480" w:firstLineChars="200"/>
              <w:rPr>
                <w:rFonts w:ascii="仿宋_GB2312" w:eastAsia="仿宋_GB2312"/>
                <w:bCs/>
                <w:kern w:val="0"/>
                <w:sz w:val="24"/>
                <w:szCs w:val="24"/>
              </w:rPr>
            </w:pPr>
            <w:r>
              <w:rPr>
                <w:rFonts w:hint="eastAsia" w:ascii="仿宋_GB2312" w:hAnsi="仿宋" w:eastAsia="仿宋_GB2312"/>
                <w:sz w:val="24"/>
                <w:szCs w:val="24"/>
              </w:rPr>
              <w:t>（4）拟购买资产及其合并报表范围内各级子公司是否取得从事生产经营活动所必需的行业准入、经营资质等情况。</w:t>
            </w:r>
          </w:p>
        </w:tc>
        <w:tc>
          <w:tcPr>
            <w:tcW w:w="6054"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独立财务顾问应对以下事项进行核查，并在《独立财务顾问报告》中发表明确核查意见：</w:t>
            </w:r>
          </w:p>
          <w:p>
            <w:pPr>
              <w:ind w:firstLine="480" w:firstLineChars="200"/>
              <w:rPr>
                <w:rFonts w:ascii="仿宋_GB2312" w:hAnsi="仿宋" w:eastAsia="仿宋_GB2312"/>
                <w:sz w:val="24"/>
                <w:szCs w:val="24"/>
              </w:rPr>
            </w:pPr>
            <w:r>
              <w:rPr>
                <w:rFonts w:hint="eastAsia" w:ascii="仿宋_GB2312" w:hAnsi="仿宋" w:eastAsia="仿宋_GB2312"/>
                <w:sz w:val="24"/>
                <w:szCs w:val="24"/>
              </w:rPr>
              <w:t>（1）涉及土地使用权、矿业权等资源类权利的，是否已取得土地使用权证书、采矿权证书，土地出让金、矿业权价款等费用的缴纳情况；采矿权证书的具体内容，相关矿产是否已具备相关开发或开采条件；</w:t>
            </w:r>
          </w:p>
          <w:p>
            <w:pPr>
              <w:ind w:firstLine="480" w:firstLineChars="200"/>
              <w:rPr>
                <w:rFonts w:ascii="仿宋_GB2312" w:hAnsi="仿宋" w:eastAsia="仿宋_GB2312"/>
                <w:sz w:val="24"/>
                <w:szCs w:val="24"/>
              </w:rPr>
            </w:pPr>
            <w:r>
              <w:rPr>
                <w:rFonts w:hint="eastAsia" w:ascii="仿宋_GB2312" w:hAnsi="仿宋" w:eastAsia="仿宋_GB2312"/>
                <w:sz w:val="24"/>
                <w:szCs w:val="24"/>
              </w:rPr>
              <w:t>（2）涉及立项、环保等有关报批事项的，是否已取得相应的许可证书或相关主管部门的批复文件，如未取得，未取得的原因及影响，上市公司是否按照《26号格式准则》第十八条进行特别提示；</w:t>
            </w:r>
          </w:p>
          <w:p>
            <w:pPr>
              <w:numPr>
                <w:ilvl w:val="255"/>
                <w:numId w:val="0"/>
              </w:numPr>
              <w:ind w:firstLine="480" w:firstLineChars="200"/>
              <w:rPr>
                <w:rFonts w:ascii="仿宋_GB2312" w:eastAsia="仿宋_GB2312"/>
                <w:bCs/>
                <w:kern w:val="0"/>
                <w:sz w:val="24"/>
                <w:szCs w:val="24"/>
              </w:rPr>
            </w:pPr>
            <w:r>
              <w:rPr>
                <w:rFonts w:hint="eastAsia" w:ascii="仿宋_GB2312" w:eastAsia="仿宋_GB2312"/>
                <w:bCs/>
                <w:kern w:val="0"/>
                <w:sz w:val="24"/>
                <w:szCs w:val="24"/>
              </w:rPr>
              <w:t>（3）涉及特许经营权的，特许经营权的</w:t>
            </w:r>
            <w:r>
              <w:rPr>
                <w:rFonts w:hint="eastAsia" w:ascii="仿宋_GB2312" w:hAnsi="仿宋" w:eastAsia="仿宋_GB2312"/>
                <w:sz w:val="24"/>
                <w:szCs w:val="24"/>
              </w:rPr>
              <w:t>取得情况、期限、费用标准，主要</w:t>
            </w:r>
            <w:r>
              <w:rPr>
                <w:rFonts w:hint="eastAsia" w:ascii="仿宋_GB2312" w:eastAsia="仿宋_GB2312"/>
                <w:bCs/>
                <w:kern w:val="0"/>
                <w:sz w:val="24"/>
                <w:szCs w:val="24"/>
              </w:rPr>
              <w:t>权利义务情况，以及</w:t>
            </w:r>
            <w:r>
              <w:rPr>
                <w:rFonts w:hint="eastAsia" w:ascii="仿宋_GB2312" w:hAnsi="仿宋" w:eastAsia="仿宋_GB2312"/>
                <w:sz w:val="24"/>
                <w:szCs w:val="24"/>
              </w:rPr>
              <w:t>对拟购买资产持续生产经营的影响</w:t>
            </w:r>
            <w:r>
              <w:rPr>
                <w:rFonts w:hint="eastAsia" w:ascii="仿宋_GB2312" w:eastAsia="仿宋_GB2312"/>
                <w:bCs/>
                <w:kern w:val="0"/>
                <w:sz w:val="24"/>
                <w:szCs w:val="24"/>
              </w:rPr>
              <w:t>；</w:t>
            </w:r>
          </w:p>
          <w:p>
            <w:pPr>
              <w:numPr>
                <w:ilvl w:val="255"/>
                <w:numId w:val="0"/>
              </w:numPr>
              <w:ind w:firstLine="480" w:firstLineChars="200"/>
              <w:rPr>
                <w:rFonts w:ascii="仿宋_GB2312" w:eastAsia="仿宋_GB2312"/>
                <w:bCs/>
                <w:kern w:val="0"/>
                <w:sz w:val="24"/>
                <w:szCs w:val="24"/>
              </w:rPr>
            </w:pPr>
            <w:r>
              <w:rPr>
                <w:rFonts w:hint="eastAsia" w:ascii="仿宋_GB2312" w:eastAsia="仿宋_GB2312"/>
                <w:bCs/>
                <w:kern w:val="0"/>
                <w:sz w:val="24"/>
                <w:szCs w:val="24"/>
              </w:rPr>
              <w:t>（4）拟购买资产是否取得从事生产经营活动所必需的相关许可、资质、认证等，生产经营是否合法合规。</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律师应对上述事项进行核查，并发表明确核查意见。</w:t>
            </w:r>
          </w:p>
        </w:tc>
        <w:tc>
          <w:tcPr>
            <w:tcW w:w="1678" w:type="dxa"/>
            <w:noWrap/>
          </w:tcPr>
          <w:p>
            <w:pPr>
              <w:rPr>
                <w:rFonts w:ascii="仿宋_GB2312" w:eastAsia="仿宋_GB2312"/>
                <w:sz w:val="24"/>
                <w:szCs w:val="24"/>
              </w:rPr>
            </w:pPr>
            <w:r>
              <w:rPr>
                <w:rFonts w:hint="eastAsia" w:ascii="仿宋_GB2312" w:eastAsia="仿宋_GB2312"/>
                <w:sz w:val="24"/>
                <w:szCs w:val="24"/>
              </w:rPr>
              <w:t>《26号格式准则》第十八条、二十二条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5" w:type="dxa"/>
            <w:noWrap/>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2-6</w:t>
            </w:r>
          </w:p>
        </w:tc>
        <w:tc>
          <w:tcPr>
            <w:tcW w:w="1364" w:type="dxa"/>
            <w:noWrap/>
            <w:vAlign w:val="center"/>
          </w:tcPr>
          <w:p>
            <w:pPr>
              <w:rPr>
                <w:rFonts w:ascii="仿宋_GB2312" w:eastAsia="仿宋_GB2312"/>
                <w:b/>
                <w:bCs/>
                <w:kern w:val="0"/>
                <w:sz w:val="24"/>
                <w:szCs w:val="24"/>
              </w:rPr>
            </w:pPr>
            <w:r>
              <w:rPr>
                <w:rFonts w:hint="eastAsia" w:ascii="仿宋_GB2312" w:eastAsia="仿宋_GB2312"/>
                <w:b/>
                <w:bCs/>
                <w:kern w:val="0"/>
                <w:sz w:val="24"/>
                <w:szCs w:val="24"/>
              </w:rPr>
              <w:t>标的资产——权属状况</w:t>
            </w:r>
          </w:p>
        </w:tc>
        <w:tc>
          <w:tcPr>
            <w:tcW w:w="4039"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上市公司</w:t>
            </w:r>
            <w:r>
              <w:rPr>
                <w:rFonts w:hint="eastAsia" w:ascii="仿宋_GB2312" w:hAnsi="仿宋_GB2312" w:eastAsia="仿宋_GB2312" w:cs="仿宋_GB2312"/>
                <w:bCs/>
                <w:kern w:val="0"/>
                <w:sz w:val="24"/>
                <w:szCs w:val="24"/>
              </w:rPr>
              <w:t>应当</w:t>
            </w:r>
            <w:r>
              <w:rPr>
                <w:rFonts w:hint="eastAsia" w:ascii="仿宋_GB2312" w:eastAsia="仿宋_GB2312"/>
                <w:bCs/>
                <w:kern w:val="0"/>
                <w:sz w:val="24"/>
                <w:szCs w:val="24"/>
              </w:rPr>
              <w:t>在重组报告书中披露：</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拟购买资产的权属状况、对外担保情况及主要负债、或有负债情况，产权是否清晰，是否存在抵押、质押等权利限制，是否涉及诉讼、仲裁、司法强制执行等重大争议或者存在妨碍权属转移的其他情况。</w:t>
            </w:r>
          </w:p>
        </w:tc>
        <w:tc>
          <w:tcPr>
            <w:tcW w:w="6054"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独立财务顾问应对以下事项进行核查，并在《独立财务顾问报告》中发表明确核查意见：</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（1）拟购买标的公司的权属是否清晰，是否存在对外担保，主要负债、或有负债情况，是否存在抵押、质押等权利限制，是否涉及诉讼、仲裁、司法强制执行等重大争议或者存在妨碍权属转移的其他情况；</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2）拟购买标的公司的主要资产，如核心专利、商标、技术、主要机器设备、土地厂房等对公司持续经营存在重大影响的资产，权属是否清晰，是否存在对外担保，是否存在抵押、质押等权利限制，是否涉及诉讼、仲裁、司法强制执行等重大争议；</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（3）拟购买非股权资产权属是否清晰，是否存在对外担保，是否存在抵押、质押等权利限制，是否涉及诉讼、仲裁、司法强制执行等重大争议或者存在妨碍权属转移的其他情况；</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（4）如主要资产、主要产品涉诉，应当审慎判断对标的资产持续经营能力或盈利能力产生的重大不利影响，并就本次交易是否符合《重组办法》第十一条和第四十三条的规定审慎发表核查意见；</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（5）如败诉涉及赔偿，相关责任的承担主体、相关会计处理、或有负债计提是否充分、超过预计损失部分的补偿安排。</w:t>
            </w:r>
          </w:p>
          <w:p>
            <w:pPr>
              <w:widowControl/>
              <w:numPr>
                <w:ilvl w:val="255"/>
                <w:numId w:val="0"/>
              </w:numPr>
              <w:ind w:firstLine="480" w:firstLineChars="200"/>
              <w:jc w:val="left"/>
              <w:rPr>
                <w:rFonts w:ascii="仿宋_GB2312" w:eastAsia="仿宋_GB2312"/>
                <w:bCs/>
                <w:kern w:val="0"/>
                <w:sz w:val="24"/>
                <w:szCs w:val="24"/>
              </w:rPr>
            </w:pPr>
            <w:r>
              <w:rPr>
                <w:rFonts w:hint="eastAsia" w:ascii="仿宋_GB2312" w:eastAsia="仿宋_GB2312"/>
                <w:bCs/>
                <w:kern w:val="0"/>
                <w:sz w:val="24"/>
                <w:szCs w:val="24"/>
              </w:rPr>
              <w:t>律师应对上述事项进行核查，并发表明确核查意见。会计师应对（5）进行核查，并发表明确核查意见。</w:t>
            </w:r>
          </w:p>
        </w:tc>
        <w:tc>
          <w:tcPr>
            <w:tcW w:w="1678" w:type="dxa"/>
            <w:noWrap/>
          </w:tcPr>
          <w:p>
            <w:pPr>
              <w:rPr>
                <w:rFonts w:ascii="仿宋_GB2312" w:eastAsia="仿宋_GB2312"/>
                <w:sz w:val="24"/>
                <w:szCs w:val="24"/>
              </w:rPr>
            </w:pPr>
            <w:r>
              <w:rPr>
                <w:rFonts w:hint="eastAsia" w:ascii="仿宋_GB2312" w:eastAsia="仿宋_GB2312"/>
                <w:sz w:val="24"/>
                <w:szCs w:val="24"/>
              </w:rPr>
              <w:t>《26号格式准则》第十六条、第十七条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5" w:type="dxa"/>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2-7</w:t>
            </w:r>
          </w:p>
        </w:tc>
        <w:tc>
          <w:tcPr>
            <w:tcW w:w="1364" w:type="dxa"/>
            <w:noWrap/>
            <w:vAlign w:val="center"/>
          </w:tcPr>
          <w:p>
            <w:pPr>
              <w:rPr>
                <w:rFonts w:ascii="仿宋_GB2312" w:eastAsia="仿宋_GB2312"/>
                <w:b/>
                <w:kern w:val="0"/>
                <w:sz w:val="24"/>
                <w:szCs w:val="24"/>
              </w:rPr>
            </w:pPr>
            <w:r>
              <w:rPr>
                <w:rFonts w:hint="eastAsia" w:ascii="仿宋_GB2312" w:eastAsia="仿宋_GB2312"/>
                <w:b/>
                <w:kern w:val="0"/>
                <w:sz w:val="24"/>
                <w:szCs w:val="24"/>
              </w:rPr>
              <w:t>标的资产——资金占用</w:t>
            </w:r>
          </w:p>
        </w:tc>
        <w:tc>
          <w:tcPr>
            <w:tcW w:w="4039" w:type="dxa"/>
            <w:noWrap/>
          </w:tcPr>
          <w:p>
            <w:pPr>
              <w:ind w:firstLine="512" w:firstLineChars="200"/>
              <w:jc w:val="left"/>
              <w:rPr>
                <w:rFonts w:ascii="仿宋_GB2312" w:hAnsi="仿宋_GB2312" w:eastAsia="仿宋_GB2312" w:cs="仿宋_GB2312"/>
                <w:spacing w:val="8"/>
                <w:sz w:val="24"/>
                <w:szCs w:val="24"/>
              </w:rPr>
            </w:pPr>
            <w:r>
              <w:rPr>
                <w:rFonts w:hint="eastAsia" w:ascii="仿宋_GB2312" w:hAnsi="仿宋_GB2312" w:eastAsia="仿宋_GB2312" w:cs="仿宋_GB2312"/>
                <w:spacing w:val="8"/>
                <w:sz w:val="24"/>
                <w:szCs w:val="24"/>
              </w:rPr>
              <w:t>上市公司应当在重组报告书中披露：</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标的资产存在被其股东及其关联方、资产所有人及其关联方非经营性资金占用的解决情况。</w:t>
            </w:r>
          </w:p>
          <w:p>
            <w:pPr>
              <w:ind w:firstLine="480" w:firstLineChars="200"/>
              <w:rPr>
                <w:rFonts w:ascii="仿宋_GB2312" w:eastAsia="仿宋_GB2312"/>
                <w:kern w:val="0"/>
                <w:sz w:val="24"/>
                <w:szCs w:val="24"/>
              </w:rPr>
            </w:pPr>
          </w:p>
        </w:tc>
        <w:tc>
          <w:tcPr>
            <w:tcW w:w="6054" w:type="dxa"/>
            <w:noWrap/>
          </w:tcPr>
          <w:p>
            <w:pPr>
              <w:ind w:firstLine="480" w:firstLineChars="200"/>
              <w:rPr>
                <w:rFonts w:ascii="仿宋_GB2312" w:hAnsi="仿宋" w:eastAsia="仿宋_GB2312"/>
                <w:sz w:val="24"/>
                <w:szCs w:val="24"/>
              </w:rPr>
            </w:pPr>
            <w:r>
              <w:rPr>
                <w:rFonts w:hint="eastAsia" w:ascii="仿宋_GB2312" w:hAnsi="仿宋" w:eastAsia="仿宋_GB2312"/>
                <w:sz w:val="24"/>
                <w:szCs w:val="24"/>
              </w:rPr>
              <w:t>独立财务顾问应对以下事项进行核查，并在《独立财务顾问报告》中发表明确核查意见：</w:t>
            </w:r>
          </w:p>
          <w:p>
            <w:pPr>
              <w:ind w:firstLine="480" w:firstLineChars="200"/>
              <w:rPr>
                <w:rFonts w:ascii="仿宋_GB2312" w:hAnsi="仿宋" w:eastAsia="仿宋_GB2312"/>
                <w:sz w:val="24"/>
                <w:szCs w:val="24"/>
              </w:rPr>
            </w:pPr>
            <w:r>
              <w:rPr>
                <w:rFonts w:hint="eastAsia" w:ascii="仿宋_GB2312" w:hAnsi="仿宋" w:eastAsia="仿宋_GB2312"/>
                <w:sz w:val="24"/>
                <w:szCs w:val="24"/>
              </w:rPr>
              <w:t>（1）关联方非经营性资金占用的具体情况，包括形成背景和原因、时间、金额、用途、履行的决策程序、解决方式、清理进展；</w:t>
            </w:r>
          </w:p>
          <w:p>
            <w:pPr>
              <w:ind w:firstLine="480" w:firstLineChars="200"/>
              <w:rPr>
                <w:rFonts w:ascii="仿宋_GB2312" w:hAnsi="仿宋" w:eastAsia="仿宋_GB2312"/>
                <w:sz w:val="24"/>
                <w:szCs w:val="24"/>
              </w:rPr>
            </w:pPr>
            <w:r>
              <w:rPr>
                <w:rFonts w:hint="eastAsia" w:ascii="仿宋_GB2312" w:hAnsi="仿宋" w:eastAsia="仿宋_GB2312"/>
                <w:sz w:val="24"/>
                <w:szCs w:val="24"/>
              </w:rPr>
              <w:t>（2）通过向股东分红方式解决资金占用的，标的公司是否符合分红条件，是否履行相关决策程序，分红款项是否缴纳个人所得税；</w:t>
            </w:r>
          </w:p>
          <w:p>
            <w:pPr>
              <w:ind w:firstLine="480" w:firstLineChars="200"/>
              <w:rPr>
                <w:rFonts w:ascii="仿宋_GB2312" w:hAnsi="仿宋" w:eastAsia="仿宋_GB2312"/>
                <w:sz w:val="24"/>
                <w:szCs w:val="24"/>
              </w:rPr>
            </w:pPr>
            <w:r>
              <w:rPr>
                <w:rFonts w:hint="eastAsia" w:ascii="仿宋_GB2312" w:hAnsi="仿宋" w:eastAsia="仿宋_GB2312"/>
                <w:sz w:val="24"/>
                <w:szCs w:val="24"/>
              </w:rPr>
              <w:t>（3）是否已采取有效整改措施并清理完毕，是否对内控制度有效性构成重大不利影响，是否构成重大违法违规。</w:t>
            </w:r>
          </w:p>
          <w:p>
            <w:pPr>
              <w:ind w:firstLine="480" w:firstLineChars="200"/>
              <w:rPr>
                <w:rFonts w:ascii="仿宋_GB2312" w:eastAsia="仿宋_GB2312"/>
                <w:bCs/>
                <w:kern w:val="0"/>
                <w:sz w:val="24"/>
                <w:szCs w:val="24"/>
              </w:rPr>
            </w:pPr>
            <w:r>
              <w:rPr>
                <w:rFonts w:hint="eastAsia" w:ascii="仿宋_GB2312" w:hAnsi="仿宋" w:eastAsia="仿宋_GB2312"/>
                <w:sz w:val="24"/>
                <w:szCs w:val="24"/>
              </w:rPr>
              <w:t>律师、会计师应对上述事项进行核查，并发表明确核查意见。</w:t>
            </w:r>
          </w:p>
        </w:tc>
        <w:tc>
          <w:tcPr>
            <w:tcW w:w="1678" w:type="dxa"/>
            <w:noWrap/>
          </w:tcPr>
          <w:p>
            <w:pPr>
              <w:rPr>
                <w:rFonts w:ascii="仿宋" w:hAnsi="仿宋" w:eastAsia="仿宋" w:cs="仿宋"/>
                <w:spacing w:val="-15"/>
                <w:sz w:val="24"/>
                <w:szCs w:val="24"/>
              </w:rPr>
            </w:pPr>
            <w:r>
              <w:rPr>
                <w:rFonts w:hint="eastAsia" w:ascii="仿宋_GB2312" w:eastAsia="仿宋_GB2312"/>
                <w:sz w:val="24"/>
                <w:szCs w:val="24"/>
              </w:rPr>
              <w:t>《上市公司监管指引第9号——上市公司筹划和实施重大资产重组的监管要求》第六条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5" w:type="dxa"/>
            <w:noWrap/>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2-8</w:t>
            </w:r>
          </w:p>
        </w:tc>
        <w:tc>
          <w:tcPr>
            <w:tcW w:w="1364" w:type="dxa"/>
            <w:noWrap/>
            <w:vAlign w:val="center"/>
          </w:tcPr>
          <w:p>
            <w:pPr>
              <w:rPr>
                <w:rFonts w:ascii="仿宋_GB2312" w:eastAsia="仿宋_GB2312"/>
                <w:b/>
                <w:bCs/>
                <w:kern w:val="0"/>
                <w:sz w:val="24"/>
                <w:szCs w:val="24"/>
              </w:rPr>
            </w:pPr>
            <w:r>
              <w:rPr>
                <w:rFonts w:hint="eastAsia" w:ascii="仿宋_GB2312" w:eastAsia="仿宋_GB2312"/>
                <w:b/>
                <w:bCs/>
                <w:kern w:val="0"/>
                <w:sz w:val="24"/>
                <w:szCs w:val="24"/>
              </w:rPr>
              <w:t>交易对方——标的资产股东人数</w:t>
            </w:r>
          </w:p>
        </w:tc>
        <w:tc>
          <w:tcPr>
            <w:tcW w:w="4039"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上市公司应当在重组报告书中披露：</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（1）上市公司发行股份购买资产的发行对象数量超过200人，披露标的资产符合相关规定中关于公司依法设立、合法存续、股权清晰、经营规范、持股处理等的相关要求；</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2）发行对象为股东人数超200人非上市股份有限公司（简称“200人公司”），披露“200人公司”的合规性；“200人公司”为标的资产控股股东、实际控制人，或者在交易完成后成为上市公司控股股东、实际控制人的，披露其是否按照相关规定申请纳入监管范围。</w:t>
            </w:r>
          </w:p>
        </w:tc>
        <w:tc>
          <w:tcPr>
            <w:tcW w:w="6054"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独立财务顾问应对以下事项进行核查，并在《独立财务顾问报告》中发表明确核查意见：</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1）发行对象数量超过200人的，核查标的资产是否符合《非上市公众公司监督管理办法》及《非上市公众公司监管指引第4号——股东人数超过200人的未上市股份有限公司申请行政许可有关问题的审核指引》（以下简称《非公指引4号》）的规定；</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2）发行对象为“200人公司”的，参照《非公指引4号》的要求，核查“200人公司”的合规性；“200人公司”为标的资产控股股东、实际控制人，或者在交易完成后成为上市公司控股股东、实际控制人的，其是否按照《非上市公众公司监督管理办法》相关规定，申请纳入监管范围。</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律师应对上述事项进行核查，并发表明确核查意见。</w:t>
            </w:r>
          </w:p>
        </w:tc>
        <w:tc>
          <w:tcPr>
            <w:tcW w:w="1678" w:type="dxa"/>
            <w:noWrap/>
          </w:tcPr>
          <w:p>
            <w:pPr>
              <w:rPr>
                <w:rFonts w:ascii="仿宋" w:hAnsi="仿宋" w:eastAsia="仿宋_GB2312" w:cs="仿宋"/>
                <w:spacing w:val="-15"/>
                <w:sz w:val="24"/>
                <w:szCs w:val="24"/>
              </w:rPr>
            </w:pPr>
            <w:r>
              <w:rPr>
                <w:rFonts w:hint="eastAsia" w:ascii="仿宋_GB2312" w:eastAsia="仿宋_GB2312"/>
                <w:sz w:val="24"/>
                <w:szCs w:val="24"/>
              </w:rPr>
              <w:t>《监管规则适用指引——上市类第1号》1-4、《非公指引4号》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5" w:type="dxa"/>
            <w:noWrap/>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2-9</w:t>
            </w:r>
          </w:p>
        </w:tc>
        <w:tc>
          <w:tcPr>
            <w:tcW w:w="1364" w:type="dxa"/>
            <w:noWrap/>
            <w:vAlign w:val="center"/>
          </w:tcPr>
          <w:p>
            <w:pPr>
              <w:rPr>
                <w:rFonts w:ascii="仿宋_GB2312" w:eastAsia="仿宋_GB2312"/>
                <w:b/>
                <w:bCs/>
                <w:kern w:val="0"/>
                <w:sz w:val="24"/>
                <w:szCs w:val="24"/>
              </w:rPr>
            </w:pPr>
            <w:r>
              <w:rPr>
                <w:rFonts w:hint="eastAsia" w:ascii="仿宋_GB2312" w:eastAsia="仿宋_GB2312"/>
                <w:b/>
                <w:bCs/>
                <w:kern w:val="0"/>
                <w:sz w:val="24"/>
                <w:szCs w:val="24"/>
              </w:rPr>
              <w:t>交易对方——涉及合伙企业、契约型私募基金、券商资管计划、信托计划、基金专户及基金子公司产品、理财产品、保险资管计划、专门为本次交易设立的公司等</w:t>
            </w:r>
          </w:p>
        </w:tc>
        <w:tc>
          <w:tcPr>
            <w:tcW w:w="4039"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上市公司应当在重组报告书中披露：</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（1）相关交易对方的名称、性质及相关协议安排，该主体的基本情况及其相关产权及控制关系，以及该主体下属企业名目等情况；</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2）交易对方为合伙企业的，应当穿透披露至最终出资人，同时还应披露合伙人、最终出资人与参与本次交易的其他有关主体的关联关系(如有)；交易完成后合伙企业成为上市公司第一大股东或持股百分之五以上股东的，还应当披露最终出资人的资金来源，合伙企业利润分配、亏损负担及合伙事务执行(含表决权行使)的有关协议安排，上市公司董事会就本次交易申请停牌前或首次作出决议前(孰早)六个月内及停牌期间(如有)合伙人入伙、退伙、转让财产份额、有限合伙人与普通合伙人转变身份的情况及未来存续期间内的类似变动安排(如有)；</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（3）交易对方为契约型私募基金、券商资产管理计划、基金专户及基金子公司产品、信托计划、理财产品、保险资管计划、专为本次交易设立的公司等，应当比照对合伙企业的上述要求进行披露。</w:t>
            </w:r>
          </w:p>
        </w:tc>
        <w:tc>
          <w:tcPr>
            <w:tcW w:w="6054"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独立财务顾问应对以下事项进行核查，并在《独立财务顾问报告》中发表明确核查意见：</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1）涉及合伙企业的，核查各层合伙人取得相应权益的时间、出资方式、资金来源等；合伙企业是否专为本次交易设立，是否以持有标的资产为目的，是否存在其他投资,以及合伙协议约定的存续期限；合伙企业的委托人或合伙人之间是否存在分级收益等结构化安排；</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（2）涉及交易对方为本次交易专门设立的，核查穿透到非为本次交易设立的主体持有交易对方的份额锁定期安排是否合规；</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（3）涉及契约型私募基金的，是否完成私募基金备案，如未完成，是否已作出明确说明；</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4）如涉及合伙企业、契约型私募基金、券商资管计划、信托计划、基金专户及基金子公司产品、理财产品、保险资管计划、专门为本次交易设立的公司等情况的，该主体/产品存续期，存续期安排是否与其锁定期安排匹配及合理性。</w:t>
            </w:r>
          </w:p>
          <w:p>
            <w:pPr>
              <w:ind w:firstLine="480" w:firstLineChars="200"/>
              <w:rPr>
                <w:rFonts w:ascii="仿宋" w:hAnsi="仿宋" w:eastAsia="仿宋" w:cs="仿宋"/>
                <w:spacing w:val="-1"/>
                <w:sz w:val="24"/>
                <w:szCs w:val="24"/>
              </w:rPr>
            </w:pPr>
            <w:r>
              <w:rPr>
                <w:rFonts w:hint="eastAsia" w:ascii="仿宋_GB2312" w:eastAsia="仿宋_GB2312"/>
                <w:bCs/>
                <w:kern w:val="0"/>
                <w:sz w:val="24"/>
                <w:szCs w:val="24"/>
              </w:rPr>
              <w:t>律师应对上述事项进行核查，并发表明确核查意见。</w:t>
            </w:r>
          </w:p>
        </w:tc>
        <w:tc>
          <w:tcPr>
            <w:tcW w:w="1678" w:type="dxa"/>
            <w:noWrap/>
          </w:tcPr>
          <w:p>
            <w:pPr>
              <w:rPr>
                <w:rFonts w:ascii="仿宋_GB2312" w:eastAsia="仿宋_GB2312"/>
                <w:bCs/>
                <w:kern w:val="0"/>
                <w:sz w:val="24"/>
                <w:szCs w:val="24"/>
              </w:rPr>
            </w:pPr>
            <w:r>
              <w:rPr>
                <w:rFonts w:hint="eastAsia" w:ascii="仿宋_GB2312" w:eastAsia="仿宋_GB2312"/>
                <w:sz w:val="24"/>
                <w:szCs w:val="24"/>
              </w:rPr>
              <w:t>《26号格式准则》第十五条、《监管规则适用指引——上市类第1号》1-7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5" w:type="dxa"/>
            <w:noWrap/>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2-10</w:t>
            </w:r>
          </w:p>
        </w:tc>
        <w:tc>
          <w:tcPr>
            <w:tcW w:w="1364" w:type="dxa"/>
            <w:noWrap/>
            <w:vAlign w:val="center"/>
          </w:tcPr>
          <w:p>
            <w:pPr>
              <w:rPr>
                <w:rFonts w:ascii="仿宋_GB2312" w:eastAsia="仿宋_GB2312"/>
                <w:b/>
                <w:bCs/>
                <w:kern w:val="0"/>
                <w:sz w:val="24"/>
                <w:szCs w:val="24"/>
              </w:rPr>
            </w:pPr>
            <w:r>
              <w:rPr>
                <w:rFonts w:hint="eastAsia" w:ascii="仿宋_GB2312" w:eastAsia="仿宋_GB2312"/>
                <w:b/>
                <w:kern w:val="0"/>
                <w:sz w:val="24"/>
                <w:szCs w:val="24"/>
              </w:rPr>
              <w:t>信息披露要求及信息披露豁免</w:t>
            </w:r>
          </w:p>
        </w:tc>
        <w:tc>
          <w:tcPr>
            <w:tcW w:w="4039" w:type="dxa"/>
            <w:noWrap/>
          </w:tcPr>
          <w:p>
            <w:pPr>
              <w:ind w:firstLine="480" w:firstLineChars="200"/>
              <w:rPr>
                <w:rFonts w:ascii="仿宋_GB2312" w:eastAsia="仿宋_GB2312"/>
                <w:kern w:val="0"/>
                <w:sz w:val="24"/>
                <w:szCs w:val="24"/>
              </w:rPr>
            </w:pPr>
            <w:r>
              <w:rPr>
                <w:rFonts w:hint="eastAsia" w:ascii="仿宋_GB2312" w:eastAsia="仿宋_GB2312"/>
                <w:kern w:val="0"/>
                <w:sz w:val="24"/>
                <w:szCs w:val="24"/>
              </w:rPr>
              <w:t>上市公司重大资产重组信息披露文件应当:</w:t>
            </w:r>
          </w:p>
          <w:p>
            <w:pPr>
              <w:ind w:firstLine="480" w:firstLineChars="200"/>
              <w:rPr>
                <w:rFonts w:ascii="仿宋_GB2312" w:eastAsia="仿宋_GB2312"/>
                <w:bCs/>
                <w:kern w:val="0"/>
                <w:sz w:val="24"/>
                <w:szCs w:val="24"/>
              </w:rPr>
            </w:pPr>
            <w:r>
              <w:rPr>
                <w:rFonts w:hint="eastAsia" w:ascii="仿宋_GB2312" w:eastAsia="仿宋_GB2312"/>
                <w:kern w:val="0"/>
                <w:sz w:val="24"/>
                <w:szCs w:val="24"/>
              </w:rPr>
              <w:t>真实、准确、完整；逻辑清晰、简明扼要，具有可读性和可理解性，便于投资者阅读；涉及国家机密、商业秘密（如核心技术的保密资料、商业合同的具体内容等）等特殊原因，无法披露或提供相关信息或文件的，应当在相关章节中详细说明原因。</w:t>
            </w:r>
          </w:p>
        </w:tc>
        <w:tc>
          <w:tcPr>
            <w:tcW w:w="6054" w:type="dxa"/>
            <w:noWrap/>
            <w:vAlign w:val="center"/>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独立财务顾问应对以下事项进行核查，并在《独立财务顾问报告》中发表明确核查意见：</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（1）申请文件及问询回复中的相关信息是否真实、准确、完整，包含对投资者作出投资决策有重大影响的信息，披露程度达到投资者作出投资决策所必需的水平；</w:t>
            </w:r>
          </w:p>
          <w:p>
            <w:pPr>
              <w:ind w:firstLine="480" w:firstLineChars="200"/>
              <w:rPr>
                <w:rFonts w:ascii="仿宋_GB2312" w:eastAsia="仿宋_GB2312"/>
                <w:kern w:val="0"/>
                <w:sz w:val="24"/>
                <w:szCs w:val="24"/>
              </w:rPr>
            </w:pPr>
            <w:r>
              <w:rPr>
                <w:rFonts w:hint="eastAsia" w:ascii="仿宋_GB2312" w:eastAsia="仿宋_GB2312"/>
                <w:bCs/>
                <w:kern w:val="0"/>
                <w:sz w:val="24"/>
                <w:szCs w:val="24"/>
              </w:rPr>
              <w:t>（2）所披露的信息一致、合理且具有内在逻辑性；简明易懂，便于一般投资者阅读和理解；</w:t>
            </w:r>
          </w:p>
          <w:p>
            <w:pPr>
              <w:ind w:firstLine="480" w:firstLineChars="200"/>
              <w:rPr>
                <w:rFonts w:ascii="仿宋_GB2312" w:eastAsia="仿宋_GB2312"/>
                <w:kern w:val="0"/>
                <w:sz w:val="24"/>
                <w:szCs w:val="24"/>
              </w:rPr>
            </w:pPr>
            <w:r>
              <w:rPr>
                <w:rFonts w:hint="eastAsia" w:ascii="仿宋_GB2312" w:eastAsia="仿宋_GB2312"/>
                <w:kern w:val="0"/>
                <w:sz w:val="24"/>
                <w:szCs w:val="24"/>
              </w:rPr>
              <w:t>（3）上市公司未进行披露或提供相关信息或文件的原因及合理性，相关信息或文件是否影响投资者决策判断、是否为已公开信息；</w:t>
            </w:r>
          </w:p>
          <w:p>
            <w:pPr>
              <w:ind w:firstLine="480" w:firstLineChars="200"/>
              <w:rPr>
                <w:rFonts w:ascii="仿宋_GB2312" w:eastAsia="仿宋_GB2312"/>
                <w:bCs/>
                <w:kern w:val="0"/>
                <w:sz w:val="24"/>
                <w:szCs w:val="24"/>
              </w:rPr>
            </w:pPr>
            <w:r>
              <w:rPr>
                <w:rFonts w:hint="eastAsia" w:ascii="仿宋_GB2312" w:eastAsia="仿宋_GB2312"/>
                <w:kern w:val="0"/>
                <w:sz w:val="24"/>
                <w:szCs w:val="24"/>
              </w:rPr>
              <w:t>（4）上市公司信息披露豁免是否符合《上海证券交易所上市公司自律监管指引第2号——信息披露事务管理》等规则的规定</w:t>
            </w:r>
            <w:r>
              <w:rPr>
                <w:rFonts w:hint="eastAsia" w:ascii="仿宋_GB2312" w:eastAsia="仿宋_GB2312"/>
                <w:bCs/>
                <w:kern w:val="0"/>
                <w:sz w:val="24"/>
                <w:szCs w:val="24"/>
              </w:rPr>
              <w:t>。</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律师应对上述事项进行核查，并发表明确核查意见。</w:t>
            </w:r>
          </w:p>
          <w:p>
            <w:pPr>
              <w:ind w:firstLine="480" w:firstLineChars="200"/>
              <w:rPr>
                <w:rFonts w:ascii="仿宋_GB2312" w:eastAsia="仿宋_GB2312"/>
                <w:kern w:val="0"/>
                <w:sz w:val="24"/>
                <w:szCs w:val="24"/>
              </w:rPr>
            </w:pPr>
            <w:r>
              <w:rPr>
                <w:rFonts w:hint="eastAsia" w:ascii="仿宋_GB2312" w:eastAsia="仿宋_GB2312"/>
                <w:kern w:val="0"/>
                <w:sz w:val="24"/>
                <w:szCs w:val="24"/>
              </w:rPr>
              <w:t>会计师应对标的资产审计范围是否受到限制及审计证据的充分性、以及豁免披露的财务信息是否影响投资者决策判断进行核查，并</w:t>
            </w:r>
            <w:r>
              <w:rPr>
                <w:rFonts w:hint="eastAsia" w:ascii="仿宋_GB2312" w:eastAsia="仿宋_GB2312"/>
                <w:bCs/>
                <w:kern w:val="0"/>
                <w:sz w:val="24"/>
                <w:szCs w:val="24"/>
              </w:rPr>
              <w:t>发表明确核查意见</w:t>
            </w:r>
            <w:r>
              <w:rPr>
                <w:rFonts w:hint="eastAsia" w:ascii="仿宋_GB2312" w:eastAsia="仿宋_GB2312"/>
                <w:kern w:val="0"/>
                <w:sz w:val="24"/>
                <w:szCs w:val="24"/>
              </w:rPr>
              <w:t>。</w:t>
            </w:r>
          </w:p>
          <w:p>
            <w:pPr>
              <w:ind w:firstLine="480" w:firstLineChars="200"/>
              <w:rPr>
                <w:rFonts w:ascii="仿宋_GB2312" w:eastAsia="仿宋_GB2312"/>
                <w:kern w:val="0"/>
                <w:sz w:val="24"/>
                <w:szCs w:val="24"/>
              </w:rPr>
            </w:pPr>
            <w:r>
              <w:rPr>
                <w:rFonts w:hint="eastAsia" w:ascii="仿宋_GB2312" w:eastAsia="仿宋_GB2312"/>
                <w:kern w:val="0"/>
                <w:sz w:val="24"/>
                <w:szCs w:val="24"/>
              </w:rPr>
              <w:t>评估师应对标的资产评估范围是否受到限制及评估证据的充分性、以及豁免披露的评估信息是否影响投资者决策判断进行核查，并</w:t>
            </w:r>
            <w:r>
              <w:rPr>
                <w:rFonts w:hint="eastAsia" w:ascii="仿宋_GB2312" w:eastAsia="仿宋_GB2312"/>
                <w:bCs/>
                <w:kern w:val="0"/>
                <w:sz w:val="24"/>
                <w:szCs w:val="24"/>
              </w:rPr>
              <w:t>发表明确核查意见</w:t>
            </w:r>
            <w:r>
              <w:rPr>
                <w:rFonts w:hint="eastAsia" w:ascii="仿宋_GB2312" w:eastAsia="仿宋_GB2312"/>
                <w:kern w:val="0"/>
                <w:sz w:val="24"/>
                <w:szCs w:val="24"/>
              </w:rPr>
              <w:t>。</w:t>
            </w:r>
          </w:p>
        </w:tc>
        <w:tc>
          <w:tcPr>
            <w:tcW w:w="1678" w:type="dxa"/>
            <w:noWrap/>
            <w:vAlign w:val="center"/>
          </w:tcPr>
          <w:p>
            <w:pPr>
              <w:rPr>
                <w:rFonts w:ascii="仿宋" w:hAnsi="仿宋" w:eastAsia="仿宋_GB2312" w:cs="仿宋"/>
                <w:spacing w:val="-15"/>
                <w:sz w:val="24"/>
                <w:szCs w:val="24"/>
              </w:rPr>
            </w:pPr>
            <w:r>
              <w:rPr>
                <w:rFonts w:hint="eastAsia" w:ascii="仿宋_GB2312" w:eastAsia="仿宋_GB2312"/>
                <w:sz w:val="24"/>
                <w:szCs w:val="24"/>
              </w:rPr>
              <w:t>《26号格式准则》第四条、第五条、第六条，《重组审核规则》第二十条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5" w:type="dxa"/>
            <w:noWrap/>
            <w:vAlign w:val="center"/>
          </w:tcPr>
          <w:p>
            <w:pPr>
              <w:jc w:val="center"/>
              <w:rPr>
                <w:rFonts w:ascii="仿宋_GB2312" w:eastAsia="仿宋_GB2312"/>
                <w:b/>
                <w:bCs/>
                <w:kern w:val="0"/>
                <w:sz w:val="24"/>
                <w:szCs w:val="24"/>
              </w:rPr>
            </w:pPr>
            <w:r>
              <w:rPr>
                <w:rFonts w:hint="eastAsia" w:ascii="仿宋_GB2312" w:eastAsia="仿宋_GB2312"/>
                <w:b/>
                <w:bCs/>
                <w:kern w:val="0"/>
                <w:sz w:val="24"/>
                <w:szCs w:val="24"/>
              </w:rPr>
              <w:t>2-11</w:t>
            </w:r>
          </w:p>
        </w:tc>
        <w:tc>
          <w:tcPr>
            <w:tcW w:w="1364" w:type="dxa"/>
            <w:noWrap/>
            <w:vAlign w:val="center"/>
          </w:tcPr>
          <w:p>
            <w:pPr>
              <w:rPr>
                <w:rFonts w:ascii="仿宋_GB2312" w:eastAsia="仿宋_GB2312"/>
                <w:b/>
                <w:bCs/>
                <w:kern w:val="0"/>
                <w:sz w:val="24"/>
                <w:szCs w:val="24"/>
              </w:rPr>
            </w:pPr>
            <w:r>
              <w:rPr>
                <w:rFonts w:hint="eastAsia" w:ascii="仿宋_GB2312" w:eastAsia="仿宋_GB2312"/>
                <w:b/>
                <w:bCs/>
                <w:kern w:val="0"/>
                <w:sz w:val="24"/>
                <w:szCs w:val="24"/>
              </w:rPr>
              <w:t>整合管控风险</w:t>
            </w:r>
          </w:p>
        </w:tc>
        <w:tc>
          <w:tcPr>
            <w:tcW w:w="4039"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上市公司应当在重组报告书中披露：</w:t>
            </w:r>
          </w:p>
          <w:p>
            <w:pPr>
              <w:numPr>
                <w:ilvl w:val="255"/>
                <w:numId w:val="0"/>
              </w:numPr>
              <w:ind w:firstLine="480" w:firstLineChars="200"/>
              <w:rPr>
                <w:rFonts w:ascii="仿宋_GB2312" w:eastAsia="仿宋_GB2312"/>
                <w:bCs/>
                <w:kern w:val="0"/>
                <w:sz w:val="24"/>
                <w:szCs w:val="24"/>
              </w:rPr>
            </w:pPr>
            <w:r>
              <w:rPr>
                <w:rFonts w:hint="eastAsia" w:ascii="仿宋_GB2312" w:eastAsia="仿宋_GB2312"/>
                <w:bCs/>
                <w:kern w:val="0"/>
                <w:sz w:val="24"/>
                <w:szCs w:val="24"/>
              </w:rPr>
              <w:t>（1）本次交易完成后，对拟购买资产的整合管控安排，包括在业务、资产、财务、人员、机构等方面的具体整合管控计划；</w:t>
            </w:r>
          </w:p>
          <w:p>
            <w:pPr>
              <w:ind w:firstLine="480" w:firstLineChars="200"/>
              <w:rPr>
                <w:rFonts w:ascii="仿宋_GB2312" w:eastAsia="仿宋_GB2312"/>
                <w:bCs/>
                <w:kern w:val="0"/>
                <w:sz w:val="24"/>
                <w:szCs w:val="24"/>
              </w:rPr>
            </w:pPr>
            <w:r>
              <w:rPr>
                <w:rFonts w:hint="eastAsia" w:ascii="仿宋_GB2312" w:eastAsia="仿宋_GB2312"/>
                <w:bCs/>
                <w:kern w:val="0"/>
                <w:sz w:val="24"/>
                <w:szCs w:val="24"/>
              </w:rPr>
              <w:t>（2）就本次交易对上市公司的持续经营能力、未来发展前景、当期每股收益等财务指标和非财务指标的影响进行详细分析。</w:t>
            </w:r>
          </w:p>
        </w:tc>
        <w:tc>
          <w:tcPr>
            <w:tcW w:w="6054" w:type="dxa"/>
            <w:noWrap/>
          </w:tcPr>
          <w:p>
            <w:pPr>
              <w:widowControl/>
              <w:ind w:firstLine="480" w:firstLineChars="200"/>
              <w:rPr>
                <w:rFonts w:ascii="仿宋_GB2312" w:eastAsia="仿宋_GB2312"/>
                <w:bCs/>
                <w:kern w:val="0"/>
                <w:sz w:val="24"/>
                <w:szCs w:val="24"/>
              </w:rPr>
            </w:pPr>
            <w:r>
              <w:rPr>
                <w:rFonts w:hint="eastAsia" w:ascii="仿宋_GB2312" w:eastAsia="仿宋_GB2312"/>
                <w:bCs/>
                <w:kern w:val="0"/>
                <w:sz w:val="24"/>
                <w:szCs w:val="24"/>
              </w:rPr>
              <w:t>独立财务顾问应对以下事项进行核查，并在《独立财务顾问报告》中发表明确核查意见：</w:t>
            </w:r>
          </w:p>
          <w:p>
            <w:pPr>
              <w:widowControl/>
              <w:numPr>
                <w:ilvl w:val="255"/>
                <w:numId w:val="0"/>
              </w:numPr>
              <w:ind w:firstLine="480" w:firstLineChars="200"/>
              <w:rPr>
                <w:rFonts w:ascii="仿宋_GB2312" w:eastAsia="仿宋_GB2312"/>
                <w:bCs/>
                <w:kern w:val="0"/>
                <w:sz w:val="24"/>
                <w:szCs w:val="24"/>
              </w:rPr>
            </w:pPr>
            <w:r>
              <w:rPr>
                <w:rFonts w:hint="eastAsia" w:ascii="仿宋_GB2312" w:eastAsia="仿宋_GB2312"/>
                <w:bCs/>
                <w:kern w:val="0"/>
                <w:sz w:val="24"/>
                <w:szCs w:val="24"/>
              </w:rPr>
              <w:t>（1）上市公司对拟购买资产的具体整合管控安排，如对于公司治理、日常生产经营等方面的安排，相关安排是否可以实现上市公司对于拟购买资产的控制；</w:t>
            </w:r>
          </w:p>
          <w:p>
            <w:pPr>
              <w:widowControl/>
              <w:ind w:firstLine="480" w:firstLineChars="200"/>
              <w:rPr>
                <w:rFonts w:ascii="仿宋_GB2312" w:eastAsia="仿宋_GB2312"/>
                <w:bCs/>
                <w:kern w:val="0"/>
                <w:sz w:val="24"/>
                <w:szCs w:val="24"/>
              </w:rPr>
            </w:pPr>
            <w:r>
              <w:rPr>
                <w:rFonts w:hint="eastAsia" w:ascii="仿宋_GB2312" w:eastAsia="仿宋_GB2312"/>
                <w:bCs/>
                <w:kern w:val="0"/>
                <w:sz w:val="24"/>
                <w:szCs w:val="24"/>
              </w:rPr>
              <w:t>（2）相关分析的依据及合理性。</w:t>
            </w:r>
          </w:p>
        </w:tc>
        <w:tc>
          <w:tcPr>
            <w:tcW w:w="1678" w:type="dxa"/>
            <w:noWrap/>
          </w:tcPr>
          <w:p>
            <w:pPr>
              <w:rPr>
                <w:rFonts w:ascii="仿宋_GB2312" w:eastAsia="仿宋_GB2312"/>
                <w:sz w:val="24"/>
                <w:szCs w:val="24"/>
              </w:rPr>
            </w:pPr>
            <w:r>
              <w:rPr>
                <w:rFonts w:hint="eastAsia" w:ascii="仿宋_GB2312" w:eastAsia="仿宋_GB2312"/>
                <w:sz w:val="24"/>
                <w:szCs w:val="24"/>
              </w:rPr>
              <w:t>《26号格式准则》第三十四条、三十五条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5" w:type="dxa"/>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2-12</w:t>
            </w:r>
          </w:p>
        </w:tc>
        <w:tc>
          <w:tcPr>
            <w:tcW w:w="1364" w:type="dxa"/>
            <w:noWrap/>
            <w:vAlign w:val="center"/>
          </w:tcPr>
          <w:p>
            <w:pPr>
              <w:rPr>
                <w:rFonts w:ascii="仿宋_GB2312" w:eastAsia="仿宋_GB2312"/>
                <w:b/>
                <w:kern w:val="0"/>
                <w:sz w:val="24"/>
                <w:szCs w:val="24"/>
              </w:rPr>
            </w:pPr>
            <w:r>
              <w:rPr>
                <w:rFonts w:hint="eastAsia" w:ascii="仿宋_GB2312" w:eastAsia="仿宋_GB2312"/>
                <w:b/>
                <w:kern w:val="0"/>
                <w:sz w:val="24"/>
                <w:szCs w:val="24"/>
              </w:rPr>
              <w:t>承诺事项及舆情情况</w:t>
            </w:r>
          </w:p>
        </w:tc>
        <w:tc>
          <w:tcPr>
            <w:tcW w:w="4039" w:type="dxa"/>
            <w:noWrap/>
          </w:tcPr>
          <w:p>
            <w:pPr>
              <w:ind w:firstLine="480" w:firstLineChars="200"/>
              <w:rPr>
                <w:rFonts w:ascii="仿宋_GB2312" w:eastAsia="仿宋_GB2312"/>
                <w:bCs/>
                <w:kern w:val="0"/>
                <w:sz w:val="24"/>
                <w:szCs w:val="24"/>
              </w:rPr>
            </w:pPr>
            <w:r>
              <w:rPr>
                <w:rFonts w:hint="eastAsia" w:ascii="仿宋_GB2312" w:eastAsia="仿宋_GB2312"/>
                <w:bCs/>
                <w:kern w:val="0"/>
                <w:sz w:val="24"/>
                <w:szCs w:val="24"/>
              </w:rPr>
              <w:t>上市公司应当在重组报告书中披露：</w:t>
            </w:r>
          </w:p>
          <w:p>
            <w:pPr>
              <w:ind w:firstLine="480" w:firstLineChars="200"/>
              <w:rPr>
                <w:rFonts w:ascii="仿宋_GB2312" w:eastAsia="仿宋_GB2312"/>
                <w:kern w:val="0"/>
                <w:sz w:val="24"/>
                <w:szCs w:val="24"/>
              </w:rPr>
            </w:pPr>
            <w:r>
              <w:rPr>
                <w:rFonts w:hint="eastAsia" w:ascii="仿宋_GB2312" w:eastAsia="仿宋_GB2312"/>
                <w:kern w:val="0"/>
                <w:sz w:val="24"/>
                <w:szCs w:val="24"/>
              </w:rPr>
              <w:t>（1）预计本次重大资产重组将摊薄上市公司当年每股收益的，上市公司填补每股收益的具体措施，相关议案是否提交董事会和股东大会进行表决。负责落实该等具体措施的相关责任主体应当公开承诺，保证切实履行其义务和责任；</w:t>
            </w:r>
          </w:p>
          <w:p>
            <w:pPr>
              <w:ind w:firstLine="480" w:firstLineChars="200"/>
              <w:rPr>
                <w:rFonts w:ascii="仿宋_GB2312" w:eastAsia="仿宋_GB2312"/>
                <w:kern w:val="0"/>
                <w:sz w:val="24"/>
                <w:szCs w:val="24"/>
              </w:rPr>
            </w:pPr>
            <w:r>
              <w:rPr>
                <w:rFonts w:hint="eastAsia" w:ascii="仿宋_GB2312" w:eastAsia="仿宋_GB2312"/>
                <w:kern w:val="0"/>
                <w:sz w:val="24"/>
                <w:szCs w:val="24"/>
              </w:rPr>
              <w:t>（2）</w:t>
            </w:r>
            <w:r>
              <w:rPr>
                <w:rFonts w:ascii="仿宋_GB2312" w:eastAsia="仿宋_GB2312"/>
                <w:kern w:val="0"/>
                <w:sz w:val="24"/>
                <w:szCs w:val="24"/>
              </w:rPr>
              <w:t>上市公司全体董事、监事、高级管理人员应当公开承诺，保证重大资产重组的信息披露和申请文件不存在虚假记载、误导性陈述或者重大遗漏</w:t>
            </w:r>
            <w:r>
              <w:rPr>
                <w:rFonts w:hint="eastAsia" w:ascii="仿宋_GB2312" w:eastAsia="仿宋_GB2312"/>
                <w:kern w:val="0"/>
                <w:sz w:val="24"/>
                <w:szCs w:val="24"/>
              </w:rPr>
              <w:t>；</w:t>
            </w:r>
            <w:r>
              <w:rPr>
                <w:rFonts w:ascii="仿宋_GB2312" w:eastAsia="仿宋_GB2312"/>
                <w:kern w:val="0"/>
                <w:sz w:val="24"/>
                <w:szCs w:val="24"/>
              </w:rPr>
              <w:t>重大资产重组的交易对方应当公开承诺，将及时向上市公司提供本次重组相关信息，并保证所提供的信息真实、准确、完整</w:t>
            </w:r>
            <w:r>
              <w:rPr>
                <w:rFonts w:hint="eastAsia" w:ascii="仿宋_GB2312" w:eastAsia="仿宋_GB2312"/>
                <w:kern w:val="0"/>
                <w:sz w:val="24"/>
                <w:szCs w:val="24"/>
              </w:rPr>
              <w:t>。</w:t>
            </w:r>
          </w:p>
          <w:p>
            <w:pPr>
              <w:ind w:firstLine="480" w:firstLineChars="200"/>
              <w:rPr>
                <w:rFonts w:ascii="仿宋_GB2312" w:eastAsia="仿宋_GB2312"/>
                <w:kern w:val="0"/>
                <w:sz w:val="24"/>
                <w:szCs w:val="24"/>
              </w:rPr>
            </w:pPr>
            <w:r>
              <w:rPr>
                <w:rFonts w:hint="eastAsia" w:ascii="仿宋_GB2312" w:eastAsia="仿宋_GB2312"/>
                <w:kern w:val="0"/>
                <w:sz w:val="24"/>
                <w:szCs w:val="24"/>
              </w:rPr>
              <w:t>（3）相关主体按照《重组办法》《26号格式准则》等规定作出的其他承诺。</w:t>
            </w:r>
          </w:p>
        </w:tc>
        <w:tc>
          <w:tcPr>
            <w:tcW w:w="6054" w:type="dxa"/>
            <w:noWrap/>
          </w:tcPr>
          <w:p>
            <w:pPr>
              <w:widowControl/>
              <w:ind w:firstLine="480" w:firstLineChars="200"/>
              <w:jc w:val="left"/>
              <w:rPr>
                <w:rFonts w:ascii="仿宋_GB2312" w:eastAsia="仿宋_GB2312"/>
                <w:bCs/>
                <w:kern w:val="0"/>
                <w:sz w:val="24"/>
                <w:szCs w:val="24"/>
              </w:rPr>
            </w:pPr>
            <w:r>
              <w:rPr>
                <w:rFonts w:hint="eastAsia" w:ascii="仿宋_GB2312" w:eastAsia="仿宋_GB2312"/>
                <w:bCs/>
                <w:kern w:val="0"/>
                <w:sz w:val="24"/>
                <w:szCs w:val="24"/>
              </w:rPr>
              <w:t>独立财务顾问应对以下事项进行核查，并在《独立财务顾问报告》中发表明确核查意见：</w:t>
            </w:r>
          </w:p>
          <w:p>
            <w:pPr>
              <w:ind w:firstLine="480" w:firstLineChars="200"/>
              <w:rPr>
                <w:rFonts w:ascii="仿宋_GB2312" w:eastAsia="仿宋_GB2312"/>
                <w:sz w:val="24"/>
                <w:szCs w:val="24"/>
              </w:rPr>
            </w:pPr>
            <w:r>
              <w:rPr>
                <w:rFonts w:hint="eastAsia" w:ascii="仿宋_GB2312" w:eastAsia="仿宋_GB2312"/>
                <w:sz w:val="24"/>
                <w:szCs w:val="24"/>
              </w:rPr>
              <w:t>（1）上市公司、交易对方及有关各方是否</w:t>
            </w:r>
            <w:r>
              <w:rPr>
                <w:rFonts w:hint="eastAsia" w:ascii="仿宋_GB2312" w:eastAsia="仿宋_GB2312"/>
                <w:kern w:val="0"/>
                <w:sz w:val="24"/>
                <w:szCs w:val="24"/>
              </w:rPr>
              <w:t>按照</w:t>
            </w:r>
            <w:r>
              <w:rPr>
                <w:rFonts w:hint="eastAsia" w:ascii="仿宋_GB2312" w:eastAsia="仿宋_GB2312"/>
                <w:sz w:val="24"/>
                <w:szCs w:val="24"/>
              </w:rPr>
              <w:t>《重组办法》《26号格式准则》等规定出具承诺；</w:t>
            </w:r>
          </w:p>
          <w:p>
            <w:pPr>
              <w:ind w:firstLine="480" w:firstLineChars="200"/>
              <w:rPr>
                <w:rFonts w:ascii="仿宋_GB2312" w:eastAsia="仿宋_GB2312"/>
                <w:sz w:val="24"/>
                <w:szCs w:val="24"/>
              </w:rPr>
            </w:pPr>
            <w:r>
              <w:rPr>
                <w:rFonts w:hint="eastAsia" w:ascii="仿宋_GB2312" w:eastAsia="仿宋_GB2312"/>
                <w:sz w:val="24"/>
                <w:szCs w:val="24"/>
              </w:rPr>
              <w:t>（2）</w:t>
            </w:r>
            <w:r>
              <w:rPr>
                <w:rFonts w:hint="eastAsia" w:ascii="仿宋_GB2312" w:eastAsia="仿宋_GB2312"/>
                <w:kern w:val="0"/>
                <w:sz w:val="24"/>
                <w:szCs w:val="24"/>
              </w:rPr>
              <w:t>本次交易相关的舆情情况，相关事项是否影响重组条件和信息披露要求；对于涉及的重大舆情情况审慎核查并发表意见。</w:t>
            </w:r>
          </w:p>
          <w:p>
            <w:pPr>
              <w:ind w:firstLine="480" w:firstLineChars="200"/>
              <w:rPr>
                <w:rFonts w:ascii="仿宋_GB2312" w:eastAsia="仿宋_GB2312"/>
                <w:sz w:val="24"/>
                <w:szCs w:val="24"/>
              </w:rPr>
            </w:pPr>
            <w:r>
              <w:rPr>
                <w:rFonts w:hint="eastAsia" w:ascii="仿宋_GB2312" w:eastAsia="仿宋_GB2312"/>
                <w:bCs/>
                <w:kern w:val="0"/>
                <w:sz w:val="24"/>
                <w:szCs w:val="24"/>
              </w:rPr>
              <w:t>律师应对上述事项进行核查，并发表明确核查意见。</w:t>
            </w:r>
          </w:p>
        </w:tc>
        <w:tc>
          <w:tcPr>
            <w:tcW w:w="1678" w:type="dxa"/>
            <w:noWrap/>
          </w:tcPr>
          <w:p>
            <w:pPr>
              <w:rPr>
                <w:rFonts w:ascii="仿宋_GB2312" w:eastAsia="仿宋_GB2312"/>
                <w:sz w:val="24"/>
                <w:szCs w:val="24"/>
              </w:rPr>
            </w:pPr>
            <w:r>
              <w:rPr>
                <w:rFonts w:hint="eastAsia" w:ascii="仿宋_GB2312" w:eastAsia="仿宋_GB2312"/>
                <w:sz w:val="24"/>
                <w:szCs w:val="24"/>
              </w:rPr>
              <w:t>《重组办法》第二十六条、</w:t>
            </w:r>
          </w:p>
          <w:p>
            <w:pPr>
              <w:rPr>
                <w:rFonts w:ascii="仿宋_GB2312" w:eastAsia="仿宋_GB2312"/>
                <w:sz w:val="24"/>
                <w:szCs w:val="24"/>
              </w:rPr>
            </w:pPr>
            <w:r>
              <w:rPr>
                <w:rFonts w:hint="eastAsia" w:ascii="仿宋_GB2312" w:eastAsia="仿宋_GB2312"/>
                <w:sz w:val="24"/>
                <w:szCs w:val="24"/>
              </w:rPr>
              <w:t>第三十五条、第四十六条、第四十七条等，《26号格式准则》第十一条、第三十五条等</w:t>
            </w:r>
          </w:p>
        </w:tc>
      </w:tr>
    </w:tbl>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4"/>
        <w:gridCol w:w="1165"/>
        <w:gridCol w:w="4039"/>
        <w:gridCol w:w="6054"/>
        <w:gridCol w:w="16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1" w:hRule="atLeast"/>
          <w:tblHeader/>
        </w:trPr>
        <w:tc>
          <w:tcPr>
            <w:tcW w:w="14010" w:type="dxa"/>
            <w:gridSpan w:val="5"/>
            <w:shd w:val="clear" w:color="auto" w:fill="8DB3E2"/>
            <w:noWrap/>
            <w:vAlign w:val="center"/>
          </w:tcPr>
          <w:p>
            <w:pPr>
              <w:jc w:val="center"/>
              <w:rPr>
                <w:rFonts w:ascii="仿宋_GB2312" w:eastAsia="仿宋_GB2312"/>
                <w:b/>
                <w:sz w:val="24"/>
                <w:szCs w:val="24"/>
              </w:rPr>
            </w:pPr>
            <w:r>
              <w:rPr>
                <w:rFonts w:hint="eastAsia" w:ascii="仿宋_GB2312" w:eastAsia="仿宋_GB2312"/>
                <w:b/>
                <w:sz w:val="24"/>
                <w:szCs w:val="24"/>
              </w:rPr>
              <w:t>三、关于标的资产估值与作价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074" w:type="dxa"/>
            <w:noWrap/>
            <w:vAlign w:val="center"/>
          </w:tcPr>
          <w:p>
            <w:pPr>
              <w:jc w:val="center"/>
              <w:rPr>
                <w:rFonts w:ascii="仿宋_GB2312" w:eastAsia="仿宋_GB2312"/>
                <w:b/>
                <w:sz w:val="24"/>
                <w:szCs w:val="24"/>
              </w:rPr>
            </w:pPr>
            <w:r>
              <w:rPr>
                <w:rFonts w:hint="eastAsia" w:ascii="仿宋_GB2312" w:eastAsia="仿宋_GB2312"/>
                <w:b/>
                <w:sz w:val="24"/>
                <w:szCs w:val="24"/>
              </w:rPr>
              <w:t>序号</w:t>
            </w:r>
          </w:p>
        </w:tc>
        <w:tc>
          <w:tcPr>
            <w:tcW w:w="1165" w:type="dxa"/>
            <w:noWrap/>
            <w:vAlign w:val="center"/>
          </w:tcPr>
          <w:p>
            <w:pPr>
              <w:jc w:val="center"/>
              <w:rPr>
                <w:rFonts w:ascii="仿宋_GB2312" w:eastAsia="仿宋_GB2312"/>
                <w:b/>
                <w:sz w:val="24"/>
                <w:szCs w:val="24"/>
              </w:rPr>
            </w:pPr>
            <w:r>
              <w:rPr>
                <w:rFonts w:hint="eastAsia" w:ascii="仿宋_GB2312" w:eastAsia="仿宋_GB2312"/>
                <w:b/>
                <w:sz w:val="24"/>
                <w:szCs w:val="24"/>
              </w:rPr>
              <w:t>问题</w:t>
            </w:r>
          </w:p>
        </w:tc>
        <w:tc>
          <w:tcPr>
            <w:tcW w:w="4039" w:type="dxa"/>
            <w:noWrap/>
            <w:vAlign w:val="center"/>
          </w:tcPr>
          <w:p>
            <w:pPr>
              <w:jc w:val="center"/>
              <w:rPr>
                <w:rFonts w:ascii="仿宋_GB2312" w:eastAsia="仿宋_GB2312"/>
                <w:b/>
                <w:sz w:val="24"/>
                <w:szCs w:val="24"/>
              </w:rPr>
            </w:pPr>
            <w:r>
              <w:rPr>
                <w:rFonts w:hint="eastAsia" w:ascii="仿宋_GB2312" w:eastAsia="仿宋_GB2312"/>
                <w:b/>
                <w:sz w:val="24"/>
                <w:szCs w:val="24"/>
              </w:rPr>
              <w:t>披露要求</w:t>
            </w:r>
          </w:p>
        </w:tc>
        <w:tc>
          <w:tcPr>
            <w:tcW w:w="6054" w:type="dxa"/>
            <w:noWrap/>
            <w:vAlign w:val="center"/>
          </w:tcPr>
          <w:p>
            <w:pPr>
              <w:jc w:val="center"/>
              <w:rPr>
                <w:rFonts w:ascii="仿宋_GB2312" w:eastAsia="仿宋_GB2312"/>
                <w:b/>
                <w:sz w:val="24"/>
                <w:szCs w:val="24"/>
              </w:rPr>
            </w:pPr>
            <w:r>
              <w:rPr>
                <w:rFonts w:hint="eastAsia" w:ascii="仿宋_GB2312" w:eastAsia="仿宋_GB2312"/>
                <w:b/>
                <w:sz w:val="24"/>
                <w:szCs w:val="24"/>
              </w:rPr>
              <w:t>核查要求</w:t>
            </w:r>
          </w:p>
        </w:tc>
        <w:tc>
          <w:tcPr>
            <w:tcW w:w="1678" w:type="dxa"/>
            <w:noWrap/>
            <w:vAlign w:val="center"/>
          </w:tcPr>
          <w:p>
            <w:pPr>
              <w:jc w:val="center"/>
              <w:rPr>
                <w:rFonts w:ascii="仿宋_GB2312" w:eastAsia="仿宋_GB2312"/>
                <w:b/>
                <w:sz w:val="24"/>
                <w:szCs w:val="24"/>
              </w:rPr>
            </w:pPr>
            <w:r>
              <w:rPr>
                <w:rFonts w:hint="eastAsia" w:ascii="仿宋_GB2312" w:eastAsia="仿宋_GB2312"/>
                <w:b/>
                <w:sz w:val="24"/>
                <w:szCs w:val="24"/>
              </w:rPr>
              <w:t>参考规范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spacing w:val="-8"/>
                <w:sz w:val="24"/>
                <w:szCs w:val="24"/>
              </w:rPr>
            </w:pPr>
            <w:r>
              <w:rPr>
                <w:rFonts w:hint="eastAsia" w:ascii="仿宋_GB2312" w:hAnsi="仿宋_GB2312" w:eastAsia="仿宋_GB2312" w:cs="仿宋_GB2312"/>
                <w:b/>
                <w:spacing w:val="-8"/>
                <w:sz w:val="24"/>
                <w:szCs w:val="24"/>
              </w:rPr>
              <w:t>3-1</w:t>
            </w:r>
          </w:p>
        </w:tc>
        <w:tc>
          <w:tcPr>
            <w:tcW w:w="1165" w:type="dxa"/>
            <w:noWrap/>
            <w:vAlign w:val="center"/>
          </w:tcPr>
          <w:p>
            <w:pPr>
              <w:rPr>
                <w:rFonts w:ascii="仿宋_GB2312" w:hAnsi="仿宋_GB2312" w:eastAsia="仿宋_GB2312" w:cs="仿宋_GB2312"/>
                <w:b/>
                <w:spacing w:val="-4"/>
                <w:sz w:val="24"/>
                <w:szCs w:val="24"/>
              </w:rPr>
            </w:pPr>
            <w:r>
              <w:rPr>
                <w:rFonts w:hint="eastAsia" w:ascii="仿宋_GB2312" w:hAnsi="仿宋_GB2312" w:eastAsia="仿宋_GB2312" w:cs="仿宋_GB2312"/>
                <w:b/>
                <w:spacing w:val="-4"/>
                <w:sz w:val="24"/>
                <w:szCs w:val="24"/>
              </w:rPr>
              <w:t>本次</w:t>
            </w:r>
            <w:r>
              <w:rPr>
                <w:rFonts w:hint="eastAsia" w:ascii="仿宋_GB2312" w:hAnsi="仿宋_GB2312" w:eastAsia="仿宋_GB2312" w:cs="仿宋_GB2312"/>
                <w:b/>
                <w:spacing w:val="-3"/>
                <w:sz w:val="24"/>
                <w:szCs w:val="24"/>
              </w:rPr>
              <w:t>交</w:t>
            </w:r>
            <w:r>
              <w:rPr>
                <w:rFonts w:hint="eastAsia" w:ascii="仿宋_GB2312" w:hAnsi="仿宋_GB2312" w:eastAsia="仿宋_GB2312" w:cs="仿宋_GB2312"/>
                <w:b/>
                <w:spacing w:val="-2"/>
                <w:sz w:val="24"/>
                <w:szCs w:val="24"/>
              </w:rPr>
              <w:t>易</w:t>
            </w:r>
            <w:r>
              <w:rPr>
                <w:rFonts w:hint="eastAsia" w:ascii="仿宋_GB2312" w:hAnsi="仿宋_GB2312" w:eastAsia="仿宋_GB2312" w:cs="仿宋_GB2312"/>
                <w:b/>
                <w:spacing w:val="-4"/>
                <w:sz w:val="24"/>
                <w:szCs w:val="24"/>
              </w:rPr>
              <w:t>以资</w:t>
            </w:r>
            <w:r>
              <w:rPr>
                <w:rFonts w:hint="eastAsia" w:ascii="仿宋_GB2312" w:hAnsi="仿宋_GB2312" w:eastAsia="仿宋_GB2312" w:cs="仿宋_GB2312"/>
                <w:b/>
                <w:spacing w:val="-3"/>
                <w:sz w:val="24"/>
                <w:szCs w:val="24"/>
              </w:rPr>
              <w:t>产</w:t>
            </w:r>
            <w:r>
              <w:rPr>
                <w:rFonts w:hint="eastAsia" w:ascii="仿宋_GB2312" w:hAnsi="仿宋_GB2312" w:eastAsia="仿宋_GB2312" w:cs="仿宋_GB2312"/>
                <w:b/>
                <w:spacing w:val="-2"/>
                <w:sz w:val="24"/>
                <w:szCs w:val="24"/>
              </w:rPr>
              <w:t>评估结</w:t>
            </w:r>
            <w:r>
              <w:rPr>
                <w:rFonts w:hint="eastAsia" w:ascii="仿宋_GB2312" w:hAnsi="仿宋_GB2312" w:eastAsia="仿宋_GB2312" w:cs="仿宋_GB2312"/>
                <w:b/>
                <w:spacing w:val="-4"/>
                <w:sz w:val="24"/>
                <w:szCs w:val="24"/>
              </w:rPr>
              <w:t>果或</w:t>
            </w:r>
            <w:r>
              <w:rPr>
                <w:rFonts w:hint="eastAsia" w:ascii="仿宋_GB2312" w:hAnsi="仿宋_GB2312" w:eastAsia="仿宋_GB2312" w:cs="仿宋_GB2312"/>
                <w:b/>
                <w:spacing w:val="-3"/>
                <w:sz w:val="24"/>
                <w:szCs w:val="24"/>
              </w:rPr>
              <w:t>估</w:t>
            </w:r>
            <w:r>
              <w:rPr>
                <w:rFonts w:hint="eastAsia" w:ascii="仿宋_GB2312" w:hAnsi="仿宋_GB2312" w:eastAsia="仿宋_GB2312" w:cs="仿宋_GB2312"/>
                <w:b/>
                <w:spacing w:val="-2"/>
                <w:sz w:val="24"/>
                <w:szCs w:val="24"/>
              </w:rPr>
              <w:t>值报告</w:t>
            </w:r>
            <w:r>
              <w:rPr>
                <w:rFonts w:hint="eastAsia" w:ascii="仿宋_GB2312" w:hAnsi="仿宋_GB2312" w:eastAsia="仿宋_GB2312" w:cs="仿宋_GB2312"/>
                <w:b/>
                <w:spacing w:val="-4"/>
                <w:sz w:val="24"/>
                <w:szCs w:val="24"/>
              </w:rPr>
              <w:t>结果</w:t>
            </w:r>
            <w:r>
              <w:rPr>
                <w:rFonts w:hint="eastAsia" w:ascii="仿宋_GB2312" w:hAnsi="仿宋_GB2312" w:eastAsia="仿宋_GB2312" w:cs="仿宋_GB2312"/>
                <w:b/>
                <w:spacing w:val="-3"/>
                <w:sz w:val="24"/>
                <w:szCs w:val="24"/>
              </w:rPr>
              <w:t>作</w:t>
            </w:r>
            <w:r>
              <w:rPr>
                <w:rFonts w:hint="eastAsia" w:ascii="仿宋_GB2312" w:hAnsi="仿宋_GB2312" w:eastAsia="仿宋_GB2312" w:cs="仿宋_GB2312"/>
                <w:b/>
                <w:spacing w:val="-2"/>
                <w:sz w:val="24"/>
                <w:szCs w:val="24"/>
              </w:rPr>
              <w:t>为定价</w:t>
            </w:r>
            <w:r>
              <w:rPr>
                <w:rFonts w:hint="eastAsia" w:ascii="仿宋_GB2312" w:hAnsi="仿宋_GB2312" w:eastAsia="仿宋_GB2312" w:cs="仿宋_GB2312"/>
                <w:b/>
                <w:spacing w:val="-5"/>
                <w:sz w:val="24"/>
                <w:szCs w:val="24"/>
              </w:rPr>
              <w:t>依</w:t>
            </w:r>
            <w:r>
              <w:rPr>
                <w:rFonts w:hint="eastAsia" w:ascii="仿宋_GB2312" w:hAnsi="仿宋_GB2312" w:eastAsia="仿宋_GB2312" w:cs="仿宋_GB2312"/>
                <w:b/>
                <w:spacing w:val="-4"/>
                <w:sz w:val="24"/>
                <w:szCs w:val="24"/>
              </w:rPr>
              <w:t>据</w:t>
            </w:r>
          </w:p>
        </w:tc>
        <w:tc>
          <w:tcPr>
            <w:tcW w:w="4039" w:type="dxa"/>
            <w:noWrap/>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上市公司应当在重组报告书中披露：</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评估或估值的基本情况（包括账面价值、所采用的评估或估值方法、评估或估值结果、增减值幅度等），分析评估或估值增减值主要原因、不同评估或估值方法的评估或估值结果的评估或估值结果的差异及其原因、最终确定评估或估值结论的理由；</w:t>
            </w:r>
          </w:p>
          <w:p>
            <w:pPr>
              <w:ind w:firstLine="480" w:firstLineChars="200"/>
              <w:rPr>
                <w:rFonts w:ascii="仿宋_GB2312" w:hAnsi="仿宋_GB2312" w:eastAsia="仿宋_GB2312" w:cs="仿宋_GB2312"/>
                <w:spacing w:val="-15"/>
                <w:sz w:val="24"/>
                <w:szCs w:val="24"/>
              </w:rPr>
            </w:pPr>
            <w:r>
              <w:rPr>
                <w:rFonts w:hint="eastAsia" w:ascii="仿宋_GB2312" w:hAnsi="仿宋_GB2312" w:eastAsia="仿宋_GB2312" w:cs="仿宋_GB2312"/>
                <w:bCs/>
                <w:sz w:val="24"/>
                <w:szCs w:val="24"/>
              </w:rPr>
              <w:t>（2）对评估或估值结论由重要影响的评估或估值假设，如宏观和外部环境假设及根据交易标的自身情况所采用的特定假设等。</w:t>
            </w:r>
          </w:p>
        </w:tc>
        <w:tc>
          <w:tcPr>
            <w:tcW w:w="6054" w:type="dxa"/>
            <w:noWrap/>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评估或估值的基本情况（包括账面价值、所采用的评估或估值方法、评估或估值结果、增减值幅度等），并结合不同评估或估值结果的差异情况、差异的原因、业绩承诺及业绩补偿安排设置等因素，对本次最终确定评估或估值结论的原因及合理性进行审慎核查；</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（2）对评估或估值结论有重要影响的评估或估值假设合理性，如宏观和外部环境假设及根据交易标的自身情况所采用的特定假设等。</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评估师应对上述事项进行核查，并发表明确核查意见。</w:t>
            </w:r>
          </w:p>
        </w:tc>
        <w:tc>
          <w:tcPr>
            <w:tcW w:w="1678" w:type="dxa"/>
            <w:noWrap/>
            <w:vAlign w:val="center"/>
          </w:tcPr>
          <w:p>
            <w:pPr>
              <w:rPr>
                <w:rFonts w:ascii="仿宋_GB2312" w:hAnsi="仿宋_GB2312" w:eastAsia="仿宋_GB2312" w:cs="仿宋_GB2312"/>
                <w:spacing w:val="-15"/>
                <w:sz w:val="24"/>
                <w:szCs w:val="24"/>
              </w:rPr>
            </w:pPr>
            <w:r>
              <w:rPr>
                <w:rFonts w:hint="eastAsia" w:ascii="仿宋_GB2312" w:hAnsi="仿宋_GB2312" w:eastAsia="仿宋_GB2312" w:cs="仿宋_GB2312"/>
                <w:bCs/>
                <w:sz w:val="24"/>
                <w:szCs w:val="24"/>
              </w:rPr>
              <w:t>《26号格式准则》第二十四条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sz w:val="24"/>
                <w:szCs w:val="24"/>
              </w:rPr>
            </w:pPr>
            <w:r>
              <w:rPr>
                <w:rFonts w:hint="eastAsia" w:ascii="仿宋_GB2312" w:hAnsi="仿宋_GB2312" w:eastAsia="仿宋_GB2312" w:cs="仿宋_GB2312"/>
                <w:b/>
                <w:spacing w:val="-8"/>
                <w:sz w:val="24"/>
                <w:szCs w:val="24"/>
              </w:rPr>
              <w:t>3-2</w:t>
            </w:r>
          </w:p>
        </w:tc>
        <w:tc>
          <w:tcPr>
            <w:tcW w:w="1165" w:type="dxa"/>
            <w:noWrap/>
            <w:vAlign w:val="center"/>
          </w:tcPr>
          <w:p>
            <w:pPr>
              <w:rPr>
                <w:rFonts w:ascii="仿宋_GB2312" w:hAnsi="仿宋_GB2312" w:eastAsia="仿宋_GB2312" w:cs="仿宋_GB2312"/>
                <w:b/>
                <w:sz w:val="24"/>
                <w:szCs w:val="24"/>
              </w:rPr>
            </w:pPr>
            <w:r>
              <w:rPr>
                <w:rFonts w:hint="eastAsia" w:ascii="仿宋_GB2312" w:hAnsi="仿宋_GB2312" w:eastAsia="仿宋_GB2312" w:cs="仿宋_GB2312"/>
                <w:b/>
                <w:spacing w:val="-3"/>
                <w:sz w:val="24"/>
                <w:szCs w:val="24"/>
              </w:rPr>
              <w:t>以</w:t>
            </w:r>
            <w:r>
              <w:rPr>
                <w:rFonts w:hint="eastAsia" w:ascii="仿宋_GB2312" w:hAnsi="仿宋_GB2312" w:eastAsia="仿宋_GB2312" w:cs="仿宋_GB2312"/>
                <w:b/>
                <w:spacing w:val="-2"/>
                <w:sz w:val="24"/>
                <w:szCs w:val="24"/>
              </w:rPr>
              <w:t>收益法</w:t>
            </w:r>
            <w:r>
              <w:rPr>
                <w:rFonts w:hint="eastAsia" w:ascii="仿宋_GB2312" w:hAnsi="仿宋_GB2312" w:eastAsia="仿宋_GB2312" w:cs="仿宋_GB2312"/>
                <w:b/>
                <w:spacing w:val="-4"/>
                <w:sz w:val="24"/>
                <w:szCs w:val="24"/>
              </w:rPr>
              <w:t>评估</w:t>
            </w:r>
            <w:r>
              <w:rPr>
                <w:rFonts w:hint="eastAsia" w:ascii="仿宋_GB2312" w:hAnsi="仿宋_GB2312" w:eastAsia="仿宋_GB2312" w:cs="仿宋_GB2312"/>
                <w:b/>
                <w:spacing w:val="-3"/>
                <w:sz w:val="24"/>
                <w:szCs w:val="24"/>
              </w:rPr>
              <w:t>结</w:t>
            </w:r>
            <w:r>
              <w:rPr>
                <w:rFonts w:hint="eastAsia" w:ascii="仿宋_GB2312" w:hAnsi="仿宋_GB2312" w:eastAsia="仿宋_GB2312" w:cs="仿宋_GB2312"/>
                <w:b/>
                <w:spacing w:val="-2"/>
                <w:sz w:val="24"/>
                <w:szCs w:val="24"/>
              </w:rPr>
              <w:t>果作为</w:t>
            </w:r>
            <w:r>
              <w:rPr>
                <w:rFonts w:hint="eastAsia" w:ascii="仿宋_GB2312" w:hAnsi="仿宋_GB2312" w:eastAsia="仿宋_GB2312" w:cs="仿宋_GB2312"/>
                <w:b/>
                <w:spacing w:val="-4"/>
                <w:sz w:val="24"/>
                <w:szCs w:val="24"/>
              </w:rPr>
              <w:t>定</w:t>
            </w:r>
            <w:r>
              <w:rPr>
                <w:rFonts w:hint="eastAsia" w:ascii="仿宋_GB2312" w:hAnsi="仿宋_GB2312" w:eastAsia="仿宋_GB2312" w:cs="仿宋_GB2312"/>
                <w:b/>
                <w:spacing w:val="-3"/>
                <w:sz w:val="24"/>
                <w:szCs w:val="24"/>
              </w:rPr>
              <w:t>价依据</w:t>
            </w:r>
          </w:p>
        </w:tc>
        <w:tc>
          <w:tcPr>
            <w:tcW w:w="4039" w:type="dxa"/>
            <w:noWrap/>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上市公司应在重组报告书中披露收益法评估的具体模型、未来预期收益现金流、折现率确定方法、评估或估值测算过程，非经营性和溢余资产的分析与确认等信息。主要包括：</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评估或估值测算时涉及的主要财务数据的预测表格，包括：未来收益现金流量测算表、营业收入预测表、营业成本预测表、销售费用预测表、管理费用预测表、营运资金预测表、折旧摊销预测表、资本性支出预测表等，并结合主要参数的预测过程披露有利于投资者作出投资决策和价值判断的重要信息；</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（2）逐项披露重要评估或估值参数的预测依据及合理性；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（3）预测期内预测数据存在较大变化，或者与报告期、同行业存在较大差异的，应逐项分析差异原因及其合理性；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（4）本次交易配套募集资金用于标的资产的，预测现金流中是否包含了募集配套资金投入带来的收益。</w:t>
            </w:r>
          </w:p>
        </w:tc>
        <w:tc>
          <w:tcPr>
            <w:tcW w:w="6054" w:type="dxa"/>
            <w:noWrap/>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（1）核查并说明销售单价预测的合理性：结合标的资产主要核心产品所处生命周期、可替代性、市场竞争程度、报告期内售价水平、可比产品售价水平等，核查并说明预测期各期销售单价变动的合理性；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2）核查并说明销售数量预测的合理性：结合标的资产主要产品或所处行业未来年度市场容量发展情况、标的资产所处的行业地位、现有客户关系维护及未来年度需求增长情况、新客户拓展、现有合同签订情况等，核查并说明预测期内各期销售数量的合理性及可实现性；结合标的资产的现有产能和产能利用率、未来年度产能扩张计划等，核查并说明预测期内销售数量与产能水平的匹配性；</w:t>
            </w:r>
            <w:r>
              <w:rPr>
                <w:rFonts w:hint="eastAsia" w:ascii="仿宋_GB2312" w:hAnsi="仿宋_GB2312" w:eastAsia="仿宋_GB2312" w:cs="仿宋_GB2312"/>
                <w:bCs/>
                <w:sz w:val="24"/>
                <w:szCs w:val="24"/>
              </w:rPr>
              <w:tab/>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（3）核查并说明营业成本预测的合理性：结合报告期内原材料的采购来源、原材料价格波动情况、市场供需情况、与原材料主要供应商的关系稳定性等，核查并说明预测期内营业成本预测的合理性；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4）核查并说明毛利率预测的合理性：结合标的资产各主要产品报告期内毛利率水平、标的资产的核心竞争优势、原材料成本的预测情况、可比公司可比产品的毛利率情况，市场竞争程度、产品的可替代性、行业进入壁垒情况等，核查并说明预测期内毛利率水平预测依据及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5）核查并说明期间费用预测的合理性：结合销售费用率与管理费用率水平、构成情况及其与报告期内的差异情况等，核查并说明销售费用及管理费用中的重要构成项目的预测依据是否充分、合理，是否与预测期内业务增长情况相匹配；</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（6）核查并说明营运资金增加额预测的合理性：核查并说明营运资金增加额的计算过程，是否与标的资产未来年度的业务发展情况相匹配；</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（7）核查并说明资本性支出预测的合理性：结合标的资产现有主要设备的成新率情况、未来厂房及产能扩建及更新计划等，核查并说明预测期内资本性支出预测的合理性；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（8）核查并说明折现率预测的合理性：结合折现率计算过程中主要参数的取值依据及合理性，核查并说明相关参数是否反应了标的资产所处行业的特定风险及自身财务风险水平，折现率取值是否合理；</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9）核查并说明预测期期限的合理性：结合详细预测期期限及预测期内各年经营业绩增速情况等，核查并说明是否存在为提高估值水平而刻意延长详细评估期间的情况，如存在详细评估期限较长的，核查并说明详细评估期较长的原因及合理性，是否符合谨慎性原则；</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10）本次交易评估作价或业绩承诺是否包含募投项目收益。如是，核查并测算募投项目未来预计收益及对业绩承诺的影响，并结合募投项目的收益占比、对本次交易作价的影响等，审慎对交易作价中包含募投项目收益安排是否有利于保护上市公司及中小股东利益发表明确意见；如否，核查并说明区分募投项目收益的具体措施及有效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11）预测数据是否与标的资产报告期内业务发展情况、未来年度业务发展预期、核心竞争优势等保持一致，不同参数在样本选取、风险考量、参数匹配等方面是否保持一致性，相关参数的选取和披露是否符合《监管规则适用指引——评估类第1号》的要求。</w:t>
            </w:r>
          </w:p>
          <w:p>
            <w:pPr>
              <w:ind w:firstLine="480" w:firstLineChars="200"/>
              <w:rPr>
                <w:rFonts w:ascii="仿宋_GB2312" w:hAnsi="仿宋_GB2312" w:eastAsia="仿宋_GB2312" w:cs="仿宋_GB2312"/>
                <w:b/>
                <w:bCs/>
                <w:sz w:val="24"/>
                <w:szCs w:val="24"/>
              </w:rPr>
            </w:pPr>
            <w:r>
              <w:rPr>
                <w:rFonts w:hint="eastAsia" w:ascii="仿宋_GB2312" w:hAnsi="仿宋_GB2312" w:eastAsia="仿宋_GB2312" w:cs="仿宋_GB2312"/>
                <w:bCs/>
                <w:sz w:val="24"/>
                <w:szCs w:val="24"/>
              </w:rPr>
              <w:t>评估师应对上述事项进行核查，并发表明确核查意见。</w:t>
            </w:r>
          </w:p>
        </w:tc>
        <w:tc>
          <w:tcPr>
            <w:tcW w:w="1678" w:type="dxa"/>
            <w:noWrap/>
            <w:vAlign w:val="center"/>
          </w:tcPr>
          <w:p>
            <w:pPr>
              <w:rPr>
                <w:rFonts w:ascii="仿宋_GB2312" w:hAnsi="仿宋_GB2312" w:eastAsia="仿宋_GB2312" w:cs="仿宋_GB2312"/>
                <w:b/>
                <w:bCs/>
                <w:sz w:val="24"/>
                <w:szCs w:val="24"/>
              </w:rPr>
            </w:pPr>
            <w:r>
              <w:rPr>
                <w:rFonts w:hint="eastAsia" w:ascii="仿宋_GB2312" w:hAnsi="仿宋_GB2312" w:eastAsia="仿宋_GB2312" w:cs="仿宋_GB2312"/>
                <w:bCs/>
                <w:sz w:val="24"/>
                <w:szCs w:val="24"/>
              </w:rPr>
              <w:t>《26号格式准则》第二十四条、第二十五条、第六十四条，《监管规则适用指引——评估类第1号》、《会计监管风险提示第5号——上市公司股权交易资产评估》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spacing w:val="-8"/>
                <w:sz w:val="24"/>
                <w:szCs w:val="24"/>
              </w:rPr>
            </w:pPr>
            <w:r>
              <w:rPr>
                <w:rFonts w:hint="eastAsia" w:ascii="仿宋_GB2312" w:hAnsi="仿宋_GB2312" w:eastAsia="仿宋_GB2312" w:cs="仿宋_GB2312"/>
                <w:b/>
                <w:spacing w:val="-8"/>
                <w:sz w:val="24"/>
                <w:szCs w:val="24"/>
              </w:rPr>
              <w:t>3-3</w:t>
            </w:r>
          </w:p>
        </w:tc>
        <w:tc>
          <w:tcPr>
            <w:tcW w:w="1165" w:type="dxa"/>
            <w:noWrap/>
            <w:vAlign w:val="center"/>
          </w:tcPr>
          <w:p>
            <w:pPr>
              <w:rPr>
                <w:rFonts w:ascii="仿宋_GB2312" w:hAnsi="仿宋_GB2312" w:eastAsia="仿宋_GB2312" w:cs="仿宋_GB2312"/>
                <w:b/>
                <w:spacing w:val="-4"/>
                <w:sz w:val="24"/>
                <w:szCs w:val="24"/>
              </w:rPr>
            </w:pPr>
            <w:r>
              <w:rPr>
                <w:rFonts w:hint="eastAsia" w:ascii="仿宋_GB2312" w:hAnsi="仿宋_GB2312" w:eastAsia="仿宋_GB2312" w:cs="仿宋_GB2312"/>
                <w:b/>
                <w:spacing w:val="-6"/>
                <w:sz w:val="24"/>
                <w:szCs w:val="24"/>
              </w:rPr>
              <w:t>以</w:t>
            </w:r>
            <w:r>
              <w:rPr>
                <w:rFonts w:hint="eastAsia" w:ascii="仿宋_GB2312" w:hAnsi="仿宋_GB2312" w:eastAsia="仿宋_GB2312" w:cs="仿宋_GB2312"/>
                <w:b/>
                <w:spacing w:val="-3"/>
                <w:sz w:val="24"/>
                <w:szCs w:val="24"/>
              </w:rPr>
              <w:t>市场法评估</w:t>
            </w:r>
            <w:r>
              <w:rPr>
                <w:rFonts w:hint="eastAsia" w:ascii="仿宋_GB2312" w:hAnsi="仿宋_GB2312" w:eastAsia="仿宋_GB2312" w:cs="仿宋_GB2312"/>
                <w:b/>
                <w:spacing w:val="-6"/>
                <w:sz w:val="24"/>
                <w:szCs w:val="24"/>
              </w:rPr>
              <w:t>结</w:t>
            </w:r>
            <w:r>
              <w:rPr>
                <w:rFonts w:hint="eastAsia" w:ascii="仿宋_GB2312" w:hAnsi="仿宋_GB2312" w:eastAsia="仿宋_GB2312" w:cs="仿宋_GB2312"/>
                <w:b/>
                <w:spacing w:val="-3"/>
                <w:sz w:val="24"/>
                <w:szCs w:val="24"/>
              </w:rPr>
              <w:t>果作为定价</w:t>
            </w:r>
            <w:r>
              <w:rPr>
                <w:rFonts w:hint="eastAsia" w:ascii="仿宋_GB2312" w:hAnsi="仿宋_GB2312" w:eastAsia="仿宋_GB2312" w:cs="仿宋_GB2312"/>
                <w:b/>
                <w:spacing w:val="-5"/>
                <w:sz w:val="24"/>
                <w:szCs w:val="24"/>
              </w:rPr>
              <w:t>依</w:t>
            </w:r>
            <w:r>
              <w:rPr>
                <w:rFonts w:hint="eastAsia" w:ascii="仿宋_GB2312" w:hAnsi="仿宋_GB2312" w:eastAsia="仿宋_GB2312" w:cs="仿宋_GB2312"/>
                <w:b/>
                <w:spacing w:val="-4"/>
                <w:sz w:val="24"/>
                <w:szCs w:val="24"/>
              </w:rPr>
              <w:t>据</w:t>
            </w:r>
          </w:p>
        </w:tc>
        <w:tc>
          <w:tcPr>
            <w:tcW w:w="4039" w:type="dxa"/>
            <w:noWrap/>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上市公司应当在重组报告书中披露：</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（1）市场法评估具体模型、价值比率的选取及理由；</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（2）可比对象或可比案例的选取原则，具体包括：可比交易案例的选择标准、案例来源、可比交易的目的、交易时间、交易股权比例等；</w:t>
            </w:r>
          </w:p>
          <w:p>
            <w:pPr>
              <w:ind w:firstLine="480" w:firstLineChars="200"/>
              <w:rPr>
                <w:rFonts w:ascii="仿宋_GB2312" w:hAnsi="仿宋_GB2312" w:eastAsia="仿宋_GB2312" w:cs="仿宋_GB2312"/>
                <w:sz w:val="24"/>
                <w:szCs w:val="24"/>
              </w:rPr>
            </w:pPr>
            <w:r>
              <w:rPr>
                <w:rFonts w:hint="eastAsia" w:ascii="仿宋_GB2312" w:hAnsi="仿宋_GB2312" w:eastAsia="仿宋_GB2312" w:cs="仿宋_GB2312"/>
                <w:bCs/>
                <w:sz w:val="24"/>
                <w:szCs w:val="24"/>
              </w:rPr>
              <w:t>（3）调整因素和流动性折扣的考虑测算等。</w:t>
            </w:r>
          </w:p>
        </w:tc>
        <w:tc>
          <w:tcPr>
            <w:tcW w:w="6054" w:type="dxa"/>
            <w:noWrap/>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（1）核查并说明本次交易中市场法具体评估模型、价值比率的取值依据是否合理；</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（2）核查并说明可比对象或可比案例的选取原则、调整因素和流动性折扣的取值依据及合理性，重点核查是否存在刻意只挑选有利可比公司，回避真正具有可比性公司进行比较的情况。</w:t>
            </w:r>
          </w:p>
          <w:p>
            <w:pPr>
              <w:ind w:firstLine="480" w:firstLineChars="200"/>
              <w:rPr>
                <w:rFonts w:ascii="仿宋_GB2312" w:hAnsi="仿宋_GB2312" w:eastAsia="仿宋_GB2312" w:cs="仿宋_GB2312"/>
                <w:spacing w:val="-6"/>
                <w:sz w:val="24"/>
                <w:szCs w:val="24"/>
              </w:rPr>
            </w:pPr>
            <w:r>
              <w:rPr>
                <w:rFonts w:hint="eastAsia" w:ascii="仿宋_GB2312" w:hAnsi="仿宋_GB2312" w:eastAsia="仿宋_GB2312" w:cs="仿宋_GB2312"/>
                <w:bCs/>
                <w:sz w:val="24"/>
                <w:szCs w:val="24"/>
              </w:rPr>
              <w:t>评估师应对上述事项进行核查，并表明确核查意见。</w:t>
            </w:r>
          </w:p>
        </w:tc>
        <w:tc>
          <w:tcPr>
            <w:tcW w:w="1678" w:type="dxa"/>
            <w:noWrap/>
            <w:vAlign w:val="center"/>
          </w:tcPr>
          <w:p>
            <w:pPr>
              <w:rPr>
                <w:rFonts w:ascii="仿宋_GB2312" w:hAnsi="仿宋_GB2312" w:eastAsia="仿宋_GB2312" w:cs="仿宋_GB2312"/>
                <w:spacing w:val="-15"/>
                <w:sz w:val="24"/>
                <w:szCs w:val="24"/>
              </w:rPr>
            </w:pPr>
            <w:r>
              <w:rPr>
                <w:rFonts w:hint="eastAsia" w:ascii="仿宋_GB2312" w:hAnsi="仿宋_GB2312" w:eastAsia="仿宋_GB2312" w:cs="仿宋_GB2312"/>
                <w:bCs/>
                <w:sz w:val="24"/>
                <w:szCs w:val="24"/>
              </w:rPr>
              <w:t>《26号格式准则》第二十四条、第二十五条、《会计监管风险提示第5号——上市公司股权交易资产评估》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spacing w:val="-8"/>
                <w:sz w:val="24"/>
                <w:szCs w:val="24"/>
              </w:rPr>
            </w:pPr>
            <w:r>
              <w:rPr>
                <w:rFonts w:hint="eastAsia" w:ascii="仿宋_GB2312" w:hAnsi="仿宋_GB2312" w:eastAsia="仿宋_GB2312" w:cs="仿宋_GB2312"/>
                <w:b/>
                <w:spacing w:val="-8"/>
                <w:sz w:val="24"/>
                <w:szCs w:val="24"/>
              </w:rPr>
              <w:t>3-4</w:t>
            </w:r>
          </w:p>
        </w:tc>
        <w:tc>
          <w:tcPr>
            <w:tcW w:w="1165" w:type="dxa"/>
            <w:noWrap/>
            <w:vAlign w:val="center"/>
          </w:tcPr>
          <w:p>
            <w:pPr>
              <w:rPr>
                <w:rFonts w:ascii="仿宋_GB2312" w:hAnsi="仿宋_GB2312" w:eastAsia="仿宋_GB2312" w:cs="仿宋_GB2312"/>
                <w:b/>
                <w:spacing w:val="-4"/>
                <w:sz w:val="24"/>
                <w:szCs w:val="24"/>
              </w:rPr>
            </w:pPr>
            <w:r>
              <w:rPr>
                <w:rFonts w:hint="eastAsia" w:ascii="仿宋_GB2312" w:hAnsi="仿宋_GB2312" w:eastAsia="仿宋_GB2312" w:cs="仿宋_GB2312"/>
                <w:b/>
                <w:spacing w:val="-4"/>
                <w:sz w:val="24"/>
                <w:szCs w:val="24"/>
              </w:rPr>
              <w:t>以资</w:t>
            </w:r>
            <w:r>
              <w:rPr>
                <w:rFonts w:hint="eastAsia" w:ascii="仿宋_GB2312" w:hAnsi="仿宋_GB2312" w:eastAsia="仿宋_GB2312" w:cs="仿宋_GB2312"/>
                <w:b/>
                <w:spacing w:val="-3"/>
                <w:sz w:val="24"/>
                <w:szCs w:val="24"/>
              </w:rPr>
              <w:t>产</w:t>
            </w:r>
            <w:r>
              <w:rPr>
                <w:rFonts w:hint="eastAsia" w:ascii="仿宋_GB2312" w:hAnsi="仿宋_GB2312" w:eastAsia="仿宋_GB2312" w:cs="仿宋_GB2312"/>
                <w:b/>
                <w:spacing w:val="-2"/>
                <w:sz w:val="24"/>
                <w:szCs w:val="24"/>
              </w:rPr>
              <w:t>基础法</w:t>
            </w:r>
            <w:r>
              <w:rPr>
                <w:rFonts w:hint="eastAsia" w:ascii="仿宋_GB2312" w:hAnsi="仿宋_GB2312" w:eastAsia="仿宋_GB2312" w:cs="仿宋_GB2312"/>
                <w:b/>
                <w:spacing w:val="-4"/>
                <w:sz w:val="24"/>
                <w:szCs w:val="24"/>
              </w:rPr>
              <w:t>评估</w:t>
            </w:r>
            <w:r>
              <w:rPr>
                <w:rFonts w:hint="eastAsia" w:ascii="仿宋_GB2312" w:hAnsi="仿宋_GB2312" w:eastAsia="仿宋_GB2312" w:cs="仿宋_GB2312"/>
                <w:b/>
                <w:spacing w:val="-3"/>
                <w:sz w:val="24"/>
                <w:szCs w:val="24"/>
              </w:rPr>
              <w:t>结</w:t>
            </w:r>
            <w:r>
              <w:rPr>
                <w:rFonts w:hint="eastAsia" w:ascii="仿宋_GB2312" w:hAnsi="仿宋_GB2312" w:eastAsia="仿宋_GB2312" w:cs="仿宋_GB2312"/>
                <w:b/>
                <w:spacing w:val="-2"/>
                <w:sz w:val="24"/>
                <w:szCs w:val="24"/>
              </w:rPr>
              <w:t>果作为</w:t>
            </w:r>
            <w:r>
              <w:rPr>
                <w:rFonts w:hint="eastAsia" w:ascii="仿宋_GB2312" w:hAnsi="仿宋_GB2312" w:eastAsia="仿宋_GB2312" w:cs="仿宋_GB2312"/>
                <w:b/>
                <w:spacing w:val="-4"/>
                <w:sz w:val="24"/>
                <w:szCs w:val="24"/>
              </w:rPr>
              <w:t>定</w:t>
            </w:r>
            <w:r>
              <w:rPr>
                <w:rFonts w:hint="eastAsia" w:ascii="仿宋_GB2312" w:hAnsi="仿宋_GB2312" w:eastAsia="仿宋_GB2312" w:cs="仿宋_GB2312"/>
                <w:b/>
                <w:spacing w:val="-3"/>
                <w:sz w:val="24"/>
                <w:szCs w:val="24"/>
              </w:rPr>
              <w:t>价依据</w:t>
            </w:r>
          </w:p>
        </w:tc>
        <w:tc>
          <w:tcPr>
            <w:tcW w:w="4039" w:type="dxa"/>
            <w:noWrap/>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上市公司应当在重组报告书中披露：</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（1）以资产基础法为评估定价依据的原因及合理性；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（2）以列表形式披露标的资产各项目的账面价值与本次评估值情况，主要资产的评估或估值方法及选择理由，评估或估值结果，评估增值的原因及合理性。</w:t>
            </w:r>
          </w:p>
        </w:tc>
        <w:tc>
          <w:tcPr>
            <w:tcW w:w="6054" w:type="dxa"/>
            <w:noWrap/>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独立财务顾问应对以下事项进行核查：</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（1）拟出售资产采用资产基础法估值并作为作价依据的，资产基础法估值是否显著低于其他方法的估值结果。如是，核查采用资产基础法作为定价依据的合理性，是否符合行业惯例，交易作价是否公允；</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（2）拟购买资产以资产基础法为评估定价依据的原因及合理性；如资产基础法估值与其他方法估值结果的差异不大的，是否存在采用资产基础法估值规避业绩承诺补偿的情形；</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（3）核查标的资产各项目的账面价值与本次评估值情况，评估增值率情况，各资产评估值与账面值差异的原因及合理性，重点核查评估增值类科目的评估过程，主要评估参数的取值依据及合理性。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评估师应对上述事项进行核查，并表明确核查意见。</w:t>
            </w:r>
          </w:p>
        </w:tc>
        <w:tc>
          <w:tcPr>
            <w:tcW w:w="1678" w:type="dxa"/>
            <w:noWrap/>
            <w:vAlign w:val="center"/>
          </w:tcPr>
          <w:p>
            <w:pPr>
              <w:rPr>
                <w:rFonts w:ascii="仿宋_GB2312" w:hAnsi="仿宋_GB2312" w:eastAsia="仿宋_GB2312" w:cs="仿宋_GB2312"/>
                <w:spacing w:val="-15"/>
                <w:sz w:val="24"/>
                <w:szCs w:val="24"/>
              </w:rPr>
            </w:pPr>
            <w:r>
              <w:rPr>
                <w:rFonts w:hint="eastAsia" w:ascii="仿宋_GB2312" w:hAnsi="仿宋_GB2312" w:eastAsia="仿宋_GB2312" w:cs="仿宋_GB2312"/>
                <w:bCs/>
                <w:sz w:val="24"/>
                <w:szCs w:val="24"/>
              </w:rPr>
              <w:t>《26号格式准则》第十七条、第二十四条、第二十五条，《会计监管风险提示第5号——上市公司股权交易资产评估》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spacing w:val="-8"/>
                <w:sz w:val="24"/>
                <w:szCs w:val="24"/>
              </w:rPr>
            </w:pPr>
            <w:r>
              <w:rPr>
                <w:rFonts w:hint="eastAsia" w:ascii="仿宋_GB2312" w:hAnsi="仿宋_GB2312" w:eastAsia="仿宋_GB2312" w:cs="仿宋_GB2312"/>
                <w:b/>
                <w:spacing w:val="-8"/>
                <w:sz w:val="24"/>
                <w:szCs w:val="24"/>
              </w:rPr>
              <w:t>3-5</w:t>
            </w:r>
          </w:p>
        </w:tc>
        <w:tc>
          <w:tcPr>
            <w:tcW w:w="1165" w:type="dxa"/>
            <w:noWrap/>
            <w:vAlign w:val="center"/>
          </w:tcPr>
          <w:p>
            <w:pPr>
              <w:rPr>
                <w:rFonts w:ascii="仿宋_GB2312" w:hAnsi="仿宋_GB2312" w:eastAsia="仿宋_GB2312" w:cs="仿宋_GB2312"/>
                <w:b/>
                <w:spacing w:val="-4"/>
                <w:sz w:val="24"/>
                <w:szCs w:val="24"/>
              </w:rPr>
            </w:pPr>
            <w:r>
              <w:rPr>
                <w:rFonts w:hint="eastAsia" w:ascii="仿宋_GB2312" w:hAnsi="仿宋_GB2312" w:eastAsia="仿宋_GB2312" w:cs="仿宋_GB2312"/>
                <w:b/>
                <w:spacing w:val="-4"/>
                <w:sz w:val="24"/>
                <w:szCs w:val="24"/>
              </w:rPr>
              <w:t>交易作价</w:t>
            </w:r>
            <w:r>
              <w:rPr>
                <w:rFonts w:hint="eastAsia" w:ascii="仿宋_GB2312" w:hAnsi="仿宋_GB2312" w:eastAsia="仿宋_GB2312" w:cs="仿宋_GB2312"/>
                <w:b/>
                <w:spacing w:val="-8"/>
                <w:sz w:val="24"/>
                <w:szCs w:val="24"/>
              </w:rPr>
              <w:t>的</w:t>
            </w:r>
            <w:r>
              <w:rPr>
                <w:rFonts w:hint="eastAsia" w:ascii="仿宋_GB2312" w:hAnsi="仿宋_GB2312" w:eastAsia="仿宋_GB2312" w:cs="仿宋_GB2312"/>
                <w:b/>
                <w:spacing w:val="-5"/>
                <w:sz w:val="24"/>
                <w:szCs w:val="24"/>
              </w:rPr>
              <w:t>公允性及合理性</w:t>
            </w:r>
          </w:p>
        </w:tc>
        <w:tc>
          <w:tcPr>
            <w:tcW w:w="4039" w:type="dxa"/>
            <w:noWrap/>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上市公司应在重组报告书中披露：</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（1）以列表形式披露标的资产最近三年内评估结果、估值结果或者交易价格、交易对方，与本次重组评估或估值情况的差异原因；</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（2）结合本次交易市盈率、市净率、评估增值率等情况，对比可比交易情况，披露本次交易评估作价的合理性；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（3）如使用了两种及以上的评估或估值方法的，分析评估或估值方法的评估或估值结果的差异及其原因，最终确定评估或估值结论的理由；</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（4）资产定价过程是否经过充分的市场博弈，交易价格是否显失公允。</w:t>
            </w:r>
          </w:p>
        </w:tc>
        <w:tc>
          <w:tcPr>
            <w:tcW w:w="6054" w:type="dxa"/>
            <w:noWrap/>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（1）结合标的资产最近三年内股权转让或增资的原因和交易背景，转让或增资价格，对应的标的资产作价情况，核查并说明本次交易中评估作价与历次股权转让或增资价格的差异原因及合理性；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（2）结合本次交易市盈率、市净率、评估增值率等情况，并对比可比交易情况，核查本次交易评估作价的合理性；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（3）如采用收益法和资产基础法进行评估的，核查是否存在收益法评估结果低于资产基础法的情形。如是，核查标的资产是否存在经营性减值，对相关减值资产的减值计提情况及会计处理合规性；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（4）本次交易定价的过程及交易作价公允性、合理性。</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评估师应对上述事项进行核查，并发表明确核查意见。</w:t>
            </w:r>
          </w:p>
        </w:tc>
        <w:tc>
          <w:tcPr>
            <w:tcW w:w="1678" w:type="dxa"/>
            <w:noWrap/>
          </w:tcPr>
          <w:p>
            <w:pPr>
              <w:rPr>
                <w:rFonts w:ascii="仿宋_GB2312" w:hAnsi="仿宋_GB2312" w:eastAsia="仿宋_GB2312" w:cs="仿宋_GB2312"/>
                <w:spacing w:val="-15"/>
                <w:sz w:val="24"/>
                <w:szCs w:val="24"/>
              </w:rPr>
            </w:pPr>
            <w:r>
              <w:rPr>
                <w:rFonts w:hint="eastAsia" w:ascii="仿宋_GB2312" w:hAnsi="仿宋_GB2312" w:eastAsia="仿宋_GB2312" w:cs="仿宋_GB2312"/>
                <w:bCs/>
                <w:sz w:val="24"/>
                <w:szCs w:val="24"/>
              </w:rPr>
              <w:t>《26号格式准则》第十七条、第二十五条，《重组审核规则》第二十三条，《会计监管风险提示第5号——上市公司股权交易资产评估》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4" w:type="dxa"/>
            <w:noWrap/>
            <w:vAlign w:val="center"/>
          </w:tcPr>
          <w:p>
            <w:pPr>
              <w:jc w:val="center"/>
              <w:rPr>
                <w:rFonts w:ascii="仿宋_GB2312" w:hAnsi="仿宋_GB2312" w:eastAsia="仿宋_GB2312" w:cs="仿宋_GB2312"/>
                <w:b/>
                <w:spacing w:val="-8"/>
                <w:sz w:val="24"/>
                <w:szCs w:val="24"/>
              </w:rPr>
            </w:pPr>
            <w:r>
              <w:rPr>
                <w:rFonts w:hint="eastAsia" w:ascii="仿宋_GB2312" w:hAnsi="仿宋_GB2312" w:eastAsia="仿宋_GB2312" w:cs="仿宋_GB2312"/>
                <w:b/>
                <w:spacing w:val="-8"/>
                <w:sz w:val="24"/>
                <w:szCs w:val="24"/>
              </w:rPr>
              <w:t>3-6</w:t>
            </w:r>
          </w:p>
        </w:tc>
        <w:tc>
          <w:tcPr>
            <w:tcW w:w="1165" w:type="dxa"/>
            <w:noWrap/>
            <w:vAlign w:val="center"/>
          </w:tcPr>
          <w:p>
            <w:pPr>
              <w:rPr>
                <w:rFonts w:ascii="仿宋_GB2312" w:hAnsi="仿宋_GB2312" w:eastAsia="仿宋_GB2312" w:cs="仿宋_GB2312"/>
                <w:b/>
                <w:sz w:val="24"/>
                <w:szCs w:val="24"/>
              </w:rPr>
            </w:pPr>
            <w:r>
              <w:rPr>
                <w:rFonts w:hint="eastAsia" w:ascii="仿宋_GB2312" w:hAnsi="仿宋_GB2312" w:eastAsia="仿宋_GB2312" w:cs="仿宋_GB2312"/>
                <w:b/>
                <w:sz w:val="24"/>
                <w:szCs w:val="24"/>
              </w:rPr>
              <w:t>商誉会计处理及减值风险</w:t>
            </w:r>
          </w:p>
        </w:tc>
        <w:tc>
          <w:tcPr>
            <w:tcW w:w="4039" w:type="dxa"/>
            <w:noWrap/>
            <w:vAlign w:val="center"/>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上市公司应当在重组报告书中披露：</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（1）备考财务报表中商誉的确认依据，对标的资产可辨认无形资产及公允价值的确认情况是否符合企业会计准则的规定；</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（2）本次交易完成后上市公司商誉的金额及相当与净利润、净资产额、资产总额的比例，以及后续商誉减值的具体应对措施；</w:t>
            </w:r>
            <w:r>
              <w:rPr>
                <w:rFonts w:hint="eastAsia" w:ascii="仿宋_GB2312" w:hAnsi="仿宋_GB2312" w:eastAsia="仿宋_GB2312" w:cs="仿宋_GB2312"/>
                <w:bCs/>
                <w:sz w:val="24"/>
                <w:szCs w:val="24"/>
              </w:rPr>
              <w:tab/>
            </w:r>
          </w:p>
          <w:p>
            <w:pPr>
              <w:ind w:firstLine="480" w:firstLineChars="200"/>
              <w:rPr>
                <w:rFonts w:ascii="仿宋_GB2312" w:hAnsi="仿宋_GB2312" w:eastAsia="仿宋_GB2312" w:cs="仿宋_GB2312"/>
                <w:sz w:val="24"/>
                <w:szCs w:val="24"/>
              </w:rPr>
            </w:pPr>
            <w:r>
              <w:rPr>
                <w:rFonts w:hint="eastAsia" w:ascii="仿宋_GB2312" w:hAnsi="仿宋_GB2312" w:eastAsia="仿宋_GB2312" w:cs="仿宋_GB2312"/>
                <w:bCs/>
                <w:sz w:val="24"/>
                <w:szCs w:val="24"/>
              </w:rPr>
              <w:t>（3）如在前次交易中已确认大额商誉的，披露商誉减值测试情况，是否符合《会计监管风险提示第8号——商誉减值》的要求。</w:t>
            </w:r>
          </w:p>
        </w:tc>
        <w:tc>
          <w:tcPr>
            <w:tcW w:w="6054" w:type="dxa"/>
            <w:noWrap/>
            <w:vAlign w:val="center"/>
          </w:tcPr>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独立财务顾问应对以下事项进行核查，并在《独立财务顾问报告》中发表明确核查意见:</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（1）商誉形成过程、与商誉有关的资产或资产组的具体划分和认定、商誉增减变动情况；</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（2）商誉会计处理是否准确，相关评估是否可靠，备考财务报表中商誉的确认依据是否准确，是否已充分确认标的资产可辨认无形资产并确认其公允价值；</w:t>
            </w:r>
          </w:p>
          <w:p>
            <w:pPr>
              <w:ind w:firstLine="480" w:firstLineChars="200"/>
              <w:rPr>
                <w:rFonts w:ascii="仿宋_GB2312" w:hAnsi="仿宋_GB2312" w:eastAsia="仿宋_GB2312" w:cs="仿宋_GB2312"/>
                <w:bCs/>
                <w:sz w:val="24"/>
                <w:szCs w:val="24"/>
              </w:rPr>
            </w:pPr>
            <w:r>
              <w:rPr>
                <w:rFonts w:hint="eastAsia" w:ascii="仿宋_GB2312" w:hAnsi="仿宋_GB2312" w:eastAsia="仿宋_GB2312" w:cs="仿宋_GB2312"/>
                <w:bCs/>
                <w:sz w:val="24"/>
                <w:szCs w:val="24"/>
              </w:rPr>
              <w:t>（3）减值测试依据、相关评估的公允性和合规性（如有）、减值测试的主要方法和重要参数选择是否合规、合理，减值测试是否符合《会计监管风险提示第8号——商誉减值》的要求，如标的资产为SPV，且在前次过桥交易中已确认大额商誉的，核查标的资产是否对前次交易形成的商誉进行减值测试，减值准备计提是否充分；</w:t>
            </w:r>
            <w:r>
              <w:rPr>
                <w:rFonts w:hint="eastAsia" w:ascii="仿宋_GB2312" w:hAnsi="仿宋_GB2312" w:eastAsia="仿宋_GB2312" w:cs="仿宋_GB2312"/>
                <w:bCs/>
                <w:sz w:val="24"/>
                <w:szCs w:val="24"/>
              </w:rPr>
              <w:tab/>
            </w:r>
            <w:r>
              <w:rPr>
                <w:rFonts w:hint="eastAsia" w:ascii="仿宋_GB2312" w:hAnsi="仿宋_GB2312" w:eastAsia="仿宋_GB2312" w:cs="仿宋_GB2312"/>
                <w:bCs/>
                <w:sz w:val="24"/>
                <w:szCs w:val="24"/>
              </w:rPr>
              <w:t>（4）对商誉占比较高的风险，以及对商誉减值风险的提示是否充分。</w:t>
            </w:r>
          </w:p>
          <w:p>
            <w:pPr>
              <w:ind w:firstLine="480" w:firstLineChars="200"/>
              <w:rPr>
                <w:rFonts w:ascii="仿宋_GB2312" w:hAnsi="仿宋_GB2312" w:eastAsia="仿宋_GB2312" w:cs="仿宋_GB2312"/>
                <w:spacing w:val="-2"/>
                <w:sz w:val="24"/>
                <w:szCs w:val="24"/>
              </w:rPr>
            </w:pPr>
            <w:r>
              <w:rPr>
                <w:rFonts w:hint="eastAsia" w:ascii="仿宋_GB2312" w:hAnsi="仿宋_GB2312" w:eastAsia="仿宋_GB2312" w:cs="仿宋_GB2312"/>
                <w:bCs/>
                <w:sz w:val="24"/>
                <w:szCs w:val="24"/>
              </w:rPr>
              <w:t>会计师应对上述事项进行核查，并发表明确核查意见。</w:t>
            </w:r>
          </w:p>
        </w:tc>
        <w:tc>
          <w:tcPr>
            <w:tcW w:w="1678" w:type="dxa"/>
            <w:noWrap/>
            <w:vAlign w:val="center"/>
          </w:tcPr>
          <w:p>
            <w:pPr>
              <w:rPr>
                <w:rFonts w:ascii="仿宋_GB2312" w:hAnsi="仿宋_GB2312" w:eastAsia="仿宋_GB2312" w:cs="仿宋_GB2312"/>
                <w:sz w:val="24"/>
                <w:szCs w:val="24"/>
              </w:rPr>
            </w:pPr>
            <w:r>
              <w:rPr>
                <w:rFonts w:hint="eastAsia" w:ascii="仿宋_GB2312" w:hAnsi="仿宋_GB2312" w:eastAsia="仿宋_GB2312" w:cs="仿宋_GB2312"/>
                <w:bCs/>
                <w:sz w:val="24"/>
                <w:szCs w:val="24"/>
              </w:rPr>
              <w:t>《26号格式准则》第三十五条、《会计监管风险提示第8号——商誉减值》</w:t>
            </w:r>
          </w:p>
        </w:tc>
      </w:tr>
    </w:tbl>
    <w:p/>
    <w:tbl>
      <w:tblPr>
        <w:tblStyle w:val="10"/>
        <w:tblW w:w="14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3"/>
        <w:gridCol w:w="1201"/>
        <w:gridCol w:w="3985"/>
        <w:gridCol w:w="6074"/>
        <w:gridCol w:w="16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7" w:hRule="atLeast"/>
          <w:tblHeader/>
        </w:trPr>
        <w:tc>
          <w:tcPr>
            <w:tcW w:w="14000" w:type="dxa"/>
            <w:gridSpan w:val="5"/>
            <w:shd w:val="clear" w:color="auto" w:fill="8DB3E2"/>
            <w:noWrap/>
            <w:vAlign w:val="center"/>
          </w:tcPr>
          <w:p>
            <w:pPr>
              <w:spacing w:line="280" w:lineRule="exact"/>
              <w:jc w:val="center"/>
              <w:rPr>
                <w:rFonts w:ascii="仿宋_GB2312" w:eastAsia="仿宋_GB2312"/>
                <w:b/>
                <w:kern w:val="0"/>
                <w:sz w:val="24"/>
                <w:szCs w:val="24"/>
              </w:rPr>
            </w:pPr>
            <w:r>
              <w:rPr>
                <w:rFonts w:hint="eastAsia" w:ascii="仿宋_GB2312" w:eastAsia="仿宋_GB2312"/>
                <w:b/>
                <w:kern w:val="0"/>
                <w:sz w:val="24"/>
                <w:szCs w:val="24"/>
              </w:rPr>
              <w:t>四、关于标的资产经营情况及财务状况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063" w:type="dxa"/>
            <w:noWrap/>
            <w:vAlign w:val="center"/>
          </w:tcPr>
          <w:p>
            <w:pPr>
              <w:jc w:val="center"/>
              <w:rPr>
                <w:rFonts w:ascii="仿宋_GB2312" w:eastAsia="仿宋_GB2312"/>
                <w:b/>
                <w:kern w:val="0"/>
                <w:sz w:val="24"/>
                <w:szCs w:val="24"/>
              </w:rPr>
            </w:pPr>
            <w:r>
              <w:rPr>
                <w:rFonts w:ascii="仿宋_GB2312" w:eastAsia="仿宋_GB2312"/>
                <w:b/>
                <w:kern w:val="0"/>
                <w:sz w:val="24"/>
                <w:szCs w:val="24"/>
              </w:rPr>
              <w:t>序号</w:t>
            </w:r>
          </w:p>
        </w:tc>
        <w:tc>
          <w:tcPr>
            <w:tcW w:w="1201" w:type="dxa"/>
            <w:noWrap/>
            <w:vAlign w:val="center"/>
          </w:tcPr>
          <w:p>
            <w:pPr>
              <w:jc w:val="center"/>
              <w:rPr>
                <w:rFonts w:ascii="仿宋_GB2312" w:eastAsia="仿宋_GB2312"/>
                <w:b/>
                <w:bCs/>
                <w:kern w:val="0"/>
                <w:sz w:val="24"/>
                <w:szCs w:val="24"/>
              </w:rPr>
            </w:pPr>
            <w:r>
              <w:rPr>
                <w:rFonts w:ascii="仿宋_GB2312" w:eastAsia="仿宋_GB2312"/>
                <w:b/>
                <w:bCs/>
                <w:kern w:val="0"/>
                <w:sz w:val="24"/>
                <w:szCs w:val="24"/>
              </w:rPr>
              <w:t>问题</w:t>
            </w:r>
          </w:p>
        </w:tc>
        <w:tc>
          <w:tcPr>
            <w:tcW w:w="3985" w:type="dxa"/>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披露要求</w:t>
            </w:r>
          </w:p>
        </w:tc>
        <w:tc>
          <w:tcPr>
            <w:tcW w:w="6074" w:type="dxa"/>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核查要求</w:t>
            </w:r>
          </w:p>
        </w:tc>
        <w:tc>
          <w:tcPr>
            <w:tcW w:w="1677" w:type="dxa"/>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参考规范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2" w:hRule="atLeast"/>
        </w:trPr>
        <w:tc>
          <w:tcPr>
            <w:tcW w:w="1063" w:type="dxa"/>
            <w:tcBorders>
              <w:bottom w:val="single" w:color="000000" w:sz="4" w:space="0"/>
            </w:tcBorders>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4</w:t>
            </w:r>
            <w:r>
              <w:rPr>
                <w:rFonts w:ascii="仿宋_GB2312" w:eastAsia="仿宋_GB2312"/>
                <w:b/>
                <w:kern w:val="0"/>
                <w:sz w:val="24"/>
                <w:szCs w:val="24"/>
              </w:rPr>
              <w:t>-1</w:t>
            </w:r>
          </w:p>
        </w:tc>
        <w:tc>
          <w:tcPr>
            <w:tcW w:w="1201" w:type="dxa"/>
            <w:tcBorders>
              <w:bottom w:val="single" w:color="000000" w:sz="4" w:space="0"/>
            </w:tcBorders>
            <w:noWrap/>
            <w:vAlign w:val="center"/>
          </w:tcPr>
          <w:p>
            <w:pPr>
              <w:autoSpaceDE w:val="0"/>
              <w:autoSpaceDN w:val="0"/>
              <w:adjustRightInd w:val="0"/>
              <w:rPr>
                <w:rFonts w:ascii="仿宋_GB2312" w:eastAsia="仿宋_GB2312"/>
                <w:b/>
                <w:kern w:val="0"/>
                <w:sz w:val="24"/>
                <w:szCs w:val="24"/>
              </w:rPr>
            </w:pPr>
            <w:r>
              <w:rPr>
                <w:rFonts w:hint="eastAsia" w:ascii="仿宋_GB2312" w:eastAsia="仿宋_GB2312"/>
                <w:b/>
                <w:kern w:val="0"/>
                <w:sz w:val="24"/>
                <w:szCs w:val="24"/>
              </w:rPr>
              <w:t>行业特点及竞争格局</w:t>
            </w:r>
          </w:p>
        </w:tc>
        <w:tc>
          <w:tcPr>
            <w:tcW w:w="3985" w:type="dxa"/>
            <w:tcBorders>
              <w:bottom w:val="single" w:color="000000" w:sz="4" w:space="0"/>
            </w:tcBorders>
            <w:noWrap/>
            <w:vAlign w:val="center"/>
          </w:tcPr>
          <w:p>
            <w:pPr>
              <w:ind w:firstLine="480" w:firstLineChars="200"/>
              <w:jc w:val="left"/>
              <w:rPr>
                <w:rFonts w:ascii="仿宋_GB2312" w:hAnsi="仿宋_GB2312" w:eastAsia="仿宋_GB2312" w:cs="仿宋_GB2312"/>
                <w:bCs/>
                <w:sz w:val="24"/>
                <w:szCs w:val="24"/>
              </w:rPr>
            </w:pPr>
            <w:r>
              <w:rPr>
                <w:rFonts w:hint="eastAsia" w:ascii="仿宋_GB2312" w:hAnsi="仿宋_GB2312" w:eastAsia="仿宋_GB2312" w:cs="仿宋_GB2312"/>
                <w:bCs/>
                <w:sz w:val="24"/>
                <w:szCs w:val="24"/>
              </w:rPr>
              <w:t>上市公司应当在重组报告书中披露：</w:t>
            </w:r>
          </w:p>
          <w:p>
            <w:pPr>
              <w:numPr>
                <w:ilvl w:val="255"/>
                <w:numId w:val="0"/>
              </w:numPr>
              <w:ind w:firstLine="480" w:firstLineChars="200"/>
              <w:jc w:val="left"/>
              <w:rPr>
                <w:rFonts w:ascii="仿宋_GB2312" w:eastAsia="仿宋_GB2312"/>
                <w:kern w:val="0"/>
                <w:sz w:val="24"/>
                <w:szCs w:val="24"/>
              </w:rPr>
            </w:pPr>
            <w:r>
              <w:rPr>
                <w:rFonts w:hint="eastAsia" w:ascii="仿宋_GB2312" w:eastAsia="仿宋_GB2312"/>
                <w:kern w:val="0"/>
                <w:sz w:val="24"/>
                <w:szCs w:val="24"/>
              </w:rPr>
              <w:t>（1）拟购买资产所属行业的竞争格局和市场化程度，进入该行业的主要障碍，行业内主要企业及其市场份额，市场供求状况及变动原因，行业利润水平的变动趋势及变动原因等；</w:t>
            </w:r>
          </w:p>
          <w:p>
            <w:pPr>
              <w:numPr>
                <w:ilvl w:val="255"/>
                <w:numId w:val="0"/>
              </w:numPr>
              <w:ind w:firstLine="480" w:firstLineChars="200"/>
              <w:jc w:val="left"/>
              <w:rPr>
                <w:rFonts w:ascii="仿宋_GB2312" w:eastAsia="仿宋_GB2312"/>
                <w:kern w:val="0"/>
                <w:sz w:val="24"/>
                <w:szCs w:val="24"/>
              </w:rPr>
            </w:pPr>
            <w:r>
              <w:rPr>
                <w:rFonts w:hint="eastAsia" w:ascii="仿宋_GB2312" w:eastAsia="仿宋_GB2312"/>
                <w:kern w:val="0"/>
                <w:sz w:val="24"/>
                <w:szCs w:val="24"/>
              </w:rPr>
              <w:t>（2）影响行业发展的有利和不利因素，行业周期性，以及区域性或季节性特征；</w:t>
            </w:r>
          </w:p>
          <w:p>
            <w:pPr>
              <w:numPr>
                <w:ilvl w:val="255"/>
                <w:numId w:val="0"/>
              </w:numPr>
              <w:ind w:firstLine="480" w:firstLineChars="200"/>
              <w:jc w:val="left"/>
              <w:rPr>
                <w:rFonts w:ascii="仿宋_GB2312" w:eastAsia="仿宋_GB2312"/>
                <w:kern w:val="0"/>
                <w:sz w:val="24"/>
                <w:szCs w:val="24"/>
              </w:rPr>
            </w:pPr>
            <w:r>
              <w:rPr>
                <w:rFonts w:hint="eastAsia" w:ascii="仿宋_GB2312" w:eastAsia="仿宋_GB2312"/>
                <w:kern w:val="0"/>
                <w:sz w:val="24"/>
                <w:szCs w:val="24"/>
              </w:rPr>
              <w:t>（3）行业技术水平及技术特点，经营模式，以及行业在技术、产业、业态、模式等方面的创新情况及发展趋势等；</w:t>
            </w:r>
          </w:p>
          <w:p>
            <w:pPr>
              <w:numPr>
                <w:ilvl w:val="255"/>
                <w:numId w:val="0"/>
              </w:numPr>
              <w:ind w:firstLine="480" w:firstLineChars="200"/>
              <w:jc w:val="left"/>
              <w:rPr>
                <w:rFonts w:ascii="仿宋_GB2312" w:eastAsia="仿宋_GB2312"/>
                <w:kern w:val="0"/>
                <w:sz w:val="24"/>
                <w:szCs w:val="24"/>
              </w:rPr>
            </w:pPr>
            <w:r>
              <w:rPr>
                <w:rFonts w:hint="eastAsia" w:ascii="仿宋_GB2312" w:eastAsia="仿宋_GB2312"/>
                <w:kern w:val="0"/>
                <w:sz w:val="24"/>
                <w:szCs w:val="24"/>
              </w:rPr>
              <w:t>（4）所处行业与上下游行业之间的关联性，上下游行业发展状况对该行业及其发展前景的有利和不利影响；</w:t>
            </w:r>
          </w:p>
          <w:p>
            <w:pPr>
              <w:numPr>
                <w:ilvl w:val="255"/>
                <w:numId w:val="0"/>
              </w:numPr>
              <w:ind w:firstLine="480" w:firstLineChars="200"/>
              <w:jc w:val="left"/>
              <w:rPr>
                <w:rFonts w:ascii="仿宋_GB2312" w:eastAsia="仿宋_GB2312"/>
                <w:bCs/>
                <w:kern w:val="0"/>
                <w:sz w:val="24"/>
                <w:szCs w:val="24"/>
              </w:rPr>
            </w:pPr>
            <w:r>
              <w:rPr>
                <w:rFonts w:hint="eastAsia" w:ascii="仿宋_GB2312" w:eastAsia="仿宋_GB2312"/>
                <w:kern w:val="0"/>
                <w:sz w:val="24"/>
                <w:szCs w:val="24"/>
              </w:rPr>
              <w:t>（5）拟购买资产的核心竞争力及行业地位</w:t>
            </w:r>
            <w:r>
              <w:rPr>
                <w:rFonts w:hint="eastAsia" w:ascii="仿宋_GB2312" w:eastAsia="仿宋_GB2312"/>
                <w:bCs/>
                <w:kern w:val="0"/>
                <w:sz w:val="24"/>
                <w:szCs w:val="24"/>
              </w:rPr>
              <w:t>。</w:t>
            </w:r>
          </w:p>
        </w:tc>
        <w:tc>
          <w:tcPr>
            <w:tcW w:w="6074" w:type="dxa"/>
            <w:tcBorders>
              <w:bottom w:val="single" w:color="000000" w:sz="4" w:space="0"/>
            </w:tcBorders>
            <w:noWrap/>
            <w:vAlign w:val="center"/>
          </w:tcPr>
          <w:p>
            <w:pPr>
              <w:ind w:firstLine="480" w:firstLineChars="200"/>
              <w:jc w:val="left"/>
              <w:rPr>
                <w:rFonts w:ascii="仿宋_GB2312" w:eastAsia="仿宋_GB2312"/>
                <w:kern w:val="0"/>
                <w:sz w:val="24"/>
                <w:szCs w:val="24"/>
              </w:rPr>
            </w:pPr>
            <w:r>
              <w:rPr>
                <w:rFonts w:hint="eastAsia" w:ascii="仿宋_GB2312" w:eastAsia="仿宋_GB2312"/>
                <w:kern w:val="0"/>
                <w:sz w:val="24"/>
                <w:szCs w:val="24"/>
              </w:rPr>
              <w:t xml:space="preserve">独立财务顾问应当对以下事项进行核查，并在《独立财务顾问报告》中发表明确核查意见：                                 </w:t>
            </w:r>
            <w:r>
              <w:rPr>
                <w:rFonts w:hint="eastAsia" w:ascii="仿宋_GB2312" w:eastAsia="仿宋_GB2312"/>
                <w:kern w:val="0"/>
                <w:sz w:val="24"/>
                <w:szCs w:val="24"/>
              </w:rPr>
              <w:tab/>
            </w:r>
            <w:r>
              <w:rPr>
                <w:rFonts w:hint="eastAsia" w:ascii="仿宋_GB2312" w:eastAsia="仿宋_GB2312"/>
                <w:kern w:val="0"/>
                <w:sz w:val="24"/>
                <w:szCs w:val="24"/>
              </w:rPr>
              <w:t>（1）拟购买资产所属行业选取的合理性，相关产业政策、国际贸易政策等对行业发展的影响；</w:t>
            </w:r>
          </w:p>
          <w:p>
            <w:pPr>
              <w:ind w:firstLine="480" w:firstLineChars="200"/>
              <w:jc w:val="left"/>
              <w:rPr>
                <w:rFonts w:ascii="仿宋_GB2312" w:eastAsia="仿宋_GB2312"/>
                <w:kern w:val="0"/>
                <w:sz w:val="24"/>
                <w:szCs w:val="24"/>
              </w:rPr>
            </w:pPr>
            <w:r>
              <w:rPr>
                <w:rFonts w:hint="eastAsia" w:ascii="仿宋_GB2312" w:eastAsia="仿宋_GB2312"/>
                <w:kern w:val="0"/>
                <w:sz w:val="24"/>
                <w:szCs w:val="24"/>
              </w:rPr>
              <w:t>（2）同行业可比公司的选取是否客观、全面、准确，是否具有可比性，前后是否一致；</w:t>
            </w:r>
          </w:p>
          <w:p>
            <w:pPr>
              <w:ind w:firstLine="480" w:firstLineChars="200"/>
              <w:jc w:val="left"/>
              <w:rPr>
                <w:rFonts w:ascii="仿宋_GB2312" w:eastAsia="仿宋_GB2312"/>
                <w:kern w:val="0"/>
                <w:sz w:val="24"/>
                <w:szCs w:val="24"/>
              </w:rPr>
            </w:pPr>
            <w:r>
              <w:rPr>
                <w:rFonts w:hint="eastAsia" w:ascii="仿宋_GB2312" w:eastAsia="仿宋_GB2312"/>
                <w:kern w:val="0"/>
                <w:sz w:val="24"/>
                <w:szCs w:val="24"/>
              </w:rPr>
              <w:t>（3）是否引用第三方数据，所引用数据的真实性及权威性。</w:t>
            </w:r>
          </w:p>
        </w:tc>
        <w:tc>
          <w:tcPr>
            <w:tcW w:w="1677" w:type="dxa"/>
            <w:tcBorders>
              <w:bottom w:val="single" w:color="000000" w:sz="4" w:space="0"/>
            </w:tcBorders>
            <w:noWrap/>
          </w:tcPr>
          <w:p>
            <w:pPr>
              <w:jc w:val="left"/>
              <w:rPr>
                <w:rFonts w:ascii="仿宋_GB2312" w:eastAsia="仿宋_GB2312"/>
                <w:kern w:val="0"/>
                <w:sz w:val="24"/>
                <w:szCs w:val="24"/>
              </w:rPr>
            </w:pPr>
            <w:r>
              <w:rPr>
                <w:rFonts w:hint="eastAsia" w:ascii="仿宋_GB2312" w:hAnsi="仿宋_GB2312" w:eastAsia="仿宋_GB2312" w:cs="仿宋_GB2312"/>
                <w:bCs/>
                <w:sz w:val="24"/>
                <w:szCs w:val="24"/>
              </w:rPr>
              <w:t>《26号格式准则》第三十三条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2" w:hRule="atLeast"/>
        </w:trPr>
        <w:tc>
          <w:tcPr>
            <w:tcW w:w="1063" w:type="dxa"/>
            <w:tcBorders>
              <w:bottom w:val="single" w:color="000000" w:sz="4" w:space="0"/>
            </w:tcBorders>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4-</w:t>
            </w:r>
            <w:r>
              <w:rPr>
                <w:rFonts w:ascii="仿宋_GB2312" w:eastAsia="仿宋_GB2312"/>
                <w:b/>
                <w:kern w:val="0"/>
                <w:sz w:val="24"/>
                <w:szCs w:val="24"/>
              </w:rPr>
              <w:t>2</w:t>
            </w:r>
          </w:p>
        </w:tc>
        <w:tc>
          <w:tcPr>
            <w:tcW w:w="1201" w:type="dxa"/>
            <w:tcBorders>
              <w:bottom w:val="single" w:color="000000" w:sz="4" w:space="0"/>
            </w:tcBorders>
            <w:noWrap/>
            <w:vAlign w:val="center"/>
          </w:tcPr>
          <w:p>
            <w:pPr>
              <w:rPr>
                <w:rFonts w:ascii="仿宋_GB2312" w:eastAsia="仿宋_GB2312"/>
                <w:b/>
                <w:bCs/>
                <w:sz w:val="24"/>
                <w:szCs w:val="24"/>
              </w:rPr>
            </w:pPr>
            <w:r>
              <w:rPr>
                <w:rFonts w:hint="eastAsia" w:ascii="仿宋_GB2312" w:eastAsia="仿宋_GB2312"/>
                <w:b/>
                <w:bCs/>
                <w:sz w:val="24"/>
                <w:szCs w:val="24"/>
              </w:rPr>
              <w:t>主要客户和供应商</w:t>
            </w:r>
          </w:p>
        </w:tc>
        <w:tc>
          <w:tcPr>
            <w:tcW w:w="3985" w:type="dxa"/>
            <w:tcBorders>
              <w:bottom w:val="single" w:color="000000" w:sz="4" w:space="0"/>
            </w:tcBorders>
            <w:noWrap/>
            <w:vAlign w:val="center"/>
          </w:tcPr>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上市公司应当在重组报告书中披露：</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（1）拟购买资产报告期各期主要产品（或服务）的产能、产量、期初及期末库存、销量、销售收入，产品（或服务）的主要消费群体、销售价格的变动情况；</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（2）存在多种销售模式的，应披露各种销售模式的销售额及占当期销售总额的比重；</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3）报告期各期标的资产向前五名客户合计的销售额占当期销售总额的百分比，向单个客户的销售比例超过总额的百分之五十或严重依赖于少数客户的，应当披露其名称及销售比例。如该客户为交易对方及其关联方，则应当披露产品最终实现销售的情况；</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（4）标的资产报告期内主要产品的原材料和</w:t>
            </w:r>
            <w:r>
              <w:rPr>
                <w:rFonts w:hint="eastAsia" w:ascii="仿宋_GB2312" w:hAnsi="仿宋" w:eastAsia="仿宋_GB2312"/>
                <w:color w:val="000000" w:themeColor="text1"/>
                <w:sz w:val="24"/>
                <w:szCs w:val="24"/>
              </w:rPr>
              <w:t>能源及其供应情况、价格变动趋势、占成本的比重。报告期各期向前五名供应商合计的采购额占当期采购总额的百分比，向单个供应商的采购比例超过总额的百分之五十或严重依赖于少数供应商的，应当披露其名称及采购比例；</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（5）拟购买资产报告期内董事、监事、高级管理人员和核心技术人员，其他主要关联方或持股百分之五以上股份的股东在前五名供应商或客户中所占的权益（如有）。</w:t>
            </w:r>
          </w:p>
        </w:tc>
        <w:tc>
          <w:tcPr>
            <w:tcW w:w="6074" w:type="dxa"/>
            <w:tcBorders>
              <w:bottom w:val="single" w:color="000000" w:sz="4" w:space="0"/>
            </w:tcBorders>
            <w:noWrap/>
            <w:vAlign w:val="center"/>
          </w:tcPr>
          <w:p>
            <w:pPr>
              <w:ind w:firstLine="480" w:firstLineChars="200"/>
              <w:jc w:val="left"/>
              <w:rPr>
                <w:rFonts w:ascii="仿宋_GB2312" w:hAnsi="仿宋" w:eastAsia="仿宋_GB2312"/>
                <w:sz w:val="24"/>
                <w:szCs w:val="24"/>
              </w:rPr>
            </w:pPr>
            <w:r>
              <w:rPr>
                <w:rFonts w:hint="eastAsia" w:ascii="仿宋_GB2312" w:hAnsi="仿宋" w:eastAsia="仿宋_GB2312"/>
                <w:sz w:val="24"/>
                <w:szCs w:val="24"/>
              </w:rPr>
              <w:t>独立财务顾问应当对以下事项进行核查，并在《独立财务顾问报告》中发表明确核查意见：</w:t>
            </w:r>
          </w:p>
          <w:p>
            <w:pPr>
              <w:ind w:firstLine="480" w:firstLineChars="200"/>
              <w:jc w:val="left"/>
              <w:rPr>
                <w:rFonts w:ascii="仿宋_GB2312" w:hAnsi="仿宋" w:eastAsia="仿宋_GB2312"/>
                <w:sz w:val="24"/>
                <w:szCs w:val="24"/>
              </w:rPr>
            </w:pPr>
            <w:r>
              <w:rPr>
                <w:rFonts w:hint="eastAsia" w:ascii="仿宋_GB2312" w:hAnsi="仿宋" w:eastAsia="仿宋_GB2312"/>
                <w:sz w:val="24"/>
                <w:szCs w:val="24"/>
              </w:rPr>
              <w:t>（1）核查拟购买资产与主要客户、供应商的交易内容、交易金额及占比情况，交易定价的公允性，与标的资产业务规模的匹配性；</w:t>
            </w:r>
          </w:p>
          <w:p>
            <w:pPr>
              <w:ind w:firstLine="480" w:firstLineChars="200"/>
              <w:jc w:val="left"/>
              <w:rPr>
                <w:rFonts w:ascii="仿宋_GB2312" w:hAnsi="仿宋" w:eastAsia="仿宋_GB2312"/>
                <w:sz w:val="24"/>
                <w:szCs w:val="24"/>
              </w:rPr>
            </w:pPr>
            <w:r>
              <w:rPr>
                <w:rFonts w:hint="eastAsia" w:ascii="仿宋_GB2312" w:hAnsi="仿宋" w:eastAsia="仿宋_GB2312"/>
                <w:sz w:val="24"/>
                <w:szCs w:val="24"/>
              </w:rPr>
              <w:t>（2）拟购买资产及其控股股东、实际控制人、董监高及其他核心人员与主要客户、供应商是否存在关联关系；</w:t>
            </w:r>
          </w:p>
          <w:p>
            <w:pPr>
              <w:ind w:firstLine="480" w:firstLineChars="200"/>
              <w:jc w:val="left"/>
              <w:rPr>
                <w:rFonts w:ascii="仿宋_GB2312" w:hAnsi="仿宋" w:eastAsia="仿宋_GB2312"/>
                <w:sz w:val="24"/>
                <w:szCs w:val="24"/>
              </w:rPr>
            </w:pPr>
            <w:r>
              <w:rPr>
                <w:rFonts w:hint="eastAsia" w:ascii="仿宋_GB2312" w:hAnsi="仿宋" w:eastAsia="仿宋_GB2312"/>
                <w:sz w:val="24"/>
                <w:szCs w:val="24"/>
              </w:rPr>
              <w:t>（3）拟购买资产客户或供应商集中度较高的，核查相关情况的合理性，是否符合行业特征、与同行业可比公司的对比情况，业务的稳定性和可持续性，集中度较高是否对标的资产持续经营能力构成重大不利影响；</w:t>
            </w:r>
          </w:p>
          <w:p>
            <w:pPr>
              <w:ind w:firstLine="480" w:firstLineChars="200"/>
              <w:jc w:val="left"/>
              <w:rPr>
                <w:rFonts w:ascii="仿宋_GB2312" w:hAnsi="仿宋" w:eastAsia="仿宋_GB2312"/>
                <w:sz w:val="24"/>
                <w:szCs w:val="24"/>
              </w:rPr>
            </w:pPr>
            <w:r>
              <w:rPr>
                <w:rFonts w:hint="eastAsia" w:ascii="仿宋_GB2312" w:hAnsi="仿宋" w:eastAsia="仿宋_GB2312"/>
                <w:sz w:val="24"/>
                <w:szCs w:val="24"/>
              </w:rPr>
              <w:t>（4）涉及新增客户或供应商的，且金额较大的，核查基本情况、新增交易的原因及可持续性；涉及成立时间较短的客户或供应商，核查合作背景、原因及合理性。</w:t>
            </w:r>
          </w:p>
          <w:p>
            <w:pPr>
              <w:ind w:firstLine="480" w:firstLineChars="200"/>
              <w:jc w:val="left"/>
              <w:rPr>
                <w:rFonts w:ascii="仿宋" w:hAnsi="仿宋" w:eastAsia="仿宋" w:cs="仿宋"/>
                <w:spacing w:val="-16"/>
                <w:sz w:val="24"/>
                <w:szCs w:val="24"/>
              </w:rPr>
            </w:pPr>
            <w:r>
              <w:rPr>
                <w:rFonts w:hint="eastAsia" w:ascii="仿宋_GB2312" w:hAnsi="仿宋_GB2312" w:eastAsia="仿宋_GB2312" w:cs="仿宋_GB2312"/>
                <w:bCs/>
                <w:sz w:val="24"/>
                <w:szCs w:val="24"/>
              </w:rPr>
              <w:t>会计师应对上述事项进行核查，并发表明确核查意见。</w:t>
            </w:r>
          </w:p>
        </w:tc>
        <w:tc>
          <w:tcPr>
            <w:tcW w:w="1677" w:type="dxa"/>
            <w:tcBorders>
              <w:bottom w:val="single" w:color="000000" w:sz="4" w:space="0"/>
            </w:tcBorders>
            <w:noWrap/>
          </w:tcPr>
          <w:p>
            <w:pPr>
              <w:rPr>
                <w:rFonts w:ascii="仿宋_GB2312" w:eastAsia="仿宋_GB2312"/>
                <w:sz w:val="24"/>
                <w:szCs w:val="24"/>
              </w:rPr>
            </w:pPr>
            <w:r>
              <w:rPr>
                <w:rFonts w:hint="eastAsia" w:ascii="仿宋_GB2312" w:hAnsi="仿宋_GB2312" w:eastAsia="仿宋_GB2312" w:cs="仿宋_GB2312"/>
                <w:bCs/>
                <w:sz w:val="24"/>
                <w:szCs w:val="24"/>
              </w:rPr>
              <w:t>《26号格式准则》第二十一条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2" w:hRule="atLeast"/>
        </w:trPr>
        <w:tc>
          <w:tcPr>
            <w:tcW w:w="1063" w:type="dxa"/>
            <w:tcBorders>
              <w:bottom w:val="single" w:color="000000" w:sz="4" w:space="0"/>
            </w:tcBorders>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4-3</w:t>
            </w:r>
          </w:p>
        </w:tc>
        <w:tc>
          <w:tcPr>
            <w:tcW w:w="1201" w:type="dxa"/>
            <w:tcBorders>
              <w:bottom w:val="single" w:color="000000" w:sz="4" w:space="0"/>
            </w:tcBorders>
            <w:noWrap/>
            <w:vAlign w:val="center"/>
          </w:tcPr>
          <w:p>
            <w:pPr>
              <w:rPr>
                <w:rFonts w:ascii="仿宋_GB2312" w:eastAsia="仿宋_GB2312"/>
                <w:b/>
                <w:sz w:val="24"/>
                <w:szCs w:val="24"/>
              </w:rPr>
            </w:pPr>
            <w:r>
              <w:rPr>
                <w:rFonts w:hint="eastAsia" w:ascii="仿宋_GB2312" w:eastAsia="仿宋_GB2312"/>
                <w:b/>
                <w:sz w:val="24"/>
                <w:szCs w:val="24"/>
              </w:rPr>
              <w:t>财务状况</w:t>
            </w:r>
          </w:p>
        </w:tc>
        <w:tc>
          <w:tcPr>
            <w:tcW w:w="3985" w:type="dxa"/>
            <w:tcBorders>
              <w:bottom w:val="single" w:color="000000" w:sz="4" w:space="0"/>
            </w:tcBorders>
            <w:noWrap/>
            <w:vAlign w:val="center"/>
          </w:tcPr>
          <w:p>
            <w:pPr>
              <w:ind w:firstLine="480" w:firstLineChars="200"/>
              <w:jc w:val="left"/>
              <w:rPr>
                <w:rFonts w:ascii="仿宋_GB2312" w:hAnsi="仿宋" w:eastAsia="仿宋_GB2312"/>
                <w:sz w:val="24"/>
                <w:szCs w:val="24"/>
              </w:rPr>
            </w:pPr>
            <w:r>
              <w:rPr>
                <w:rFonts w:hint="eastAsia" w:ascii="仿宋_GB2312" w:hAnsi="仿宋" w:eastAsia="仿宋_GB2312"/>
                <w:sz w:val="24"/>
                <w:szCs w:val="24"/>
              </w:rPr>
              <w:t>上市公司应当在重组报告书中披露：</w:t>
            </w:r>
          </w:p>
          <w:p>
            <w:pPr>
              <w:numPr>
                <w:ilvl w:val="0"/>
                <w:numId w:val="1"/>
              </w:numPr>
              <w:ind w:firstLine="480" w:firstLineChars="200"/>
              <w:jc w:val="left"/>
              <w:rPr>
                <w:rFonts w:ascii="仿宋_GB2312" w:hAnsi="仿宋" w:eastAsia="仿宋_GB2312"/>
                <w:sz w:val="24"/>
                <w:szCs w:val="24"/>
              </w:rPr>
            </w:pPr>
            <w:r>
              <w:rPr>
                <w:rFonts w:hint="eastAsia" w:ascii="仿宋_GB2312" w:hAnsi="仿宋" w:eastAsia="仿宋_GB2312"/>
                <w:sz w:val="24"/>
                <w:szCs w:val="24"/>
              </w:rPr>
              <w:t>资产、负债的主要构成及分析。对于重要资产类项目，分析其变动原因以及与拟购买资产业务的匹配性，对于应收账款、存货、固定资产以及商誉等项目，充分论证其减值损失计提的充分性；</w:t>
            </w:r>
          </w:p>
          <w:p>
            <w:pPr>
              <w:numPr>
                <w:ilvl w:val="0"/>
                <w:numId w:val="1"/>
              </w:numPr>
              <w:ind w:firstLine="480" w:firstLineChars="200"/>
              <w:jc w:val="left"/>
              <w:rPr>
                <w:rFonts w:ascii="仿宋_GB2312" w:hAnsi="仿宋" w:eastAsia="仿宋_GB2312"/>
                <w:sz w:val="24"/>
                <w:szCs w:val="24"/>
              </w:rPr>
            </w:pPr>
            <w:r>
              <w:rPr>
                <w:rFonts w:ascii="仿宋_GB2312" w:hAnsi="仿宋" w:eastAsia="仿宋_GB2312"/>
                <w:sz w:val="24"/>
                <w:szCs w:val="24"/>
              </w:rPr>
              <w:t>报告期流动比率、速动比率、资产负债率、利息保障倍数的变动趋势以及与同行业可比公司的对比情况。</w:t>
            </w:r>
            <w:r>
              <w:rPr>
                <w:rFonts w:hint="eastAsia" w:ascii="仿宋_GB2312" w:hAnsi="仿宋" w:eastAsia="仿宋_GB2312"/>
                <w:sz w:val="24"/>
                <w:szCs w:val="24"/>
              </w:rPr>
              <w:t>拟购买资产</w:t>
            </w:r>
            <w:r>
              <w:rPr>
                <w:rFonts w:ascii="仿宋_GB2312" w:hAnsi="仿宋" w:eastAsia="仿宋_GB2312"/>
                <w:sz w:val="24"/>
                <w:szCs w:val="24"/>
              </w:rPr>
              <w:t>报告期经营活动产生的现金流量净额为负数或者远低于当期净利润的，分析</w:t>
            </w:r>
            <w:r>
              <w:rPr>
                <w:rFonts w:hint="eastAsia" w:ascii="仿宋_GB2312" w:hAnsi="仿宋" w:eastAsia="仿宋_GB2312"/>
                <w:sz w:val="24"/>
                <w:szCs w:val="24"/>
              </w:rPr>
              <w:t>相关</w:t>
            </w:r>
            <w:r>
              <w:rPr>
                <w:rFonts w:ascii="仿宋_GB2312" w:hAnsi="仿宋" w:eastAsia="仿宋_GB2312"/>
                <w:sz w:val="24"/>
                <w:szCs w:val="24"/>
              </w:rPr>
              <w:t>原因</w:t>
            </w:r>
            <w:r>
              <w:rPr>
                <w:rFonts w:hint="eastAsia" w:ascii="仿宋_GB2312" w:hAnsi="仿宋" w:eastAsia="仿宋_GB2312"/>
                <w:sz w:val="24"/>
                <w:szCs w:val="24"/>
              </w:rPr>
              <w:t>；</w:t>
            </w:r>
          </w:p>
          <w:p>
            <w:pPr>
              <w:numPr>
                <w:ilvl w:val="0"/>
                <w:numId w:val="1"/>
              </w:numPr>
              <w:ind w:firstLine="480" w:firstLineChars="200"/>
              <w:jc w:val="left"/>
              <w:rPr>
                <w:rFonts w:ascii="仿宋_GB2312" w:hAnsi="仿宋" w:eastAsia="仿宋_GB2312"/>
                <w:sz w:val="24"/>
                <w:szCs w:val="24"/>
              </w:rPr>
            </w:pPr>
            <w:r>
              <w:rPr>
                <w:rFonts w:ascii="仿宋_GB2312" w:hAnsi="仿宋" w:eastAsia="仿宋_GB2312"/>
                <w:sz w:val="24"/>
                <w:szCs w:val="24"/>
              </w:rPr>
              <w:t>报告期应收账款周转率、存货周转率等反映资产周转能力的财务指标的变动趋势，并结合生产模式、销售模式及赊销政策等情况，分析</w:t>
            </w:r>
            <w:r>
              <w:rPr>
                <w:rFonts w:hint="eastAsia" w:ascii="仿宋_GB2312" w:hAnsi="仿宋" w:eastAsia="仿宋_GB2312"/>
                <w:sz w:val="24"/>
                <w:szCs w:val="24"/>
              </w:rPr>
              <w:t>拟购买</w:t>
            </w:r>
            <w:r>
              <w:rPr>
                <w:rFonts w:ascii="仿宋_GB2312" w:hAnsi="仿宋" w:eastAsia="仿宋_GB2312"/>
                <w:sz w:val="24"/>
                <w:szCs w:val="24"/>
              </w:rPr>
              <w:t>资产</w:t>
            </w:r>
            <w:r>
              <w:rPr>
                <w:rFonts w:hint="eastAsia" w:ascii="仿宋_GB2312" w:hAnsi="仿宋" w:eastAsia="仿宋_GB2312"/>
                <w:sz w:val="24"/>
                <w:szCs w:val="24"/>
              </w:rPr>
              <w:t>的</w:t>
            </w:r>
            <w:r>
              <w:rPr>
                <w:rFonts w:ascii="仿宋_GB2312" w:hAnsi="仿宋" w:eastAsia="仿宋_GB2312"/>
                <w:sz w:val="24"/>
                <w:szCs w:val="24"/>
              </w:rPr>
              <w:t>周转能力</w:t>
            </w:r>
            <w:r>
              <w:rPr>
                <w:rFonts w:hint="eastAsia" w:ascii="仿宋_GB2312" w:hAnsi="仿宋" w:eastAsia="仿宋_GB2312"/>
                <w:sz w:val="24"/>
                <w:szCs w:val="24"/>
              </w:rPr>
              <w:t>；</w:t>
            </w:r>
          </w:p>
          <w:p>
            <w:pPr>
              <w:numPr>
                <w:ilvl w:val="0"/>
                <w:numId w:val="1"/>
              </w:numPr>
              <w:ind w:firstLine="480" w:firstLineChars="200"/>
              <w:jc w:val="left"/>
              <w:rPr>
                <w:rFonts w:ascii="仿宋_GB2312" w:hAnsi="仿宋" w:eastAsia="仿宋_GB2312"/>
                <w:sz w:val="24"/>
                <w:szCs w:val="24"/>
              </w:rPr>
            </w:pPr>
            <w:r>
              <w:rPr>
                <w:rFonts w:hint="eastAsia" w:ascii="仿宋_GB2312" w:hAnsi="仿宋_GB2312" w:eastAsia="仿宋_GB2312" w:cs="仿宋_GB2312"/>
                <w:bCs/>
                <w:sz w:val="24"/>
                <w:szCs w:val="24"/>
              </w:rPr>
              <w:t>最近一期末持有金额较大的财务性投资的，分析其对拟购买资产资金安排的影响、投资期限、拟购买资产对投资的监管方案、投资的可回收性及对生产经营的影响。</w:t>
            </w:r>
          </w:p>
        </w:tc>
        <w:tc>
          <w:tcPr>
            <w:tcW w:w="6074" w:type="dxa"/>
            <w:tcBorders>
              <w:bottom w:val="single" w:color="000000" w:sz="4" w:space="0"/>
            </w:tcBorders>
            <w:noWrap/>
          </w:tcPr>
          <w:p>
            <w:pPr>
              <w:ind w:firstLine="480" w:firstLineChars="200"/>
              <w:rPr>
                <w:rFonts w:ascii="仿宋_GB2312" w:eastAsia="仿宋_GB2312"/>
                <w:kern w:val="0"/>
                <w:sz w:val="24"/>
                <w:szCs w:val="24"/>
              </w:rPr>
            </w:pPr>
            <w:r>
              <w:rPr>
                <w:rFonts w:hint="eastAsia" w:ascii="仿宋_GB2312" w:eastAsia="仿宋_GB2312"/>
                <w:kern w:val="0"/>
                <w:sz w:val="24"/>
                <w:szCs w:val="24"/>
              </w:rPr>
              <w:t>独立财务顾问应当对以下事项进行核查，并在《独立财务顾问报告》中发表明确核查意见：</w:t>
            </w:r>
          </w:p>
          <w:p>
            <w:pPr>
              <w:ind w:firstLine="480" w:firstLineChars="200"/>
              <w:rPr>
                <w:rFonts w:ascii="仿宋_GB2312" w:eastAsia="仿宋_GB2312"/>
                <w:kern w:val="0"/>
                <w:sz w:val="24"/>
                <w:szCs w:val="24"/>
              </w:rPr>
            </w:pPr>
            <w:r>
              <w:rPr>
                <w:rFonts w:hint="eastAsia" w:ascii="仿宋_GB2312" w:hAnsi="仿宋" w:eastAsia="仿宋_GB2312"/>
                <w:sz w:val="24"/>
                <w:szCs w:val="24"/>
              </w:rPr>
              <w:t>（1）结合拟购买资产的行业特点、规模特征、销售模式等，核查标的资产财务状况的真实性、与业务模式的匹配性；</w:t>
            </w:r>
          </w:p>
          <w:p>
            <w:pPr>
              <w:ind w:firstLine="480" w:firstLineChars="200"/>
              <w:rPr>
                <w:rFonts w:ascii="仿宋_GB2312" w:hAnsi="仿宋" w:eastAsia="仿宋_GB2312"/>
                <w:sz w:val="24"/>
                <w:szCs w:val="24"/>
              </w:rPr>
            </w:pPr>
            <w:r>
              <w:rPr>
                <w:rFonts w:hint="eastAsia" w:ascii="仿宋_GB2312" w:eastAsia="仿宋_GB2312"/>
                <w:kern w:val="0"/>
                <w:sz w:val="24"/>
                <w:szCs w:val="24"/>
              </w:rPr>
              <w:t>（2）核查拟购买资产应收款项坏账准备，存货跌价准备，固定资产、无形资产减值准备计提的充分性</w:t>
            </w:r>
            <w:r>
              <w:rPr>
                <w:rFonts w:hint="eastAsia" w:ascii="仿宋_GB2312" w:hAnsi="仿宋" w:eastAsia="仿宋_GB2312"/>
                <w:sz w:val="24"/>
                <w:szCs w:val="24"/>
              </w:rPr>
              <w:t>；</w:t>
            </w:r>
          </w:p>
          <w:p>
            <w:pPr>
              <w:ind w:firstLine="480" w:firstLineChars="200"/>
              <w:rPr>
                <w:rFonts w:ascii="仿宋_GB2312" w:hAnsi="仿宋" w:eastAsia="仿宋_GB2312"/>
                <w:sz w:val="24"/>
                <w:szCs w:val="24"/>
              </w:rPr>
            </w:pPr>
            <w:r>
              <w:rPr>
                <w:rFonts w:hint="eastAsia" w:ascii="仿宋_GB2312" w:hAnsi="仿宋" w:eastAsia="仿宋_GB2312"/>
                <w:sz w:val="24"/>
                <w:szCs w:val="24"/>
              </w:rPr>
              <w:t>（3）核查拟购买资产财务性投资的具体情况、可回收性以及对生产经营的影响。</w:t>
            </w:r>
          </w:p>
          <w:p>
            <w:pPr>
              <w:ind w:firstLine="480" w:firstLineChars="200"/>
              <w:rPr>
                <w:rFonts w:ascii="仿宋_GB2312" w:eastAsia="仿宋_GB2312"/>
                <w:kern w:val="0"/>
                <w:sz w:val="24"/>
                <w:szCs w:val="24"/>
              </w:rPr>
            </w:pPr>
            <w:r>
              <w:rPr>
                <w:rFonts w:hint="eastAsia" w:ascii="仿宋_GB2312" w:hAnsi="仿宋" w:eastAsia="仿宋_GB2312"/>
                <w:sz w:val="24"/>
                <w:szCs w:val="24"/>
              </w:rPr>
              <w:t>会计师应对上述事项进行核查，并发表明确核查意见。</w:t>
            </w:r>
          </w:p>
        </w:tc>
        <w:tc>
          <w:tcPr>
            <w:tcW w:w="1677" w:type="dxa"/>
            <w:tcBorders>
              <w:bottom w:val="single" w:color="000000" w:sz="4" w:space="0"/>
            </w:tcBorders>
            <w:noWrap/>
          </w:tcPr>
          <w:p>
            <w:pPr>
              <w:jc w:val="left"/>
              <w:rPr>
                <w:rFonts w:ascii="仿宋_GB2312" w:hAnsi="仿宋" w:eastAsia="仿宋_GB2312"/>
                <w:sz w:val="24"/>
                <w:szCs w:val="24"/>
              </w:rPr>
            </w:pPr>
            <w:r>
              <w:rPr>
                <w:rFonts w:hint="eastAsia" w:ascii="仿宋_GB2312" w:hAnsi="仿宋_GB2312" w:eastAsia="仿宋_GB2312" w:cs="仿宋_GB2312"/>
                <w:bCs/>
                <w:sz w:val="24"/>
                <w:szCs w:val="24"/>
              </w:rPr>
              <w:t>《26号格式准则》第三十三条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2" w:hRule="atLeast"/>
        </w:trPr>
        <w:tc>
          <w:tcPr>
            <w:tcW w:w="1063" w:type="dxa"/>
            <w:tcBorders>
              <w:bottom w:val="single" w:color="000000" w:sz="4" w:space="0"/>
            </w:tcBorders>
            <w:noWrap/>
            <w:vAlign w:val="center"/>
          </w:tcPr>
          <w:p>
            <w:pPr>
              <w:jc w:val="center"/>
              <w:rPr>
                <w:rFonts w:ascii="仿宋_GB2312" w:eastAsia="仿宋_GB2312"/>
                <w:b/>
                <w:kern w:val="0"/>
                <w:sz w:val="24"/>
                <w:szCs w:val="24"/>
              </w:rPr>
            </w:pPr>
            <w:r>
              <w:rPr>
                <w:rFonts w:hint="eastAsia" w:ascii="仿宋_GB2312" w:eastAsia="仿宋_GB2312"/>
                <w:b/>
                <w:kern w:val="0"/>
                <w:sz w:val="24"/>
                <w:szCs w:val="24"/>
              </w:rPr>
              <w:t>4-4</w:t>
            </w:r>
          </w:p>
        </w:tc>
        <w:tc>
          <w:tcPr>
            <w:tcW w:w="1201" w:type="dxa"/>
            <w:tcBorders>
              <w:bottom w:val="single" w:color="000000" w:sz="4" w:space="0"/>
            </w:tcBorders>
            <w:noWrap/>
            <w:vAlign w:val="center"/>
          </w:tcPr>
          <w:p>
            <w:pPr>
              <w:autoSpaceDE w:val="0"/>
              <w:autoSpaceDN w:val="0"/>
              <w:adjustRightInd w:val="0"/>
              <w:rPr>
                <w:rFonts w:ascii="仿宋_GB2312" w:eastAsia="仿宋_GB2312"/>
                <w:b/>
                <w:kern w:val="0"/>
                <w:sz w:val="24"/>
                <w:szCs w:val="24"/>
              </w:rPr>
            </w:pPr>
            <w:r>
              <w:rPr>
                <w:rFonts w:hint="eastAsia" w:ascii="仿宋_GB2312" w:eastAsia="仿宋_GB2312"/>
                <w:b/>
                <w:kern w:val="0"/>
                <w:sz w:val="24"/>
                <w:szCs w:val="24"/>
              </w:rPr>
              <w:t>盈利能力</w:t>
            </w:r>
          </w:p>
        </w:tc>
        <w:tc>
          <w:tcPr>
            <w:tcW w:w="3985" w:type="dxa"/>
            <w:tcBorders>
              <w:bottom w:val="single" w:color="000000" w:sz="4" w:space="0"/>
            </w:tcBorders>
            <w:noWrap/>
            <w:vAlign w:val="center"/>
          </w:tcPr>
          <w:p>
            <w:pPr>
              <w:ind w:firstLine="480" w:firstLineChars="200"/>
              <w:jc w:val="left"/>
              <w:rPr>
                <w:rFonts w:ascii="仿宋_GB2312" w:hAnsi="仿宋" w:eastAsia="仿宋_GB2312"/>
                <w:sz w:val="24"/>
                <w:szCs w:val="24"/>
              </w:rPr>
            </w:pPr>
            <w:r>
              <w:rPr>
                <w:rFonts w:hint="eastAsia" w:ascii="仿宋_GB2312" w:hAnsi="仿宋" w:eastAsia="仿宋_GB2312"/>
                <w:sz w:val="24"/>
                <w:szCs w:val="24"/>
              </w:rPr>
              <w:t>上市公司应当在重组报告书中披露：</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1）分析营业收入增减变化的情况及原因；营业收入存在季节性波动的，披露与行业特征的一致性，与同行业公司的可比性；拟购买资产存在经销模式、线上销售、境外销售等特殊情形的，应当进行针对性分析，并说明终端销售情况；</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（2）报告期主要成本项目构成及变动原因；结合主要原材料、能源等采购对象的数量与价格变动，分析营业成本增减变化的影响因素；</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（3）结合拟购买资产所从事主营业务、采用的经营模式及行业竞争情况，分析报告期利润的主要来源、可能影响盈利能力连续性和稳定性的主要因素；</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（4）结合利润构成及资产周转能力等说明盈利能力的驱动要素及其可持续性；</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（5）报告期内拟购买资产主要产品的毛利率及变动情况，与同行业公司可比产品的对比情况；报告期发生重大变化的，量化分析毛利率变动的影响因素及影响程度；</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（6）报告期非经常性损益的构成及原因，非经常性损益（如财政补贴）是否具备持续性，非经常性损益对盈利稳定性的影响及影响原因；</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（7）报告期投资收益、少数股东损益对经营成果有重大影响的，应当分析原因及对盈利稳定性的影响；</w:t>
            </w:r>
          </w:p>
          <w:p>
            <w:pPr>
              <w:numPr>
                <w:ilvl w:val="255"/>
                <w:numId w:val="0"/>
              </w:numPr>
              <w:ind w:firstLine="480" w:firstLineChars="200"/>
              <w:jc w:val="left"/>
              <w:rPr>
                <w:rFonts w:ascii="仿宋_GB2312" w:hAnsi="仿宋" w:eastAsia="仿宋_GB2312"/>
                <w:sz w:val="24"/>
                <w:szCs w:val="24"/>
              </w:rPr>
            </w:pPr>
            <w:r>
              <w:rPr>
                <w:rFonts w:hint="eastAsia" w:ascii="仿宋_GB2312" w:hAnsi="仿宋" w:eastAsia="仿宋_GB2312"/>
                <w:sz w:val="24"/>
                <w:szCs w:val="24"/>
              </w:rPr>
              <w:t>（8）报告期销售费用、管理费用、研发费用、财务费用的主要构成，如存在较大变动的，应当披露变动原因；与同行业可比公司存在显著差异的，应结合业务特点和经营模式分析原因。</w:t>
            </w:r>
          </w:p>
        </w:tc>
        <w:tc>
          <w:tcPr>
            <w:tcW w:w="6074" w:type="dxa"/>
            <w:tcBorders>
              <w:bottom w:val="single" w:color="000000" w:sz="4" w:space="0"/>
            </w:tcBorders>
            <w:noWrap/>
            <w:vAlign w:val="center"/>
          </w:tcPr>
          <w:p>
            <w:pPr>
              <w:ind w:firstLine="480" w:firstLineChars="200"/>
              <w:jc w:val="left"/>
              <w:rPr>
                <w:rFonts w:ascii="仿宋_GB2312" w:eastAsia="仿宋_GB2312"/>
                <w:kern w:val="0"/>
                <w:sz w:val="24"/>
                <w:szCs w:val="24"/>
              </w:rPr>
            </w:pPr>
            <w:r>
              <w:rPr>
                <w:rFonts w:hint="eastAsia" w:ascii="仿宋_GB2312" w:eastAsia="仿宋_GB2312"/>
                <w:kern w:val="0"/>
                <w:sz w:val="24"/>
                <w:szCs w:val="24"/>
              </w:rPr>
              <w:t xml:space="preserve">独立财务顾问应当对以下事项进行核查，并在《独立财务顾问报告》中发表明确核查意见： </w:t>
            </w:r>
          </w:p>
          <w:p>
            <w:pPr>
              <w:ind w:firstLine="480" w:firstLineChars="200"/>
              <w:jc w:val="left"/>
              <w:rPr>
                <w:rFonts w:ascii="仿宋_GB2312" w:hAnsi="仿宋" w:eastAsia="仿宋_GB2312"/>
                <w:sz w:val="24"/>
                <w:szCs w:val="24"/>
              </w:rPr>
            </w:pPr>
            <w:r>
              <w:rPr>
                <w:rFonts w:hint="eastAsia" w:ascii="仿宋_GB2312" w:hAnsi="仿宋" w:eastAsia="仿宋_GB2312"/>
                <w:sz w:val="24"/>
                <w:szCs w:val="24"/>
              </w:rPr>
              <w:t>（1）拟购买资产收入确认原则是否符合会计准则，收入确认时点是否准确，是否与同行业可比公司存在较大差异；标的资产收入季节性、境内外分布与同行业可比公司存在差异的，核查相关情况的合理性；</w:t>
            </w:r>
          </w:p>
          <w:p>
            <w:pPr>
              <w:ind w:firstLine="480" w:firstLineChars="200"/>
              <w:jc w:val="left"/>
              <w:rPr>
                <w:rFonts w:ascii="仿宋_GB2312" w:hAnsi="仿宋" w:eastAsia="仿宋_GB2312"/>
                <w:sz w:val="24"/>
                <w:szCs w:val="24"/>
              </w:rPr>
            </w:pPr>
            <w:r>
              <w:rPr>
                <w:rFonts w:hint="eastAsia" w:ascii="仿宋_GB2312" w:hAnsi="仿宋" w:eastAsia="仿宋_GB2312"/>
                <w:sz w:val="24"/>
                <w:szCs w:val="24"/>
              </w:rPr>
              <w:t>（2）核查标的资产成本归集方法、成本归集的准确性和完整性；成本构成与同行业可比公司存在差异的，核查相关原因；</w:t>
            </w:r>
          </w:p>
          <w:p>
            <w:pPr>
              <w:ind w:firstLine="480" w:firstLineChars="200"/>
              <w:jc w:val="left"/>
              <w:rPr>
                <w:rFonts w:ascii="仿宋_GB2312" w:hAnsi="仿宋" w:eastAsia="仿宋_GB2312"/>
                <w:sz w:val="24"/>
                <w:szCs w:val="24"/>
              </w:rPr>
            </w:pPr>
            <w:r>
              <w:rPr>
                <w:rFonts w:hint="eastAsia" w:ascii="仿宋_GB2312" w:hAnsi="仿宋" w:eastAsia="仿宋_GB2312"/>
                <w:sz w:val="24"/>
                <w:szCs w:val="24"/>
              </w:rPr>
              <w:t>（3）核查拟购买资产收入和成本结构变动的原因，收入变动与同行业可比公司存在较大差异的，核查相关情况的合理性；</w:t>
            </w:r>
          </w:p>
          <w:p>
            <w:pPr>
              <w:ind w:firstLine="480" w:firstLineChars="200"/>
              <w:jc w:val="left"/>
              <w:rPr>
                <w:rFonts w:ascii="仿宋_GB2312" w:eastAsia="仿宋_GB2312"/>
                <w:kern w:val="0"/>
                <w:sz w:val="24"/>
                <w:szCs w:val="24"/>
              </w:rPr>
            </w:pPr>
            <w:r>
              <w:rPr>
                <w:rFonts w:hint="eastAsia" w:ascii="仿宋_GB2312" w:hAnsi="仿宋" w:eastAsia="仿宋_GB2312"/>
                <w:sz w:val="24"/>
                <w:szCs w:val="24"/>
              </w:rPr>
              <w:t>（4）核查拟购买资产相关产品毛利率与同行业可比公司的对比情况及差异原因；</w:t>
            </w:r>
          </w:p>
          <w:p>
            <w:pPr>
              <w:ind w:firstLine="480" w:firstLineChars="200"/>
              <w:jc w:val="left"/>
              <w:rPr>
                <w:rFonts w:ascii="仿宋_GB2312" w:hAnsi="仿宋" w:eastAsia="仿宋_GB2312"/>
                <w:sz w:val="24"/>
                <w:szCs w:val="24"/>
              </w:rPr>
            </w:pPr>
            <w:r>
              <w:rPr>
                <w:rFonts w:hint="eastAsia" w:ascii="仿宋_GB2312" w:eastAsia="仿宋_GB2312"/>
                <w:kern w:val="0"/>
                <w:sz w:val="24"/>
                <w:szCs w:val="24"/>
              </w:rPr>
              <w:t>（5）</w:t>
            </w:r>
            <w:r>
              <w:rPr>
                <w:rFonts w:hint="eastAsia" w:ascii="仿宋_GB2312" w:hAnsi="仿宋" w:eastAsia="仿宋_GB2312"/>
                <w:sz w:val="24"/>
                <w:szCs w:val="24"/>
              </w:rPr>
              <w:t>经营活动现金净流量持续为负或者远低于净利润的，核查主要影响因素以及标的资产的持续经营能力；</w:t>
            </w:r>
          </w:p>
          <w:p>
            <w:pPr>
              <w:ind w:firstLine="480" w:firstLineChars="200"/>
              <w:jc w:val="left"/>
              <w:rPr>
                <w:rFonts w:ascii="仿宋_GB2312" w:hAnsi="仿宋" w:eastAsia="仿宋_GB2312"/>
                <w:sz w:val="24"/>
                <w:szCs w:val="24"/>
              </w:rPr>
            </w:pPr>
            <w:r>
              <w:rPr>
                <w:rFonts w:hint="eastAsia" w:ascii="仿宋_GB2312" w:eastAsia="仿宋_GB2312"/>
                <w:kern w:val="0"/>
                <w:sz w:val="24"/>
                <w:szCs w:val="24"/>
              </w:rPr>
              <w:t>（6）对拟购买资产盈利能力连续性和稳定性的核查过程和核查结论。</w:t>
            </w:r>
          </w:p>
          <w:p>
            <w:pPr>
              <w:ind w:firstLine="480" w:firstLineChars="200"/>
              <w:jc w:val="left"/>
              <w:rPr>
                <w:rFonts w:ascii="仿宋_GB2312" w:hAnsi="仿宋" w:eastAsia="仿宋_GB2312"/>
                <w:sz w:val="24"/>
                <w:szCs w:val="24"/>
              </w:rPr>
            </w:pPr>
            <w:r>
              <w:rPr>
                <w:rFonts w:hint="eastAsia" w:ascii="仿宋_GB2312" w:hAnsi="仿宋" w:eastAsia="仿宋_GB2312"/>
                <w:sz w:val="24"/>
                <w:szCs w:val="24"/>
              </w:rPr>
              <w:t>会计师应对上述事项进行核查，并发表明确核查意见。</w:t>
            </w:r>
          </w:p>
        </w:tc>
        <w:tc>
          <w:tcPr>
            <w:tcW w:w="1677" w:type="dxa"/>
            <w:tcBorders>
              <w:bottom w:val="single" w:color="000000" w:sz="4" w:space="0"/>
            </w:tcBorders>
            <w:noWrap/>
          </w:tcPr>
          <w:p>
            <w:pPr>
              <w:jc w:val="left"/>
              <w:rPr>
                <w:rFonts w:ascii="仿宋_GB2312" w:hAnsi="仿宋" w:eastAsia="仿宋_GB2312"/>
                <w:sz w:val="24"/>
                <w:szCs w:val="24"/>
              </w:rPr>
            </w:pPr>
            <w:r>
              <w:rPr>
                <w:rFonts w:hint="eastAsia" w:ascii="仿宋_GB2312" w:hAnsi="仿宋_GB2312" w:eastAsia="仿宋_GB2312" w:cs="仿宋_GB2312"/>
                <w:bCs/>
                <w:sz w:val="24"/>
                <w:szCs w:val="24"/>
              </w:rPr>
              <w:t>《26号格式准则》第33条</w:t>
            </w:r>
          </w:p>
        </w:tc>
      </w:tr>
    </w:tbl>
    <w:p>
      <w:pPr>
        <w:adjustRightInd w:val="0"/>
        <w:snapToGrid w:val="0"/>
        <w:ind w:firstLine="315" w:firstLineChars="150"/>
        <w:rPr>
          <w:rFonts w:ascii="Times New Roman" w:hAnsi="Times New Roman" w:eastAsia="仿宋_GB2312"/>
          <w:szCs w:val="21"/>
        </w:rPr>
      </w:pPr>
      <w:r>
        <w:rPr>
          <w:rFonts w:hint="eastAsia" w:ascii="Times New Roman" w:hAnsi="宋体" w:eastAsia="仿宋_GB2312"/>
          <w:szCs w:val="21"/>
        </w:rPr>
        <w:t>注：为方便上市公司填写，上述表格列明了核查要求、披露要求及参考规范，与实际填报的表格格式（正文）</w:t>
      </w:r>
      <w:r>
        <w:rPr>
          <w:rFonts w:ascii="Times New Roman" w:hAnsi="宋体" w:eastAsia="仿宋_GB2312"/>
          <w:szCs w:val="21"/>
        </w:rPr>
        <w:t>略有不同。</w:t>
      </w:r>
    </w:p>
    <w:sectPr>
      <w:footerReference r:id="rId3" w:type="default"/>
      <w:pgSz w:w="16839" w:h="11907" w:orient="landscape"/>
      <w:pgMar w:top="1800" w:right="1440" w:bottom="180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instrText xml:space="preserve"> PAGE   \* MERGEFORMAT </w:instrText>
    </w:r>
    <w:r>
      <w:fldChar w:fldCharType="separate"/>
    </w:r>
    <w:r>
      <w:rPr>
        <w:lang w:val="zh-CN"/>
      </w:rPr>
      <w:t>3</w:t>
    </w:r>
    <w:r>
      <w:rPr>
        <w:lang w:val="zh-CN"/>
      </w:rPr>
      <w:fldChar w:fldCharType="end"/>
    </w:r>
  </w:p>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EC501"/>
    <w:multiLevelType w:val="singleLevel"/>
    <w:tmpl w:val="626EC50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NotTrackMoves/>
  <w:attachedTemplate r:id="rId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ThkNTFiMzVhMGZlMDhmZTBlZDdhYTA1OGNlOWE1NDAifQ=="/>
    <w:docVar w:name="KSO_WPS_MARK_KEY" w:val="0b3d4b43-b3f4-418f-a858-638ed966edeb"/>
  </w:docVars>
  <w:rsids>
    <w:rsidRoot w:val="00BC710D"/>
    <w:rsid w:val="00002763"/>
    <w:rsid w:val="00002EB1"/>
    <w:rsid w:val="0000461A"/>
    <w:rsid w:val="0000493A"/>
    <w:rsid w:val="000075C5"/>
    <w:rsid w:val="000078B4"/>
    <w:rsid w:val="00007BA3"/>
    <w:rsid w:val="000174BF"/>
    <w:rsid w:val="00017903"/>
    <w:rsid w:val="000201B9"/>
    <w:rsid w:val="00021878"/>
    <w:rsid w:val="00022614"/>
    <w:rsid w:val="000244FA"/>
    <w:rsid w:val="000258A8"/>
    <w:rsid w:val="00025A0F"/>
    <w:rsid w:val="00032CF0"/>
    <w:rsid w:val="000330B0"/>
    <w:rsid w:val="00034B05"/>
    <w:rsid w:val="00036C63"/>
    <w:rsid w:val="000415AD"/>
    <w:rsid w:val="00041A85"/>
    <w:rsid w:val="0004602F"/>
    <w:rsid w:val="00046068"/>
    <w:rsid w:val="00047B1D"/>
    <w:rsid w:val="00051A03"/>
    <w:rsid w:val="00053A83"/>
    <w:rsid w:val="00054653"/>
    <w:rsid w:val="00056046"/>
    <w:rsid w:val="0005712C"/>
    <w:rsid w:val="0005739F"/>
    <w:rsid w:val="000619BD"/>
    <w:rsid w:val="000619E5"/>
    <w:rsid w:val="000630C0"/>
    <w:rsid w:val="00064314"/>
    <w:rsid w:val="000648BC"/>
    <w:rsid w:val="00065398"/>
    <w:rsid w:val="000722CA"/>
    <w:rsid w:val="00077A66"/>
    <w:rsid w:val="0008040D"/>
    <w:rsid w:val="00080442"/>
    <w:rsid w:val="00082EC5"/>
    <w:rsid w:val="00083FD6"/>
    <w:rsid w:val="00085D6B"/>
    <w:rsid w:val="00087A43"/>
    <w:rsid w:val="00087A9A"/>
    <w:rsid w:val="000929FD"/>
    <w:rsid w:val="0009303B"/>
    <w:rsid w:val="000934B4"/>
    <w:rsid w:val="00093705"/>
    <w:rsid w:val="00093824"/>
    <w:rsid w:val="000939D6"/>
    <w:rsid w:val="00094A52"/>
    <w:rsid w:val="00094C98"/>
    <w:rsid w:val="00094F8F"/>
    <w:rsid w:val="0009686A"/>
    <w:rsid w:val="00097051"/>
    <w:rsid w:val="00097143"/>
    <w:rsid w:val="00097154"/>
    <w:rsid w:val="000974EB"/>
    <w:rsid w:val="000A0D95"/>
    <w:rsid w:val="000A1FF5"/>
    <w:rsid w:val="000A2EFC"/>
    <w:rsid w:val="000A7047"/>
    <w:rsid w:val="000B08D9"/>
    <w:rsid w:val="000B2832"/>
    <w:rsid w:val="000B29EA"/>
    <w:rsid w:val="000B3556"/>
    <w:rsid w:val="000B4B02"/>
    <w:rsid w:val="000B5DF2"/>
    <w:rsid w:val="000C6024"/>
    <w:rsid w:val="000D6571"/>
    <w:rsid w:val="000D6D58"/>
    <w:rsid w:val="000D7A76"/>
    <w:rsid w:val="000E0B54"/>
    <w:rsid w:val="000E10A0"/>
    <w:rsid w:val="000E72F5"/>
    <w:rsid w:val="000E7C81"/>
    <w:rsid w:val="000F2352"/>
    <w:rsid w:val="000F2680"/>
    <w:rsid w:val="000F28EF"/>
    <w:rsid w:val="000F31B0"/>
    <w:rsid w:val="000F44E3"/>
    <w:rsid w:val="000F4AC6"/>
    <w:rsid w:val="000F5D45"/>
    <w:rsid w:val="00100B60"/>
    <w:rsid w:val="001023D4"/>
    <w:rsid w:val="001047F4"/>
    <w:rsid w:val="00105672"/>
    <w:rsid w:val="00105F7E"/>
    <w:rsid w:val="00112820"/>
    <w:rsid w:val="00112C37"/>
    <w:rsid w:val="00115A8E"/>
    <w:rsid w:val="00115CAC"/>
    <w:rsid w:val="00116040"/>
    <w:rsid w:val="00116A36"/>
    <w:rsid w:val="001179CE"/>
    <w:rsid w:val="00117AEB"/>
    <w:rsid w:val="00117EF7"/>
    <w:rsid w:val="00120127"/>
    <w:rsid w:val="00120DB4"/>
    <w:rsid w:val="00121CDB"/>
    <w:rsid w:val="00122892"/>
    <w:rsid w:val="00122F57"/>
    <w:rsid w:val="0012398E"/>
    <w:rsid w:val="00123A0F"/>
    <w:rsid w:val="00124DF5"/>
    <w:rsid w:val="00124ED4"/>
    <w:rsid w:val="00126D35"/>
    <w:rsid w:val="00127471"/>
    <w:rsid w:val="00127586"/>
    <w:rsid w:val="00131137"/>
    <w:rsid w:val="0013141A"/>
    <w:rsid w:val="00131642"/>
    <w:rsid w:val="00133CD6"/>
    <w:rsid w:val="001356A6"/>
    <w:rsid w:val="00135870"/>
    <w:rsid w:val="00135EC3"/>
    <w:rsid w:val="001361EF"/>
    <w:rsid w:val="00141BA7"/>
    <w:rsid w:val="001421E2"/>
    <w:rsid w:val="00142BC5"/>
    <w:rsid w:val="00142D2F"/>
    <w:rsid w:val="00143B0E"/>
    <w:rsid w:val="0014516D"/>
    <w:rsid w:val="00146717"/>
    <w:rsid w:val="0014729F"/>
    <w:rsid w:val="00147AFA"/>
    <w:rsid w:val="00150180"/>
    <w:rsid w:val="00151BBA"/>
    <w:rsid w:val="00152DC2"/>
    <w:rsid w:val="0015337E"/>
    <w:rsid w:val="00153BF0"/>
    <w:rsid w:val="00153F5E"/>
    <w:rsid w:val="001564BE"/>
    <w:rsid w:val="001564EC"/>
    <w:rsid w:val="001638AA"/>
    <w:rsid w:val="00164501"/>
    <w:rsid w:val="00165417"/>
    <w:rsid w:val="00165B97"/>
    <w:rsid w:val="00165CA9"/>
    <w:rsid w:val="00166088"/>
    <w:rsid w:val="001671B2"/>
    <w:rsid w:val="00175FF7"/>
    <w:rsid w:val="00177842"/>
    <w:rsid w:val="001779FE"/>
    <w:rsid w:val="00182897"/>
    <w:rsid w:val="00186EF5"/>
    <w:rsid w:val="00191BE1"/>
    <w:rsid w:val="001921ED"/>
    <w:rsid w:val="0019406D"/>
    <w:rsid w:val="001948EA"/>
    <w:rsid w:val="00196ABA"/>
    <w:rsid w:val="00196D0D"/>
    <w:rsid w:val="001A1A2D"/>
    <w:rsid w:val="001A7DBC"/>
    <w:rsid w:val="001B0316"/>
    <w:rsid w:val="001B0E2A"/>
    <w:rsid w:val="001B10F1"/>
    <w:rsid w:val="001B5D48"/>
    <w:rsid w:val="001B664A"/>
    <w:rsid w:val="001B7195"/>
    <w:rsid w:val="001C356F"/>
    <w:rsid w:val="001C5093"/>
    <w:rsid w:val="001C5A80"/>
    <w:rsid w:val="001C6204"/>
    <w:rsid w:val="001D1080"/>
    <w:rsid w:val="001D1C3D"/>
    <w:rsid w:val="001D63B4"/>
    <w:rsid w:val="001E2985"/>
    <w:rsid w:val="001E37EA"/>
    <w:rsid w:val="001E41D5"/>
    <w:rsid w:val="001E53D4"/>
    <w:rsid w:val="001F00E6"/>
    <w:rsid w:val="001F120C"/>
    <w:rsid w:val="001F46BE"/>
    <w:rsid w:val="001F4D6A"/>
    <w:rsid w:val="001F6F89"/>
    <w:rsid w:val="001F77AE"/>
    <w:rsid w:val="001F799F"/>
    <w:rsid w:val="001F7B28"/>
    <w:rsid w:val="001F7EB6"/>
    <w:rsid w:val="0020110B"/>
    <w:rsid w:val="002011FF"/>
    <w:rsid w:val="00202AAE"/>
    <w:rsid w:val="0020567E"/>
    <w:rsid w:val="00206F94"/>
    <w:rsid w:val="00211807"/>
    <w:rsid w:val="00213C8B"/>
    <w:rsid w:val="002176BF"/>
    <w:rsid w:val="00220174"/>
    <w:rsid w:val="00220A01"/>
    <w:rsid w:val="00227F23"/>
    <w:rsid w:val="00232471"/>
    <w:rsid w:val="00233408"/>
    <w:rsid w:val="00234C80"/>
    <w:rsid w:val="002432D8"/>
    <w:rsid w:val="00243CEA"/>
    <w:rsid w:val="00243F14"/>
    <w:rsid w:val="002516AE"/>
    <w:rsid w:val="002543A1"/>
    <w:rsid w:val="00254814"/>
    <w:rsid w:val="0026078E"/>
    <w:rsid w:val="00262E59"/>
    <w:rsid w:val="0027085C"/>
    <w:rsid w:val="00271855"/>
    <w:rsid w:val="002721A5"/>
    <w:rsid w:val="002725DE"/>
    <w:rsid w:val="002744C9"/>
    <w:rsid w:val="00274A28"/>
    <w:rsid w:val="002801DC"/>
    <w:rsid w:val="00282D1E"/>
    <w:rsid w:val="00283B8B"/>
    <w:rsid w:val="00292DE6"/>
    <w:rsid w:val="00295E4C"/>
    <w:rsid w:val="00295F79"/>
    <w:rsid w:val="00296059"/>
    <w:rsid w:val="00297F4E"/>
    <w:rsid w:val="002A0247"/>
    <w:rsid w:val="002A29B9"/>
    <w:rsid w:val="002A799B"/>
    <w:rsid w:val="002B1CCC"/>
    <w:rsid w:val="002B1D96"/>
    <w:rsid w:val="002B446C"/>
    <w:rsid w:val="002B5FBD"/>
    <w:rsid w:val="002B73F4"/>
    <w:rsid w:val="002C1BF3"/>
    <w:rsid w:val="002C21A6"/>
    <w:rsid w:val="002C2744"/>
    <w:rsid w:val="002C375E"/>
    <w:rsid w:val="002C38C8"/>
    <w:rsid w:val="002C517E"/>
    <w:rsid w:val="002D0B87"/>
    <w:rsid w:val="002D3ED8"/>
    <w:rsid w:val="002D5711"/>
    <w:rsid w:val="002D7D69"/>
    <w:rsid w:val="002D7FCA"/>
    <w:rsid w:val="002E01E1"/>
    <w:rsid w:val="002E2FA5"/>
    <w:rsid w:val="002E394D"/>
    <w:rsid w:val="002E3990"/>
    <w:rsid w:val="002E3DFD"/>
    <w:rsid w:val="002E5E7A"/>
    <w:rsid w:val="002E5F78"/>
    <w:rsid w:val="002E61BF"/>
    <w:rsid w:val="002E68D5"/>
    <w:rsid w:val="002E6E13"/>
    <w:rsid w:val="002E71DE"/>
    <w:rsid w:val="002F3436"/>
    <w:rsid w:val="002F53B3"/>
    <w:rsid w:val="002F6331"/>
    <w:rsid w:val="00301615"/>
    <w:rsid w:val="00302759"/>
    <w:rsid w:val="00302EF8"/>
    <w:rsid w:val="00303925"/>
    <w:rsid w:val="00304BC1"/>
    <w:rsid w:val="00304EAC"/>
    <w:rsid w:val="00313880"/>
    <w:rsid w:val="003149BF"/>
    <w:rsid w:val="003150F0"/>
    <w:rsid w:val="003161BE"/>
    <w:rsid w:val="00316378"/>
    <w:rsid w:val="003207EE"/>
    <w:rsid w:val="00320D0B"/>
    <w:rsid w:val="00325540"/>
    <w:rsid w:val="003268C6"/>
    <w:rsid w:val="00327E9B"/>
    <w:rsid w:val="00331AFF"/>
    <w:rsid w:val="003339B5"/>
    <w:rsid w:val="00333A05"/>
    <w:rsid w:val="003361F9"/>
    <w:rsid w:val="003362BB"/>
    <w:rsid w:val="003375CE"/>
    <w:rsid w:val="00341351"/>
    <w:rsid w:val="00341493"/>
    <w:rsid w:val="00341EE7"/>
    <w:rsid w:val="00342845"/>
    <w:rsid w:val="00344A8A"/>
    <w:rsid w:val="00344E83"/>
    <w:rsid w:val="00346637"/>
    <w:rsid w:val="00346CF4"/>
    <w:rsid w:val="0035089E"/>
    <w:rsid w:val="00350A99"/>
    <w:rsid w:val="00351568"/>
    <w:rsid w:val="00351B66"/>
    <w:rsid w:val="003520A6"/>
    <w:rsid w:val="003554B8"/>
    <w:rsid w:val="003604CE"/>
    <w:rsid w:val="00361AD1"/>
    <w:rsid w:val="00363B94"/>
    <w:rsid w:val="00364D72"/>
    <w:rsid w:val="0036557F"/>
    <w:rsid w:val="00365AB3"/>
    <w:rsid w:val="003660E9"/>
    <w:rsid w:val="00367964"/>
    <w:rsid w:val="00371335"/>
    <w:rsid w:val="00371E2E"/>
    <w:rsid w:val="00372516"/>
    <w:rsid w:val="00372F2C"/>
    <w:rsid w:val="0037526E"/>
    <w:rsid w:val="00376C4C"/>
    <w:rsid w:val="00376CAE"/>
    <w:rsid w:val="00377249"/>
    <w:rsid w:val="00377474"/>
    <w:rsid w:val="00377749"/>
    <w:rsid w:val="00383078"/>
    <w:rsid w:val="003855B3"/>
    <w:rsid w:val="00385696"/>
    <w:rsid w:val="00387376"/>
    <w:rsid w:val="003941F2"/>
    <w:rsid w:val="003A4338"/>
    <w:rsid w:val="003A5AF4"/>
    <w:rsid w:val="003B1797"/>
    <w:rsid w:val="003B216C"/>
    <w:rsid w:val="003B2A31"/>
    <w:rsid w:val="003B37FE"/>
    <w:rsid w:val="003B3A91"/>
    <w:rsid w:val="003B3D04"/>
    <w:rsid w:val="003B66BD"/>
    <w:rsid w:val="003C0274"/>
    <w:rsid w:val="003C0D71"/>
    <w:rsid w:val="003C136D"/>
    <w:rsid w:val="003C234A"/>
    <w:rsid w:val="003C2E6A"/>
    <w:rsid w:val="003C3F84"/>
    <w:rsid w:val="003C47B6"/>
    <w:rsid w:val="003C5A0B"/>
    <w:rsid w:val="003D1599"/>
    <w:rsid w:val="003D32C3"/>
    <w:rsid w:val="003D39FB"/>
    <w:rsid w:val="003D5132"/>
    <w:rsid w:val="003D6761"/>
    <w:rsid w:val="003D6E9D"/>
    <w:rsid w:val="003D6EA1"/>
    <w:rsid w:val="003E2587"/>
    <w:rsid w:val="003E2713"/>
    <w:rsid w:val="003E4D10"/>
    <w:rsid w:val="003E6DBC"/>
    <w:rsid w:val="003E6ED2"/>
    <w:rsid w:val="003F2986"/>
    <w:rsid w:val="003F299E"/>
    <w:rsid w:val="003F3F73"/>
    <w:rsid w:val="004017DD"/>
    <w:rsid w:val="004017FC"/>
    <w:rsid w:val="00403A96"/>
    <w:rsid w:val="004133D5"/>
    <w:rsid w:val="00413EFD"/>
    <w:rsid w:val="004202E5"/>
    <w:rsid w:val="00420947"/>
    <w:rsid w:val="004219CF"/>
    <w:rsid w:val="00422A6A"/>
    <w:rsid w:val="00422F9B"/>
    <w:rsid w:val="00424C55"/>
    <w:rsid w:val="00425115"/>
    <w:rsid w:val="00430189"/>
    <w:rsid w:val="00430AB9"/>
    <w:rsid w:val="00432C1F"/>
    <w:rsid w:val="00433612"/>
    <w:rsid w:val="00436EC5"/>
    <w:rsid w:val="004376F6"/>
    <w:rsid w:val="004420A6"/>
    <w:rsid w:val="004446ED"/>
    <w:rsid w:val="0044746D"/>
    <w:rsid w:val="00447E7B"/>
    <w:rsid w:val="00451224"/>
    <w:rsid w:val="00451305"/>
    <w:rsid w:val="004534EA"/>
    <w:rsid w:val="00463DE5"/>
    <w:rsid w:val="00471808"/>
    <w:rsid w:val="00472684"/>
    <w:rsid w:val="0047370D"/>
    <w:rsid w:val="00475636"/>
    <w:rsid w:val="0048030E"/>
    <w:rsid w:val="0049055C"/>
    <w:rsid w:val="004906A3"/>
    <w:rsid w:val="00490ED1"/>
    <w:rsid w:val="00492FEF"/>
    <w:rsid w:val="0049344A"/>
    <w:rsid w:val="0049619D"/>
    <w:rsid w:val="0049765F"/>
    <w:rsid w:val="004A2620"/>
    <w:rsid w:val="004A2C72"/>
    <w:rsid w:val="004A3C3D"/>
    <w:rsid w:val="004A4D26"/>
    <w:rsid w:val="004A5F76"/>
    <w:rsid w:val="004A64B0"/>
    <w:rsid w:val="004A6E9B"/>
    <w:rsid w:val="004A7ABB"/>
    <w:rsid w:val="004B0288"/>
    <w:rsid w:val="004B0A89"/>
    <w:rsid w:val="004B12C7"/>
    <w:rsid w:val="004B5314"/>
    <w:rsid w:val="004B6E59"/>
    <w:rsid w:val="004C1C35"/>
    <w:rsid w:val="004C2173"/>
    <w:rsid w:val="004C2535"/>
    <w:rsid w:val="004C2A4D"/>
    <w:rsid w:val="004C2FD7"/>
    <w:rsid w:val="004C3008"/>
    <w:rsid w:val="004C3EFC"/>
    <w:rsid w:val="004C63B4"/>
    <w:rsid w:val="004C799D"/>
    <w:rsid w:val="004C7ACC"/>
    <w:rsid w:val="004D73FC"/>
    <w:rsid w:val="004E1014"/>
    <w:rsid w:val="004E3391"/>
    <w:rsid w:val="004E3E82"/>
    <w:rsid w:val="004E5CC2"/>
    <w:rsid w:val="004E745C"/>
    <w:rsid w:val="004F055D"/>
    <w:rsid w:val="004F09EA"/>
    <w:rsid w:val="004F0EF8"/>
    <w:rsid w:val="004F3882"/>
    <w:rsid w:val="004F45D8"/>
    <w:rsid w:val="004F531E"/>
    <w:rsid w:val="004F58CC"/>
    <w:rsid w:val="004F5A69"/>
    <w:rsid w:val="004F5B6D"/>
    <w:rsid w:val="004F6E86"/>
    <w:rsid w:val="004F78D0"/>
    <w:rsid w:val="004F7DCC"/>
    <w:rsid w:val="0050031A"/>
    <w:rsid w:val="0050085B"/>
    <w:rsid w:val="00500DE3"/>
    <w:rsid w:val="00501197"/>
    <w:rsid w:val="005016D2"/>
    <w:rsid w:val="00501CAB"/>
    <w:rsid w:val="005021B8"/>
    <w:rsid w:val="00503014"/>
    <w:rsid w:val="005041C9"/>
    <w:rsid w:val="00504329"/>
    <w:rsid w:val="00505CB8"/>
    <w:rsid w:val="00506B61"/>
    <w:rsid w:val="00511846"/>
    <w:rsid w:val="00512C9C"/>
    <w:rsid w:val="00513C7C"/>
    <w:rsid w:val="00514DD8"/>
    <w:rsid w:val="00520FEA"/>
    <w:rsid w:val="00522706"/>
    <w:rsid w:val="005234F7"/>
    <w:rsid w:val="00523AAF"/>
    <w:rsid w:val="0052556F"/>
    <w:rsid w:val="00525DF9"/>
    <w:rsid w:val="00531610"/>
    <w:rsid w:val="00531D2A"/>
    <w:rsid w:val="00533904"/>
    <w:rsid w:val="005345AD"/>
    <w:rsid w:val="00535C58"/>
    <w:rsid w:val="00542AF5"/>
    <w:rsid w:val="00547987"/>
    <w:rsid w:val="005501D5"/>
    <w:rsid w:val="00551AA8"/>
    <w:rsid w:val="00552496"/>
    <w:rsid w:val="00552F08"/>
    <w:rsid w:val="005542B8"/>
    <w:rsid w:val="00561DAD"/>
    <w:rsid w:val="00562D11"/>
    <w:rsid w:val="00563D98"/>
    <w:rsid w:val="005643D7"/>
    <w:rsid w:val="0056565E"/>
    <w:rsid w:val="00565857"/>
    <w:rsid w:val="00565C3B"/>
    <w:rsid w:val="005708B3"/>
    <w:rsid w:val="0057217C"/>
    <w:rsid w:val="00576C0C"/>
    <w:rsid w:val="00577239"/>
    <w:rsid w:val="00580AE2"/>
    <w:rsid w:val="00581CDE"/>
    <w:rsid w:val="00581DB6"/>
    <w:rsid w:val="005836B0"/>
    <w:rsid w:val="00591FA5"/>
    <w:rsid w:val="005934A8"/>
    <w:rsid w:val="00595DEB"/>
    <w:rsid w:val="005977E3"/>
    <w:rsid w:val="005A0065"/>
    <w:rsid w:val="005A0A68"/>
    <w:rsid w:val="005A233B"/>
    <w:rsid w:val="005A2F9C"/>
    <w:rsid w:val="005A5469"/>
    <w:rsid w:val="005B2FF5"/>
    <w:rsid w:val="005B3526"/>
    <w:rsid w:val="005B5E8B"/>
    <w:rsid w:val="005B7207"/>
    <w:rsid w:val="005C03F1"/>
    <w:rsid w:val="005C11CB"/>
    <w:rsid w:val="005C1D2E"/>
    <w:rsid w:val="005C2DCC"/>
    <w:rsid w:val="005C49DE"/>
    <w:rsid w:val="005C6AB8"/>
    <w:rsid w:val="005C718D"/>
    <w:rsid w:val="005D13F3"/>
    <w:rsid w:val="005D18A0"/>
    <w:rsid w:val="005D3D53"/>
    <w:rsid w:val="005D4100"/>
    <w:rsid w:val="005D5ABA"/>
    <w:rsid w:val="005D5E01"/>
    <w:rsid w:val="005D6776"/>
    <w:rsid w:val="005D794F"/>
    <w:rsid w:val="005E30FE"/>
    <w:rsid w:val="005E370F"/>
    <w:rsid w:val="005E6072"/>
    <w:rsid w:val="005F09B5"/>
    <w:rsid w:val="005F1C28"/>
    <w:rsid w:val="005F24ED"/>
    <w:rsid w:val="005F2FD7"/>
    <w:rsid w:val="005F675C"/>
    <w:rsid w:val="005F7DB3"/>
    <w:rsid w:val="00602FB4"/>
    <w:rsid w:val="00610A7B"/>
    <w:rsid w:val="00613468"/>
    <w:rsid w:val="006167E8"/>
    <w:rsid w:val="00621B1F"/>
    <w:rsid w:val="00622BA6"/>
    <w:rsid w:val="0062343A"/>
    <w:rsid w:val="00626B67"/>
    <w:rsid w:val="00630076"/>
    <w:rsid w:val="00633EAF"/>
    <w:rsid w:val="006340C2"/>
    <w:rsid w:val="006378EC"/>
    <w:rsid w:val="006440D7"/>
    <w:rsid w:val="00644435"/>
    <w:rsid w:val="006446B5"/>
    <w:rsid w:val="00654668"/>
    <w:rsid w:val="00656FC5"/>
    <w:rsid w:val="0066111E"/>
    <w:rsid w:val="00661CD0"/>
    <w:rsid w:val="00664E06"/>
    <w:rsid w:val="00665057"/>
    <w:rsid w:val="0066557A"/>
    <w:rsid w:val="00667250"/>
    <w:rsid w:val="00670FB8"/>
    <w:rsid w:val="006728E8"/>
    <w:rsid w:val="00675103"/>
    <w:rsid w:val="0067520B"/>
    <w:rsid w:val="00675214"/>
    <w:rsid w:val="00677D1F"/>
    <w:rsid w:val="00681D84"/>
    <w:rsid w:val="00682004"/>
    <w:rsid w:val="00684ED7"/>
    <w:rsid w:val="006875E0"/>
    <w:rsid w:val="006910E2"/>
    <w:rsid w:val="0069264B"/>
    <w:rsid w:val="00692EF9"/>
    <w:rsid w:val="0069356A"/>
    <w:rsid w:val="00695AEF"/>
    <w:rsid w:val="00696755"/>
    <w:rsid w:val="006A34DF"/>
    <w:rsid w:val="006A3BDC"/>
    <w:rsid w:val="006B0A69"/>
    <w:rsid w:val="006B3F16"/>
    <w:rsid w:val="006B423B"/>
    <w:rsid w:val="006C0EE2"/>
    <w:rsid w:val="006C1844"/>
    <w:rsid w:val="006C44EE"/>
    <w:rsid w:val="006C55BC"/>
    <w:rsid w:val="006C7AD7"/>
    <w:rsid w:val="006D1194"/>
    <w:rsid w:val="006E0410"/>
    <w:rsid w:val="006E0570"/>
    <w:rsid w:val="006E05A4"/>
    <w:rsid w:val="006E267A"/>
    <w:rsid w:val="006E31AF"/>
    <w:rsid w:val="006E436F"/>
    <w:rsid w:val="006E4459"/>
    <w:rsid w:val="006E45E7"/>
    <w:rsid w:val="006F0763"/>
    <w:rsid w:val="006F1746"/>
    <w:rsid w:val="006F1CE0"/>
    <w:rsid w:val="006F29DE"/>
    <w:rsid w:val="006F4056"/>
    <w:rsid w:val="006F73D6"/>
    <w:rsid w:val="006F7D90"/>
    <w:rsid w:val="00700474"/>
    <w:rsid w:val="00700D31"/>
    <w:rsid w:val="00700E12"/>
    <w:rsid w:val="00701891"/>
    <w:rsid w:val="00703500"/>
    <w:rsid w:val="0070545C"/>
    <w:rsid w:val="00710233"/>
    <w:rsid w:val="00712616"/>
    <w:rsid w:val="007137D8"/>
    <w:rsid w:val="007142C0"/>
    <w:rsid w:val="00720AB8"/>
    <w:rsid w:val="00722E5F"/>
    <w:rsid w:val="007232D4"/>
    <w:rsid w:val="00724106"/>
    <w:rsid w:val="00726CC3"/>
    <w:rsid w:val="007308A5"/>
    <w:rsid w:val="00730C2A"/>
    <w:rsid w:val="00733518"/>
    <w:rsid w:val="00735496"/>
    <w:rsid w:val="00736958"/>
    <w:rsid w:val="00737216"/>
    <w:rsid w:val="007403DC"/>
    <w:rsid w:val="00741D39"/>
    <w:rsid w:val="00743200"/>
    <w:rsid w:val="00743B0A"/>
    <w:rsid w:val="00745D35"/>
    <w:rsid w:val="00751437"/>
    <w:rsid w:val="00751514"/>
    <w:rsid w:val="007523EB"/>
    <w:rsid w:val="007533EF"/>
    <w:rsid w:val="00754AB3"/>
    <w:rsid w:val="00754BFA"/>
    <w:rsid w:val="00755AAA"/>
    <w:rsid w:val="00755C8E"/>
    <w:rsid w:val="00760CAE"/>
    <w:rsid w:val="00761656"/>
    <w:rsid w:val="00763A33"/>
    <w:rsid w:val="007641FB"/>
    <w:rsid w:val="00765BC1"/>
    <w:rsid w:val="00766464"/>
    <w:rsid w:val="007671DE"/>
    <w:rsid w:val="00767CC6"/>
    <w:rsid w:val="00770F9A"/>
    <w:rsid w:val="0077456B"/>
    <w:rsid w:val="00774750"/>
    <w:rsid w:val="0077586C"/>
    <w:rsid w:val="00777A11"/>
    <w:rsid w:val="00781129"/>
    <w:rsid w:val="007819C1"/>
    <w:rsid w:val="007847FD"/>
    <w:rsid w:val="0078487D"/>
    <w:rsid w:val="00784BCE"/>
    <w:rsid w:val="00784CB4"/>
    <w:rsid w:val="0078511F"/>
    <w:rsid w:val="00785175"/>
    <w:rsid w:val="0079093B"/>
    <w:rsid w:val="00792127"/>
    <w:rsid w:val="007936F5"/>
    <w:rsid w:val="00793D91"/>
    <w:rsid w:val="00794C67"/>
    <w:rsid w:val="007A140B"/>
    <w:rsid w:val="007A20BD"/>
    <w:rsid w:val="007A4B51"/>
    <w:rsid w:val="007A7353"/>
    <w:rsid w:val="007A76F7"/>
    <w:rsid w:val="007B364C"/>
    <w:rsid w:val="007B5F61"/>
    <w:rsid w:val="007B6E7B"/>
    <w:rsid w:val="007B7F0A"/>
    <w:rsid w:val="007C24EB"/>
    <w:rsid w:val="007C576E"/>
    <w:rsid w:val="007C7E1C"/>
    <w:rsid w:val="007D1B73"/>
    <w:rsid w:val="007D44EF"/>
    <w:rsid w:val="007D493D"/>
    <w:rsid w:val="007D79A2"/>
    <w:rsid w:val="007E091D"/>
    <w:rsid w:val="007E0E0B"/>
    <w:rsid w:val="007E6523"/>
    <w:rsid w:val="007F016D"/>
    <w:rsid w:val="007F0FE6"/>
    <w:rsid w:val="007F1577"/>
    <w:rsid w:val="007F3068"/>
    <w:rsid w:val="007F4BFC"/>
    <w:rsid w:val="007F5929"/>
    <w:rsid w:val="007F5E5B"/>
    <w:rsid w:val="007F6FB6"/>
    <w:rsid w:val="00800D26"/>
    <w:rsid w:val="00803D6A"/>
    <w:rsid w:val="00807546"/>
    <w:rsid w:val="008116BE"/>
    <w:rsid w:val="00811D30"/>
    <w:rsid w:val="00813990"/>
    <w:rsid w:val="00813E78"/>
    <w:rsid w:val="00813FA0"/>
    <w:rsid w:val="008154D3"/>
    <w:rsid w:val="00817416"/>
    <w:rsid w:val="00817759"/>
    <w:rsid w:val="00817EAC"/>
    <w:rsid w:val="00820EA7"/>
    <w:rsid w:val="008242B9"/>
    <w:rsid w:val="00831675"/>
    <w:rsid w:val="008331B5"/>
    <w:rsid w:val="008348A3"/>
    <w:rsid w:val="00834B35"/>
    <w:rsid w:val="00834F8D"/>
    <w:rsid w:val="00836CF8"/>
    <w:rsid w:val="0084234E"/>
    <w:rsid w:val="0084470A"/>
    <w:rsid w:val="00846569"/>
    <w:rsid w:val="00851EF7"/>
    <w:rsid w:val="00853C60"/>
    <w:rsid w:val="00854298"/>
    <w:rsid w:val="00855F98"/>
    <w:rsid w:val="0086073B"/>
    <w:rsid w:val="008623B2"/>
    <w:rsid w:val="00862659"/>
    <w:rsid w:val="008627FA"/>
    <w:rsid w:val="00862C2A"/>
    <w:rsid w:val="00862FB9"/>
    <w:rsid w:val="00863FBB"/>
    <w:rsid w:val="00864B28"/>
    <w:rsid w:val="0086527F"/>
    <w:rsid w:val="00866E38"/>
    <w:rsid w:val="00867177"/>
    <w:rsid w:val="00871E5B"/>
    <w:rsid w:val="00873D51"/>
    <w:rsid w:val="00875719"/>
    <w:rsid w:val="00876ABA"/>
    <w:rsid w:val="00876F6D"/>
    <w:rsid w:val="00881B43"/>
    <w:rsid w:val="00883110"/>
    <w:rsid w:val="00883CDC"/>
    <w:rsid w:val="00890110"/>
    <w:rsid w:val="00890C1E"/>
    <w:rsid w:val="00893649"/>
    <w:rsid w:val="00896939"/>
    <w:rsid w:val="00897EC0"/>
    <w:rsid w:val="008A2F45"/>
    <w:rsid w:val="008A3175"/>
    <w:rsid w:val="008A69D1"/>
    <w:rsid w:val="008A6E16"/>
    <w:rsid w:val="008B1A50"/>
    <w:rsid w:val="008B2675"/>
    <w:rsid w:val="008B41A9"/>
    <w:rsid w:val="008C03C7"/>
    <w:rsid w:val="008C11B7"/>
    <w:rsid w:val="008C280E"/>
    <w:rsid w:val="008C65C3"/>
    <w:rsid w:val="008C6BE4"/>
    <w:rsid w:val="008C6CCC"/>
    <w:rsid w:val="008D559F"/>
    <w:rsid w:val="008D61EA"/>
    <w:rsid w:val="008E13C8"/>
    <w:rsid w:val="008E25CD"/>
    <w:rsid w:val="008E37A9"/>
    <w:rsid w:val="008E5849"/>
    <w:rsid w:val="008E7935"/>
    <w:rsid w:val="008E7955"/>
    <w:rsid w:val="008F0922"/>
    <w:rsid w:val="008F09A2"/>
    <w:rsid w:val="008F221D"/>
    <w:rsid w:val="008F29B0"/>
    <w:rsid w:val="008F2C9B"/>
    <w:rsid w:val="008F2F54"/>
    <w:rsid w:val="008F5613"/>
    <w:rsid w:val="008F5F6A"/>
    <w:rsid w:val="008F7058"/>
    <w:rsid w:val="009012CE"/>
    <w:rsid w:val="00901443"/>
    <w:rsid w:val="00904416"/>
    <w:rsid w:val="009072E1"/>
    <w:rsid w:val="00907D19"/>
    <w:rsid w:val="00907EB2"/>
    <w:rsid w:val="009107E1"/>
    <w:rsid w:val="0091307F"/>
    <w:rsid w:val="0091344E"/>
    <w:rsid w:val="009144DE"/>
    <w:rsid w:val="00915DC7"/>
    <w:rsid w:val="009172B4"/>
    <w:rsid w:val="00917546"/>
    <w:rsid w:val="00922D59"/>
    <w:rsid w:val="0092552A"/>
    <w:rsid w:val="00927167"/>
    <w:rsid w:val="0093192F"/>
    <w:rsid w:val="00931F79"/>
    <w:rsid w:val="009324D1"/>
    <w:rsid w:val="009358FA"/>
    <w:rsid w:val="00935A8E"/>
    <w:rsid w:val="00936E6A"/>
    <w:rsid w:val="00942433"/>
    <w:rsid w:val="00945235"/>
    <w:rsid w:val="00947D7B"/>
    <w:rsid w:val="009502CE"/>
    <w:rsid w:val="00950754"/>
    <w:rsid w:val="00955DAF"/>
    <w:rsid w:val="00956312"/>
    <w:rsid w:val="00960B05"/>
    <w:rsid w:val="00960F2E"/>
    <w:rsid w:val="00961E49"/>
    <w:rsid w:val="00962BE3"/>
    <w:rsid w:val="0096332F"/>
    <w:rsid w:val="00965289"/>
    <w:rsid w:val="0097041F"/>
    <w:rsid w:val="00970EE3"/>
    <w:rsid w:val="009733A3"/>
    <w:rsid w:val="009758DD"/>
    <w:rsid w:val="00975D05"/>
    <w:rsid w:val="00976717"/>
    <w:rsid w:val="0097780A"/>
    <w:rsid w:val="00982885"/>
    <w:rsid w:val="0098420E"/>
    <w:rsid w:val="009862AD"/>
    <w:rsid w:val="009906C3"/>
    <w:rsid w:val="0099156F"/>
    <w:rsid w:val="00992CCF"/>
    <w:rsid w:val="009940DD"/>
    <w:rsid w:val="00994837"/>
    <w:rsid w:val="00996CF0"/>
    <w:rsid w:val="00997037"/>
    <w:rsid w:val="00997322"/>
    <w:rsid w:val="009974A8"/>
    <w:rsid w:val="009979BB"/>
    <w:rsid w:val="009A19A1"/>
    <w:rsid w:val="009A3AE6"/>
    <w:rsid w:val="009A44A1"/>
    <w:rsid w:val="009A5C99"/>
    <w:rsid w:val="009A6885"/>
    <w:rsid w:val="009A6A8B"/>
    <w:rsid w:val="009A71BA"/>
    <w:rsid w:val="009A71DB"/>
    <w:rsid w:val="009A751B"/>
    <w:rsid w:val="009B0CC2"/>
    <w:rsid w:val="009B4B94"/>
    <w:rsid w:val="009C00C9"/>
    <w:rsid w:val="009C1BC3"/>
    <w:rsid w:val="009C2205"/>
    <w:rsid w:val="009C2918"/>
    <w:rsid w:val="009C325B"/>
    <w:rsid w:val="009C5C7F"/>
    <w:rsid w:val="009C7D2C"/>
    <w:rsid w:val="009D13E1"/>
    <w:rsid w:val="009D252D"/>
    <w:rsid w:val="009D29F3"/>
    <w:rsid w:val="009D6216"/>
    <w:rsid w:val="009D6BD6"/>
    <w:rsid w:val="009E0B13"/>
    <w:rsid w:val="009E14E6"/>
    <w:rsid w:val="009E1973"/>
    <w:rsid w:val="009E207C"/>
    <w:rsid w:val="009E22D8"/>
    <w:rsid w:val="009E34D3"/>
    <w:rsid w:val="009E6126"/>
    <w:rsid w:val="009E6284"/>
    <w:rsid w:val="009F3AED"/>
    <w:rsid w:val="009F3B32"/>
    <w:rsid w:val="009F5C48"/>
    <w:rsid w:val="00A02E83"/>
    <w:rsid w:val="00A047AE"/>
    <w:rsid w:val="00A068B3"/>
    <w:rsid w:val="00A12938"/>
    <w:rsid w:val="00A13260"/>
    <w:rsid w:val="00A2059B"/>
    <w:rsid w:val="00A2173E"/>
    <w:rsid w:val="00A225AB"/>
    <w:rsid w:val="00A23F82"/>
    <w:rsid w:val="00A248EC"/>
    <w:rsid w:val="00A269F3"/>
    <w:rsid w:val="00A27F2C"/>
    <w:rsid w:val="00A34C5A"/>
    <w:rsid w:val="00A41286"/>
    <w:rsid w:val="00A41EFD"/>
    <w:rsid w:val="00A42115"/>
    <w:rsid w:val="00A423A8"/>
    <w:rsid w:val="00A425A9"/>
    <w:rsid w:val="00A441E7"/>
    <w:rsid w:val="00A458EE"/>
    <w:rsid w:val="00A45A4B"/>
    <w:rsid w:val="00A45FAA"/>
    <w:rsid w:val="00A46D35"/>
    <w:rsid w:val="00A46F2A"/>
    <w:rsid w:val="00A522C6"/>
    <w:rsid w:val="00A5564C"/>
    <w:rsid w:val="00A55B4B"/>
    <w:rsid w:val="00A55E1A"/>
    <w:rsid w:val="00A567F0"/>
    <w:rsid w:val="00A6109C"/>
    <w:rsid w:val="00A61E9C"/>
    <w:rsid w:val="00A64C94"/>
    <w:rsid w:val="00A65F9C"/>
    <w:rsid w:val="00A66473"/>
    <w:rsid w:val="00A70FB5"/>
    <w:rsid w:val="00A72BAD"/>
    <w:rsid w:val="00A7567B"/>
    <w:rsid w:val="00A77131"/>
    <w:rsid w:val="00A772A4"/>
    <w:rsid w:val="00A8041E"/>
    <w:rsid w:val="00A815B8"/>
    <w:rsid w:val="00A83AAF"/>
    <w:rsid w:val="00A84520"/>
    <w:rsid w:val="00A85360"/>
    <w:rsid w:val="00A854FC"/>
    <w:rsid w:val="00A85959"/>
    <w:rsid w:val="00A86CB7"/>
    <w:rsid w:val="00A90378"/>
    <w:rsid w:val="00A907FA"/>
    <w:rsid w:val="00A9145E"/>
    <w:rsid w:val="00A945BA"/>
    <w:rsid w:val="00AA019B"/>
    <w:rsid w:val="00AA301A"/>
    <w:rsid w:val="00AA36A1"/>
    <w:rsid w:val="00AA65F0"/>
    <w:rsid w:val="00AB2C93"/>
    <w:rsid w:val="00AB4566"/>
    <w:rsid w:val="00AB4ED5"/>
    <w:rsid w:val="00AC581F"/>
    <w:rsid w:val="00AC6F16"/>
    <w:rsid w:val="00AD0209"/>
    <w:rsid w:val="00AD178E"/>
    <w:rsid w:val="00AD2435"/>
    <w:rsid w:val="00AD4106"/>
    <w:rsid w:val="00AD64E3"/>
    <w:rsid w:val="00AD6CB3"/>
    <w:rsid w:val="00AD72FC"/>
    <w:rsid w:val="00AE346D"/>
    <w:rsid w:val="00AE3BF1"/>
    <w:rsid w:val="00AE467A"/>
    <w:rsid w:val="00AE4A71"/>
    <w:rsid w:val="00AE7757"/>
    <w:rsid w:val="00AF037D"/>
    <w:rsid w:val="00AF237C"/>
    <w:rsid w:val="00AF4EF0"/>
    <w:rsid w:val="00AF5460"/>
    <w:rsid w:val="00AF5B73"/>
    <w:rsid w:val="00AF5C2B"/>
    <w:rsid w:val="00AF6EF8"/>
    <w:rsid w:val="00AF72A8"/>
    <w:rsid w:val="00B0083E"/>
    <w:rsid w:val="00B01921"/>
    <w:rsid w:val="00B02765"/>
    <w:rsid w:val="00B05E42"/>
    <w:rsid w:val="00B05FC2"/>
    <w:rsid w:val="00B063F5"/>
    <w:rsid w:val="00B07B75"/>
    <w:rsid w:val="00B1025B"/>
    <w:rsid w:val="00B10800"/>
    <w:rsid w:val="00B11C49"/>
    <w:rsid w:val="00B12774"/>
    <w:rsid w:val="00B12FBF"/>
    <w:rsid w:val="00B14209"/>
    <w:rsid w:val="00B201ED"/>
    <w:rsid w:val="00B2211B"/>
    <w:rsid w:val="00B2559E"/>
    <w:rsid w:val="00B25A63"/>
    <w:rsid w:val="00B25B35"/>
    <w:rsid w:val="00B25C66"/>
    <w:rsid w:val="00B27972"/>
    <w:rsid w:val="00B27A99"/>
    <w:rsid w:val="00B27BBF"/>
    <w:rsid w:val="00B305C7"/>
    <w:rsid w:val="00B30957"/>
    <w:rsid w:val="00B30CE2"/>
    <w:rsid w:val="00B30DCC"/>
    <w:rsid w:val="00B312DB"/>
    <w:rsid w:val="00B344D7"/>
    <w:rsid w:val="00B357F8"/>
    <w:rsid w:val="00B37131"/>
    <w:rsid w:val="00B376FF"/>
    <w:rsid w:val="00B42531"/>
    <w:rsid w:val="00B43311"/>
    <w:rsid w:val="00B45C5E"/>
    <w:rsid w:val="00B4660F"/>
    <w:rsid w:val="00B466E2"/>
    <w:rsid w:val="00B4720C"/>
    <w:rsid w:val="00B474C2"/>
    <w:rsid w:val="00B501E3"/>
    <w:rsid w:val="00B50C8D"/>
    <w:rsid w:val="00B52FE0"/>
    <w:rsid w:val="00B540FD"/>
    <w:rsid w:val="00B548C3"/>
    <w:rsid w:val="00B5598E"/>
    <w:rsid w:val="00B5612B"/>
    <w:rsid w:val="00B56749"/>
    <w:rsid w:val="00B70F8C"/>
    <w:rsid w:val="00B71F4D"/>
    <w:rsid w:val="00B723E9"/>
    <w:rsid w:val="00B758A9"/>
    <w:rsid w:val="00B75BE4"/>
    <w:rsid w:val="00B77E97"/>
    <w:rsid w:val="00B8040D"/>
    <w:rsid w:val="00B8175D"/>
    <w:rsid w:val="00B8286C"/>
    <w:rsid w:val="00B82D66"/>
    <w:rsid w:val="00B84D14"/>
    <w:rsid w:val="00B85461"/>
    <w:rsid w:val="00B93D89"/>
    <w:rsid w:val="00B95CB5"/>
    <w:rsid w:val="00BA02FA"/>
    <w:rsid w:val="00BA187B"/>
    <w:rsid w:val="00BA3317"/>
    <w:rsid w:val="00BA3AEB"/>
    <w:rsid w:val="00BA55CF"/>
    <w:rsid w:val="00BA5E07"/>
    <w:rsid w:val="00BA76CD"/>
    <w:rsid w:val="00BB0F5B"/>
    <w:rsid w:val="00BB26B7"/>
    <w:rsid w:val="00BB44BD"/>
    <w:rsid w:val="00BB78DE"/>
    <w:rsid w:val="00BC0BDF"/>
    <w:rsid w:val="00BC1404"/>
    <w:rsid w:val="00BC2815"/>
    <w:rsid w:val="00BC626F"/>
    <w:rsid w:val="00BC710D"/>
    <w:rsid w:val="00BC7DCA"/>
    <w:rsid w:val="00BD0ABB"/>
    <w:rsid w:val="00BD14BA"/>
    <w:rsid w:val="00BD4421"/>
    <w:rsid w:val="00BD5397"/>
    <w:rsid w:val="00BD5D1C"/>
    <w:rsid w:val="00BD77C3"/>
    <w:rsid w:val="00BE019E"/>
    <w:rsid w:val="00BE02A2"/>
    <w:rsid w:val="00BE0A98"/>
    <w:rsid w:val="00BE21A4"/>
    <w:rsid w:val="00BE2E3A"/>
    <w:rsid w:val="00BE331E"/>
    <w:rsid w:val="00BE6A2F"/>
    <w:rsid w:val="00BF070F"/>
    <w:rsid w:val="00BF0F3B"/>
    <w:rsid w:val="00BF133B"/>
    <w:rsid w:val="00BF2A18"/>
    <w:rsid w:val="00BF325B"/>
    <w:rsid w:val="00BF3D7E"/>
    <w:rsid w:val="00BF44B1"/>
    <w:rsid w:val="00BF4C44"/>
    <w:rsid w:val="00BF4F49"/>
    <w:rsid w:val="00BF6DA9"/>
    <w:rsid w:val="00C00087"/>
    <w:rsid w:val="00C05279"/>
    <w:rsid w:val="00C05683"/>
    <w:rsid w:val="00C05CB4"/>
    <w:rsid w:val="00C07BB8"/>
    <w:rsid w:val="00C10D22"/>
    <w:rsid w:val="00C11CCA"/>
    <w:rsid w:val="00C12B8B"/>
    <w:rsid w:val="00C12D0C"/>
    <w:rsid w:val="00C23AD1"/>
    <w:rsid w:val="00C25074"/>
    <w:rsid w:val="00C27FB4"/>
    <w:rsid w:val="00C318D1"/>
    <w:rsid w:val="00C324CB"/>
    <w:rsid w:val="00C340A9"/>
    <w:rsid w:val="00C34B30"/>
    <w:rsid w:val="00C36232"/>
    <w:rsid w:val="00C37C1D"/>
    <w:rsid w:val="00C40BC3"/>
    <w:rsid w:val="00C40F2E"/>
    <w:rsid w:val="00C41F13"/>
    <w:rsid w:val="00C46EA5"/>
    <w:rsid w:val="00C47268"/>
    <w:rsid w:val="00C47979"/>
    <w:rsid w:val="00C50CD3"/>
    <w:rsid w:val="00C52035"/>
    <w:rsid w:val="00C526D2"/>
    <w:rsid w:val="00C56BBF"/>
    <w:rsid w:val="00C62F74"/>
    <w:rsid w:val="00C63D94"/>
    <w:rsid w:val="00C663B5"/>
    <w:rsid w:val="00C6699E"/>
    <w:rsid w:val="00C66AD1"/>
    <w:rsid w:val="00C70E02"/>
    <w:rsid w:val="00C73775"/>
    <w:rsid w:val="00C76678"/>
    <w:rsid w:val="00C81846"/>
    <w:rsid w:val="00C82517"/>
    <w:rsid w:val="00C85C68"/>
    <w:rsid w:val="00C85F85"/>
    <w:rsid w:val="00C86392"/>
    <w:rsid w:val="00C87166"/>
    <w:rsid w:val="00C91427"/>
    <w:rsid w:val="00C91971"/>
    <w:rsid w:val="00C92369"/>
    <w:rsid w:val="00C92D9C"/>
    <w:rsid w:val="00C93C80"/>
    <w:rsid w:val="00C94787"/>
    <w:rsid w:val="00C96109"/>
    <w:rsid w:val="00CA2282"/>
    <w:rsid w:val="00CA54CC"/>
    <w:rsid w:val="00CA6CEE"/>
    <w:rsid w:val="00CB13F5"/>
    <w:rsid w:val="00CB348B"/>
    <w:rsid w:val="00CB3CB5"/>
    <w:rsid w:val="00CB3DB3"/>
    <w:rsid w:val="00CB4CE3"/>
    <w:rsid w:val="00CB5192"/>
    <w:rsid w:val="00CB75A2"/>
    <w:rsid w:val="00CC07A0"/>
    <w:rsid w:val="00CC1542"/>
    <w:rsid w:val="00CC3749"/>
    <w:rsid w:val="00CC6BFE"/>
    <w:rsid w:val="00CC7578"/>
    <w:rsid w:val="00CD095A"/>
    <w:rsid w:val="00CD2907"/>
    <w:rsid w:val="00CD4A77"/>
    <w:rsid w:val="00CD6AA3"/>
    <w:rsid w:val="00CE12C1"/>
    <w:rsid w:val="00CE5BE9"/>
    <w:rsid w:val="00CE61A4"/>
    <w:rsid w:val="00CE6A44"/>
    <w:rsid w:val="00CF0179"/>
    <w:rsid w:val="00CF0A3F"/>
    <w:rsid w:val="00CF31E8"/>
    <w:rsid w:val="00CF56E1"/>
    <w:rsid w:val="00CF5D84"/>
    <w:rsid w:val="00CF5DB4"/>
    <w:rsid w:val="00CF76A4"/>
    <w:rsid w:val="00D00A39"/>
    <w:rsid w:val="00D02710"/>
    <w:rsid w:val="00D02BD8"/>
    <w:rsid w:val="00D05182"/>
    <w:rsid w:val="00D053A4"/>
    <w:rsid w:val="00D072B9"/>
    <w:rsid w:val="00D07F0D"/>
    <w:rsid w:val="00D106E8"/>
    <w:rsid w:val="00D12485"/>
    <w:rsid w:val="00D15278"/>
    <w:rsid w:val="00D209E1"/>
    <w:rsid w:val="00D22068"/>
    <w:rsid w:val="00D2232F"/>
    <w:rsid w:val="00D22AC7"/>
    <w:rsid w:val="00D231FD"/>
    <w:rsid w:val="00D23C19"/>
    <w:rsid w:val="00D263AE"/>
    <w:rsid w:val="00D26AFE"/>
    <w:rsid w:val="00D27D64"/>
    <w:rsid w:val="00D30C4F"/>
    <w:rsid w:val="00D3687F"/>
    <w:rsid w:val="00D36B6F"/>
    <w:rsid w:val="00D3770C"/>
    <w:rsid w:val="00D416F2"/>
    <w:rsid w:val="00D425F1"/>
    <w:rsid w:val="00D42728"/>
    <w:rsid w:val="00D435B9"/>
    <w:rsid w:val="00D4662A"/>
    <w:rsid w:val="00D473CB"/>
    <w:rsid w:val="00D47518"/>
    <w:rsid w:val="00D4790F"/>
    <w:rsid w:val="00D5037B"/>
    <w:rsid w:val="00D51F1D"/>
    <w:rsid w:val="00D5584A"/>
    <w:rsid w:val="00D562F2"/>
    <w:rsid w:val="00D56EA9"/>
    <w:rsid w:val="00D57308"/>
    <w:rsid w:val="00D57B6F"/>
    <w:rsid w:val="00D6035B"/>
    <w:rsid w:val="00D61B58"/>
    <w:rsid w:val="00D62993"/>
    <w:rsid w:val="00D64685"/>
    <w:rsid w:val="00D646C6"/>
    <w:rsid w:val="00D67B2C"/>
    <w:rsid w:val="00D72AC1"/>
    <w:rsid w:val="00D741F0"/>
    <w:rsid w:val="00D75136"/>
    <w:rsid w:val="00D768B7"/>
    <w:rsid w:val="00D77FDB"/>
    <w:rsid w:val="00D80400"/>
    <w:rsid w:val="00D80B9F"/>
    <w:rsid w:val="00D80E0B"/>
    <w:rsid w:val="00D81AF7"/>
    <w:rsid w:val="00D81D54"/>
    <w:rsid w:val="00D829A5"/>
    <w:rsid w:val="00D82D1F"/>
    <w:rsid w:val="00D865F4"/>
    <w:rsid w:val="00D86CDC"/>
    <w:rsid w:val="00D931F4"/>
    <w:rsid w:val="00D96B08"/>
    <w:rsid w:val="00DA0558"/>
    <w:rsid w:val="00DA07B1"/>
    <w:rsid w:val="00DA103D"/>
    <w:rsid w:val="00DA1509"/>
    <w:rsid w:val="00DA26F7"/>
    <w:rsid w:val="00DA4757"/>
    <w:rsid w:val="00DA571F"/>
    <w:rsid w:val="00DA5B13"/>
    <w:rsid w:val="00DB05E9"/>
    <w:rsid w:val="00DB0847"/>
    <w:rsid w:val="00DB216D"/>
    <w:rsid w:val="00DB3F80"/>
    <w:rsid w:val="00DB4F8F"/>
    <w:rsid w:val="00DB5E12"/>
    <w:rsid w:val="00DB5FB9"/>
    <w:rsid w:val="00DC01A3"/>
    <w:rsid w:val="00DC14D1"/>
    <w:rsid w:val="00DC289C"/>
    <w:rsid w:val="00DC3D5F"/>
    <w:rsid w:val="00DC61BF"/>
    <w:rsid w:val="00DC62B6"/>
    <w:rsid w:val="00DD0D65"/>
    <w:rsid w:val="00DD43D5"/>
    <w:rsid w:val="00DD65F5"/>
    <w:rsid w:val="00DD6FD1"/>
    <w:rsid w:val="00DE2B32"/>
    <w:rsid w:val="00DE4791"/>
    <w:rsid w:val="00DE57D3"/>
    <w:rsid w:val="00DE66D8"/>
    <w:rsid w:val="00DF13C7"/>
    <w:rsid w:val="00DF3824"/>
    <w:rsid w:val="00DF422B"/>
    <w:rsid w:val="00DF4FE0"/>
    <w:rsid w:val="00DF662A"/>
    <w:rsid w:val="00DF6AA8"/>
    <w:rsid w:val="00DF74E4"/>
    <w:rsid w:val="00DF78A0"/>
    <w:rsid w:val="00E02DEE"/>
    <w:rsid w:val="00E063C2"/>
    <w:rsid w:val="00E12B71"/>
    <w:rsid w:val="00E130D2"/>
    <w:rsid w:val="00E14864"/>
    <w:rsid w:val="00E14922"/>
    <w:rsid w:val="00E160CE"/>
    <w:rsid w:val="00E17168"/>
    <w:rsid w:val="00E21DCE"/>
    <w:rsid w:val="00E2371F"/>
    <w:rsid w:val="00E26AA7"/>
    <w:rsid w:val="00E3170A"/>
    <w:rsid w:val="00E32046"/>
    <w:rsid w:val="00E33F55"/>
    <w:rsid w:val="00E40212"/>
    <w:rsid w:val="00E403D6"/>
    <w:rsid w:val="00E4048E"/>
    <w:rsid w:val="00E419E6"/>
    <w:rsid w:val="00E45A73"/>
    <w:rsid w:val="00E465DC"/>
    <w:rsid w:val="00E52070"/>
    <w:rsid w:val="00E542E6"/>
    <w:rsid w:val="00E5748A"/>
    <w:rsid w:val="00E61705"/>
    <w:rsid w:val="00E6226F"/>
    <w:rsid w:val="00E636D8"/>
    <w:rsid w:val="00E650C9"/>
    <w:rsid w:val="00E67F67"/>
    <w:rsid w:val="00E72802"/>
    <w:rsid w:val="00E77B6A"/>
    <w:rsid w:val="00E80E0C"/>
    <w:rsid w:val="00E82723"/>
    <w:rsid w:val="00E82D57"/>
    <w:rsid w:val="00E82FCE"/>
    <w:rsid w:val="00E84434"/>
    <w:rsid w:val="00E87705"/>
    <w:rsid w:val="00E87D24"/>
    <w:rsid w:val="00E909D3"/>
    <w:rsid w:val="00E91AA9"/>
    <w:rsid w:val="00E92AF9"/>
    <w:rsid w:val="00E93AD3"/>
    <w:rsid w:val="00E94549"/>
    <w:rsid w:val="00E9474E"/>
    <w:rsid w:val="00E97A63"/>
    <w:rsid w:val="00EA2CD5"/>
    <w:rsid w:val="00EA3F54"/>
    <w:rsid w:val="00EA476B"/>
    <w:rsid w:val="00EA58F6"/>
    <w:rsid w:val="00EA5C37"/>
    <w:rsid w:val="00EA6055"/>
    <w:rsid w:val="00EA62CF"/>
    <w:rsid w:val="00EA72DC"/>
    <w:rsid w:val="00EA7587"/>
    <w:rsid w:val="00EA7E89"/>
    <w:rsid w:val="00EB3380"/>
    <w:rsid w:val="00EB54A8"/>
    <w:rsid w:val="00EB68A3"/>
    <w:rsid w:val="00EC2B4A"/>
    <w:rsid w:val="00EC2C5B"/>
    <w:rsid w:val="00EC6715"/>
    <w:rsid w:val="00ED132D"/>
    <w:rsid w:val="00ED1F0F"/>
    <w:rsid w:val="00ED6595"/>
    <w:rsid w:val="00EE0D88"/>
    <w:rsid w:val="00EE0EDD"/>
    <w:rsid w:val="00EE0F69"/>
    <w:rsid w:val="00EE1FD4"/>
    <w:rsid w:val="00EE2F72"/>
    <w:rsid w:val="00EE3EC6"/>
    <w:rsid w:val="00EE49C3"/>
    <w:rsid w:val="00EE5F76"/>
    <w:rsid w:val="00EE65E6"/>
    <w:rsid w:val="00EE7D0D"/>
    <w:rsid w:val="00EF32AE"/>
    <w:rsid w:val="00EF3BAB"/>
    <w:rsid w:val="00EF4B6A"/>
    <w:rsid w:val="00EF5B48"/>
    <w:rsid w:val="00EF68AD"/>
    <w:rsid w:val="00F00440"/>
    <w:rsid w:val="00F0287C"/>
    <w:rsid w:val="00F037B9"/>
    <w:rsid w:val="00F05EF9"/>
    <w:rsid w:val="00F06E01"/>
    <w:rsid w:val="00F111B9"/>
    <w:rsid w:val="00F13947"/>
    <w:rsid w:val="00F14125"/>
    <w:rsid w:val="00F1592F"/>
    <w:rsid w:val="00F15B6E"/>
    <w:rsid w:val="00F21772"/>
    <w:rsid w:val="00F25C5E"/>
    <w:rsid w:val="00F26737"/>
    <w:rsid w:val="00F347C9"/>
    <w:rsid w:val="00F35296"/>
    <w:rsid w:val="00F37262"/>
    <w:rsid w:val="00F470BE"/>
    <w:rsid w:val="00F501D0"/>
    <w:rsid w:val="00F50D32"/>
    <w:rsid w:val="00F543F9"/>
    <w:rsid w:val="00F54945"/>
    <w:rsid w:val="00F6278D"/>
    <w:rsid w:val="00F63886"/>
    <w:rsid w:val="00F67926"/>
    <w:rsid w:val="00F710E0"/>
    <w:rsid w:val="00F720CF"/>
    <w:rsid w:val="00F73CC8"/>
    <w:rsid w:val="00F753D4"/>
    <w:rsid w:val="00F777C1"/>
    <w:rsid w:val="00F83EA6"/>
    <w:rsid w:val="00F930AC"/>
    <w:rsid w:val="00F94151"/>
    <w:rsid w:val="00F94F64"/>
    <w:rsid w:val="00F95CE5"/>
    <w:rsid w:val="00F95FC2"/>
    <w:rsid w:val="00F96D57"/>
    <w:rsid w:val="00F97540"/>
    <w:rsid w:val="00FA2E51"/>
    <w:rsid w:val="00FA4A50"/>
    <w:rsid w:val="00FA6B4B"/>
    <w:rsid w:val="00FB23EC"/>
    <w:rsid w:val="00FB492A"/>
    <w:rsid w:val="00FB4DA8"/>
    <w:rsid w:val="00FC299B"/>
    <w:rsid w:val="00FC4629"/>
    <w:rsid w:val="00FC6127"/>
    <w:rsid w:val="00FC61DD"/>
    <w:rsid w:val="00FC6208"/>
    <w:rsid w:val="00FC6F01"/>
    <w:rsid w:val="00FD4F3C"/>
    <w:rsid w:val="00FD74BB"/>
    <w:rsid w:val="00FD7508"/>
    <w:rsid w:val="00FD7DA5"/>
    <w:rsid w:val="00FE0AE9"/>
    <w:rsid w:val="00FE0E8C"/>
    <w:rsid w:val="00FE247B"/>
    <w:rsid w:val="00FE323F"/>
    <w:rsid w:val="00FE3A77"/>
    <w:rsid w:val="00FF22E5"/>
    <w:rsid w:val="00FF2699"/>
    <w:rsid w:val="00FF26E3"/>
    <w:rsid w:val="00FF42D7"/>
    <w:rsid w:val="00FF4C3B"/>
    <w:rsid w:val="00FF7E7D"/>
    <w:rsid w:val="010C2BAB"/>
    <w:rsid w:val="012B5F52"/>
    <w:rsid w:val="01352967"/>
    <w:rsid w:val="01505CFB"/>
    <w:rsid w:val="01535CC4"/>
    <w:rsid w:val="01673D93"/>
    <w:rsid w:val="017F5725"/>
    <w:rsid w:val="01A00C4B"/>
    <w:rsid w:val="02080908"/>
    <w:rsid w:val="023128A5"/>
    <w:rsid w:val="02421D02"/>
    <w:rsid w:val="0295339B"/>
    <w:rsid w:val="03205178"/>
    <w:rsid w:val="04180F6C"/>
    <w:rsid w:val="04425FE9"/>
    <w:rsid w:val="0469042F"/>
    <w:rsid w:val="047A1C32"/>
    <w:rsid w:val="0481369D"/>
    <w:rsid w:val="04A66578"/>
    <w:rsid w:val="04B035D7"/>
    <w:rsid w:val="04B50EB1"/>
    <w:rsid w:val="051E3AF9"/>
    <w:rsid w:val="05532906"/>
    <w:rsid w:val="056326BB"/>
    <w:rsid w:val="05935E1D"/>
    <w:rsid w:val="05BB42A5"/>
    <w:rsid w:val="05E94B07"/>
    <w:rsid w:val="05F70D2B"/>
    <w:rsid w:val="061834A6"/>
    <w:rsid w:val="062A142B"/>
    <w:rsid w:val="0659586C"/>
    <w:rsid w:val="06AB5D57"/>
    <w:rsid w:val="06AC2F3C"/>
    <w:rsid w:val="06CA7ADA"/>
    <w:rsid w:val="06D97B7D"/>
    <w:rsid w:val="07061550"/>
    <w:rsid w:val="07F817E1"/>
    <w:rsid w:val="07FE66CB"/>
    <w:rsid w:val="084F79CD"/>
    <w:rsid w:val="08901A19"/>
    <w:rsid w:val="08E06A0B"/>
    <w:rsid w:val="08E468C7"/>
    <w:rsid w:val="093D5B9C"/>
    <w:rsid w:val="09BC58CD"/>
    <w:rsid w:val="0A7B17CC"/>
    <w:rsid w:val="0AC631DE"/>
    <w:rsid w:val="0AC93120"/>
    <w:rsid w:val="0ACF19B1"/>
    <w:rsid w:val="0B4B1C27"/>
    <w:rsid w:val="0B4F5282"/>
    <w:rsid w:val="0B5F0E78"/>
    <w:rsid w:val="0B702921"/>
    <w:rsid w:val="0B887BDD"/>
    <w:rsid w:val="0BB96763"/>
    <w:rsid w:val="0BCB4B6A"/>
    <w:rsid w:val="0BE03D36"/>
    <w:rsid w:val="0BE42B54"/>
    <w:rsid w:val="0BE81B6C"/>
    <w:rsid w:val="0C1E6991"/>
    <w:rsid w:val="0C41784F"/>
    <w:rsid w:val="0C621C51"/>
    <w:rsid w:val="0C945850"/>
    <w:rsid w:val="0C9D4705"/>
    <w:rsid w:val="0CC021A1"/>
    <w:rsid w:val="0CDE3FE8"/>
    <w:rsid w:val="0D026C5D"/>
    <w:rsid w:val="0D8238FA"/>
    <w:rsid w:val="0D82620F"/>
    <w:rsid w:val="0D9901EF"/>
    <w:rsid w:val="0DC72309"/>
    <w:rsid w:val="0DF054F8"/>
    <w:rsid w:val="0DFD36A2"/>
    <w:rsid w:val="0E3E3CC5"/>
    <w:rsid w:val="0EE46C6A"/>
    <w:rsid w:val="0F0B7ADA"/>
    <w:rsid w:val="0F0C5B71"/>
    <w:rsid w:val="0F0C73E6"/>
    <w:rsid w:val="0F0F11BE"/>
    <w:rsid w:val="0F2A03FC"/>
    <w:rsid w:val="0F314C43"/>
    <w:rsid w:val="0F6323EA"/>
    <w:rsid w:val="0F665DD1"/>
    <w:rsid w:val="0FBB0D22"/>
    <w:rsid w:val="0FD3668F"/>
    <w:rsid w:val="0FE34B24"/>
    <w:rsid w:val="0FE443F8"/>
    <w:rsid w:val="0FF01DCA"/>
    <w:rsid w:val="101557F0"/>
    <w:rsid w:val="1093338A"/>
    <w:rsid w:val="10B22D39"/>
    <w:rsid w:val="10FD7E68"/>
    <w:rsid w:val="1107547A"/>
    <w:rsid w:val="11185848"/>
    <w:rsid w:val="1128487D"/>
    <w:rsid w:val="114E3CD4"/>
    <w:rsid w:val="11592226"/>
    <w:rsid w:val="11651569"/>
    <w:rsid w:val="11683F1B"/>
    <w:rsid w:val="11805498"/>
    <w:rsid w:val="118E551D"/>
    <w:rsid w:val="11CB1F8D"/>
    <w:rsid w:val="11D706B9"/>
    <w:rsid w:val="11FB0C3E"/>
    <w:rsid w:val="12136B3F"/>
    <w:rsid w:val="12235CD5"/>
    <w:rsid w:val="12476426"/>
    <w:rsid w:val="128D4355"/>
    <w:rsid w:val="12DF2A5A"/>
    <w:rsid w:val="132C6A5A"/>
    <w:rsid w:val="133A5A81"/>
    <w:rsid w:val="134A6C68"/>
    <w:rsid w:val="13A754E5"/>
    <w:rsid w:val="14656C9B"/>
    <w:rsid w:val="14802C1D"/>
    <w:rsid w:val="14BE1CA3"/>
    <w:rsid w:val="14C447F8"/>
    <w:rsid w:val="151632A6"/>
    <w:rsid w:val="15587FB4"/>
    <w:rsid w:val="159F0E90"/>
    <w:rsid w:val="15EE4223"/>
    <w:rsid w:val="168C2E40"/>
    <w:rsid w:val="17193A3C"/>
    <w:rsid w:val="17546308"/>
    <w:rsid w:val="175D2C7E"/>
    <w:rsid w:val="17C74238"/>
    <w:rsid w:val="183945CA"/>
    <w:rsid w:val="185C36C6"/>
    <w:rsid w:val="18692E3C"/>
    <w:rsid w:val="18CE1DEC"/>
    <w:rsid w:val="18ED2570"/>
    <w:rsid w:val="193C6F2A"/>
    <w:rsid w:val="19505FC6"/>
    <w:rsid w:val="19656A32"/>
    <w:rsid w:val="198056E6"/>
    <w:rsid w:val="19BE3676"/>
    <w:rsid w:val="19C172A8"/>
    <w:rsid w:val="19C659EC"/>
    <w:rsid w:val="19D00DAC"/>
    <w:rsid w:val="1A3B555D"/>
    <w:rsid w:val="1A5A06D6"/>
    <w:rsid w:val="1AAA4F67"/>
    <w:rsid w:val="1AAE1E8A"/>
    <w:rsid w:val="1AD00105"/>
    <w:rsid w:val="1AD54864"/>
    <w:rsid w:val="1AEC1FB0"/>
    <w:rsid w:val="1B2E0C1E"/>
    <w:rsid w:val="1B700240"/>
    <w:rsid w:val="1BCA31B2"/>
    <w:rsid w:val="1C0F4EF3"/>
    <w:rsid w:val="1C2437EB"/>
    <w:rsid w:val="1C2A13F3"/>
    <w:rsid w:val="1C376D48"/>
    <w:rsid w:val="1C662D65"/>
    <w:rsid w:val="1C833A38"/>
    <w:rsid w:val="1CA4388D"/>
    <w:rsid w:val="1CA47A0D"/>
    <w:rsid w:val="1CAE64BA"/>
    <w:rsid w:val="1CFF196A"/>
    <w:rsid w:val="1D0205B4"/>
    <w:rsid w:val="1D28626C"/>
    <w:rsid w:val="1D2A34AD"/>
    <w:rsid w:val="1D614730"/>
    <w:rsid w:val="1DC11182"/>
    <w:rsid w:val="1E220F0E"/>
    <w:rsid w:val="1E340C41"/>
    <w:rsid w:val="1EBB4734"/>
    <w:rsid w:val="1EC10726"/>
    <w:rsid w:val="1EE01DE8"/>
    <w:rsid w:val="1EE86EE3"/>
    <w:rsid w:val="1EFB169C"/>
    <w:rsid w:val="1F0B056A"/>
    <w:rsid w:val="1F106FB8"/>
    <w:rsid w:val="1F135FB1"/>
    <w:rsid w:val="1F211466"/>
    <w:rsid w:val="1F3F1B58"/>
    <w:rsid w:val="1F8A47FF"/>
    <w:rsid w:val="1F9E0BB4"/>
    <w:rsid w:val="1FA151A7"/>
    <w:rsid w:val="2038335D"/>
    <w:rsid w:val="2042684B"/>
    <w:rsid w:val="204F5D9B"/>
    <w:rsid w:val="20713A86"/>
    <w:rsid w:val="207F5EF0"/>
    <w:rsid w:val="20E35EDF"/>
    <w:rsid w:val="210332F7"/>
    <w:rsid w:val="21212A22"/>
    <w:rsid w:val="213C4D8C"/>
    <w:rsid w:val="214649B7"/>
    <w:rsid w:val="215D225D"/>
    <w:rsid w:val="217C26E3"/>
    <w:rsid w:val="21871088"/>
    <w:rsid w:val="21B46442"/>
    <w:rsid w:val="21ED1832"/>
    <w:rsid w:val="21F64047"/>
    <w:rsid w:val="21FE1453"/>
    <w:rsid w:val="220B3A67"/>
    <w:rsid w:val="224C6F54"/>
    <w:rsid w:val="225E44DE"/>
    <w:rsid w:val="227A05E7"/>
    <w:rsid w:val="232F19D7"/>
    <w:rsid w:val="233D5EA2"/>
    <w:rsid w:val="23AB5501"/>
    <w:rsid w:val="23B172F2"/>
    <w:rsid w:val="23BF4A68"/>
    <w:rsid w:val="23FD052A"/>
    <w:rsid w:val="241E2177"/>
    <w:rsid w:val="243523CB"/>
    <w:rsid w:val="24397A54"/>
    <w:rsid w:val="244A1193"/>
    <w:rsid w:val="248F2C00"/>
    <w:rsid w:val="24B14D99"/>
    <w:rsid w:val="24BB1774"/>
    <w:rsid w:val="24E30B4F"/>
    <w:rsid w:val="252E5512"/>
    <w:rsid w:val="25410798"/>
    <w:rsid w:val="259673B0"/>
    <w:rsid w:val="265500D6"/>
    <w:rsid w:val="26553E1B"/>
    <w:rsid w:val="27174C5C"/>
    <w:rsid w:val="271A6261"/>
    <w:rsid w:val="275058B3"/>
    <w:rsid w:val="27822A1D"/>
    <w:rsid w:val="27C052F3"/>
    <w:rsid w:val="27D72D69"/>
    <w:rsid w:val="27DC6CF5"/>
    <w:rsid w:val="27FF3ADB"/>
    <w:rsid w:val="2886653D"/>
    <w:rsid w:val="288E0F4E"/>
    <w:rsid w:val="28B246A4"/>
    <w:rsid w:val="28DE0127"/>
    <w:rsid w:val="28E75EE1"/>
    <w:rsid w:val="28F13D40"/>
    <w:rsid w:val="28F4381E"/>
    <w:rsid w:val="290473EC"/>
    <w:rsid w:val="296C74E1"/>
    <w:rsid w:val="297A4743"/>
    <w:rsid w:val="29E05CB3"/>
    <w:rsid w:val="29FF1D23"/>
    <w:rsid w:val="2A0B044C"/>
    <w:rsid w:val="2A4C5876"/>
    <w:rsid w:val="2A750617"/>
    <w:rsid w:val="2A96648E"/>
    <w:rsid w:val="2A9C2048"/>
    <w:rsid w:val="2AFC6642"/>
    <w:rsid w:val="2B0A5203"/>
    <w:rsid w:val="2B6129DA"/>
    <w:rsid w:val="2B763DE1"/>
    <w:rsid w:val="2BAA7930"/>
    <w:rsid w:val="2BB971E1"/>
    <w:rsid w:val="2BF35E77"/>
    <w:rsid w:val="2C204F7B"/>
    <w:rsid w:val="2C2675D1"/>
    <w:rsid w:val="2C5A412F"/>
    <w:rsid w:val="2C6646BB"/>
    <w:rsid w:val="2C6B4AC3"/>
    <w:rsid w:val="2CC106CB"/>
    <w:rsid w:val="2CE12A73"/>
    <w:rsid w:val="2D12039F"/>
    <w:rsid w:val="2D597216"/>
    <w:rsid w:val="2D684463"/>
    <w:rsid w:val="2D9622B6"/>
    <w:rsid w:val="2DB87198"/>
    <w:rsid w:val="2DBD1ABE"/>
    <w:rsid w:val="2DD02422"/>
    <w:rsid w:val="2DD55AD9"/>
    <w:rsid w:val="2DE012DA"/>
    <w:rsid w:val="2DE0757D"/>
    <w:rsid w:val="2DE81FA0"/>
    <w:rsid w:val="2DEA16C1"/>
    <w:rsid w:val="2DF31F7F"/>
    <w:rsid w:val="2DFF7E04"/>
    <w:rsid w:val="2E1F55C0"/>
    <w:rsid w:val="2E3003DD"/>
    <w:rsid w:val="2EB55486"/>
    <w:rsid w:val="2EBC62E3"/>
    <w:rsid w:val="2EEE109D"/>
    <w:rsid w:val="2F6E1DEC"/>
    <w:rsid w:val="2F9E416C"/>
    <w:rsid w:val="2FA31782"/>
    <w:rsid w:val="2FC8359B"/>
    <w:rsid w:val="2FCC0D61"/>
    <w:rsid w:val="2FEC4FAC"/>
    <w:rsid w:val="303F591A"/>
    <w:rsid w:val="304545E8"/>
    <w:rsid w:val="30B005FB"/>
    <w:rsid w:val="30CA5D19"/>
    <w:rsid w:val="317C04DD"/>
    <w:rsid w:val="3184123C"/>
    <w:rsid w:val="31C13C25"/>
    <w:rsid w:val="32116E77"/>
    <w:rsid w:val="32472899"/>
    <w:rsid w:val="32AC4DF2"/>
    <w:rsid w:val="332A1ACD"/>
    <w:rsid w:val="33384B15"/>
    <w:rsid w:val="33606461"/>
    <w:rsid w:val="336B0809"/>
    <w:rsid w:val="33F24A86"/>
    <w:rsid w:val="33FE6F38"/>
    <w:rsid w:val="340B1178"/>
    <w:rsid w:val="340D18C0"/>
    <w:rsid w:val="342015F4"/>
    <w:rsid w:val="3434509F"/>
    <w:rsid w:val="346664F7"/>
    <w:rsid w:val="346911EC"/>
    <w:rsid w:val="346A57D2"/>
    <w:rsid w:val="346F0EE3"/>
    <w:rsid w:val="3474193F"/>
    <w:rsid w:val="34763909"/>
    <w:rsid w:val="347A5FA7"/>
    <w:rsid w:val="34A16728"/>
    <w:rsid w:val="34A27866"/>
    <w:rsid w:val="34F32686"/>
    <w:rsid w:val="35317E94"/>
    <w:rsid w:val="353D00B7"/>
    <w:rsid w:val="355D23D3"/>
    <w:rsid w:val="355F439E"/>
    <w:rsid w:val="35957DBF"/>
    <w:rsid w:val="35973B37"/>
    <w:rsid w:val="36315133"/>
    <w:rsid w:val="364517E5"/>
    <w:rsid w:val="36547A91"/>
    <w:rsid w:val="365A0A03"/>
    <w:rsid w:val="366215F3"/>
    <w:rsid w:val="36D1369A"/>
    <w:rsid w:val="36D32C19"/>
    <w:rsid w:val="36D6115D"/>
    <w:rsid w:val="36DB371A"/>
    <w:rsid w:val="370074BA"/>
    <w:rsid w:val="37016B5B"/>
    <w:rsid w:val="371C0798"/>
    <w:rsid w:val="373E1CFE"/>
    <w:rsid w:val="374A66EF"/>
    <w:rsid w:val="375C0D63"/>
    <w:rsid w:val="377B53FE"/>
    <w:rsid w:val="37B07AF8"/>
    <w:rsid w:val="38213B8C"/>
    <w:rsid w:val="386325CE"/>
    <w:rsid w:val="38B14F10"/>
    <w:rsid w:val="38EE7F12"/>
    <w:rsid w:val="38F604E8"/>
    <w:rsid w:val="38F94718"/>
    <w:rsid w:val="390E5AA4"/>
    <w:rsid w:val="39491472"/>
    <w:rsid w:val="399C7D9C"/>
    <w:rsid w:val="39A84565"/>
    <w:rsid w:val="39C940DD"/>
    <w:rsid w:val="39CC3F57"/>
    <w:rsid w:val="39D517CB"/>
    <w:rsid w:val="39E31FA9"/>
    <w:rsid w:val="39E3734B"/>
    <w:rsid w:val="3A2E7BD5"/>
    <w:rsid w:val="3A3B544D"/>
    <w:rsid w:val="3A58789B"/>
    <w:rsid w:val="3A66321F"/>
    <w:rsid w:val="3A7722F0"/>
    <w:rsid w:val="3A9337A6"/>
    <w:rsid w:val="3AA3302B"/>
    <w:rsid w:val="3B231B13"/>
    <w:rsid w:val="3B246109"/>
    <w:rsid w:val="3B3836C7"/>
    <w:rsid w:val="3B384D23"/>
    <w:rsid w:val="3B473DA3"/>
    <w:rsid w:val="3B5003B8"/>
    <w:rsid w:val="3BA10B57"/>
    <w:rsid w:val="3BEA31E1"/>
    <w:rsid w:val="3C1804B3"/>
    <w:rsid w:val="3C296441"/>
    <w:rsid w:val="3C66236F"/>
    <w:rsid w:val="3C903088"/>
    <w:rsid w:val="3C997D43"/>
    <w:rsid w:val="3D5216C0"/>
    <w:rsid w:val="3D5F6052"/>
    <w:rsid w:val="3D6F7148"/>
    <w:rsid w:val="3DA61E89"/>
    <w:rsid w:val="3DD05E38"/>
    <w:rsid w:val="3DD119FA"/>
    <w:rsid w:val="3E066ACA"/>
    <w:rsid w:val="3E1D2E9B"/>
    <w:rsid w:val="3E5D1C81"/>
    <w:rsid w:val="3EC15C6F"/>
    <w:rsid w:val="3EFA5515"/>
    <w:rsid w:val="3F047D0D"/>
    <w:rsid w:val="3F283A52"/>
    <w:rsid w:val="3F870779"/>
    <w:rsid w:val="3F8D74B1"/>
    <w:rsid w:val="3FA73DAF"/>
    <w:rsid w:val="3FD014DC"/>
    <w:rsid w:val="40316258"/>
    <w:rsid w:val="40343C85"/>
    <w:rsid w:val="40582115"/>
    <w:rsid w:val="40707630"/>
    <w:rsid w:val="407C5E04"/>
    <w:rsid w:val="40B97058"/>
    <w:rsid w:val="40C94DC1"/>
    <w:rsid w:val="413E3A8A"/>
    <w:rsid w:val="415B010F"/>
    <w:rsid w:val="41AA4BF2"/>
    <w:rsid w:val="41BF6E2B"/>
    <w:rsid w:val="41C37A62"/>
    <w:rsid w:val="421B789E"/>
    <w:rsid w:val="42497F67"/>
    <w:rsid w:val="42507825"/>
    <w:rsid w:val="42536505"/>
    <w:rsid w:val="426D00FA"/>
    <w:rsid w:val="42AB6E74"/>
    <w:rsid w:val="430D5439"/>
    <w:rsid w:val="4311685E"/>
    <w:rsid w:val="438E4E05"/>
    <w:rsid w:val="43A0005B"/>
    <w:rsid w:val="43B32256"/>
    <w:rsid w:val="43B43B06"/>
    <w:rsid w:val="44284848"/>
    <w:rsid w:val="44310473"/>
    <w:rsid w:val="4482138B"/>
    <w:rsid w:val="44923C8C"/>
    <w:rsid w:val="44C433C6"/>
    <w:rsid w:val="454048AB"/>
    <w:rsid w:val="45555209"/>
    <w:rsid w:val="455A22AB"/>
    <w:rsid w:val="456442B5"/>
    <w:rsid w:val="457A48DC"/>
    <w:rsid w:val="459B6D2C"/>
    <w:rsid w:val="461E1969"/>
    <w:rsid w:val="465E4DA3"/>
    <w:rsid w:val="468B4FF2"/>
    <w:rsid w:val="46AC5357"/>
    <w:rsid w:val="46BD2A8C"/>
    <w:rsid w:val="46DF0CB9"/>
    <w:rsid w:val="470D1475"/>
    <w:rsid w:val="473142C2"/>
    <w:rsid w:val="477C493B"/>
    <w:rsid w:val="478F7A25"/>
    <w:rsid w:val="47D7511C"/>
    <w:rsid w:val="47DA6FED"/>
    <w:rsid w:val="47E24B7B"/>
    <w:rsid w:val="47E50732"/>
    <w:rsid w:val="484D2D27"/>
    <w:rsid w:val="48515DC8"/>
    <w:rsid w:val="4864156E"/>
    <w:rsid w:val="48700764"/>
    <w:rsid w:val="48877A3B"/>
    <w:rsid w:val="48997F02"/>
    <w:rsid w:val="49025314"/>
    <w:rsid w:val="490270C2"/>
    <w:rsid w:val="49227764"/>
    <w:rsid w:val="49301412"/>
    <w:rsid w:val="493954E2"/>
    <w:rsid w:val="4943127F"/>
    <w:rsid w:val="495025EB"/>
    <w:rsid w:val="49830BC2"/>
    <w:rsid w:val="49B3664D"/>
    <w:rsid w:val="49E8275C"/>
    <w:rsid w:val="4AA20DCD"/>
    <w:rsid w:val="4AB158A6"/>
    <w:rsid w:val="4AB75150"/>
    <w:rsid w:val="4AC42AFF"/>
    <w:rsid w:val="4AC95EC1"/>
    <w:rsid w:val="4AE47FB2"/>
    <w:rsid w:val="4AFF1B0B"/>
    <w:rsid w:val="4B632B6F"/>
    <w:rsid w:val="4BAA5BDD"/>
    <w:rsid w:val="4BB10FD8"/>
    <w:rsid w:val="4BBA1ED6"/>
    <w:rsid w:val="4BBC3274"/>
    <w:rsid w:val="4BBD078F"/>
    <w:rsid w:val="4BCE772F"/>
    <w:rsid w:val="4BDE22A6"/>
    <w:rsid w:val="4BEF5479"/>
    <w:rsid w:val="4C07090C"/>
    <w:rsid w:val="4C184539"/>
    <w:rsid w:val="4CFD3592"/>
    <w:rsid w:val="4D127F16"/>
    <w:rsid w:val="4D1D5FF7"/>
    <w:rsid w:val="4D210A8C"/>
    <w:rsid w:val="4D9258D3"/>
    <w:rsid w:val="4DC332C4"/>
    <w:rsid w:val="4DEB6377"/>
    <w:rsid w:val="4DFA0CB0"/>
    <w:rsid w:val="4E265CF2"/>
    <w:rsid w:val="4E3A10AC"/>
    <w:rsid w:val="4E3C6A4E"/>
    <w:rsid w:val="4E4F6673"/>
    <w:rsid w:val="4E617142"/>
    <w:rsid w:val="4E962786"/>
    <w:rsid w:val="4EB9694E"/>
    <w:rsid w:val="4EDB46BD"/>
    <w:rsid w:val="4EDE5709"/>
    <w:rsid w:val="4EE148F4"/>
    <w:rsid w:val="4EFE46BC"/>
    <w:rsid w:val="4F2953A8"/>
    <w:rsid w:val="4F4B5F19"/>
    <w:rsid w:val="4F8A0F43"/>
    <w:rsid w:val="4F9128E7"/>
    <w:rsid w:val="4FAA55B4"/>
    <w:rsid w:val="4FD11CE0"/>
    <w:rsid w:val="4FD25A40"/>
    <w:rsid w:val="5060147A"/>
    <w:rsid w:val="508456FD"/>
    <w:rsid w:val="51444013"/>
    <w:rsid w:val="51561357"/>
    <w:rsid w:val="516157B5"/>
    <w:rsid w:val="518E1E3B"/>
    <w:rsid w:val="51A65CD9"/>
    <w:rsid w:val="51C846B8"/>
    <w:rsid w:val="51CC6D8B"/>
    <w:rsid w:val="51EE4687"/>
    <w:rsid w:val="520F75A8"/>
    <w:rsid w:val="521B74FF"/>
    <w:rsid w:val="524173DF"/>
    <w:rsid w:val="52713A94"/>
    <w:rsid w:val="52B4767F"/>
    <w:rsid w:val="52D14794"/>
    <w:rsid w:val="52F62B54"/>
    <w:rsid w:val="532E13F5"/>
    <w:rsid w:val="53436CB1"/>
    <w:rsid w:val="53437F61"/>
    <w:rsid w:val="539D76E1"/>
    <w:rsid w:val="53AC47FA"/>
    <w:rsid w:val="53D64E84"/>
    <w:rsid w:val="53E37B97"/>
    <w:rsid w:val="541553DF"/>
    <w:rsid w:val="543A3BB4"/>
    <w:rsid w:val="543F151A"/>
    <w:rsid w:val="5449029B"/>
    <w:rsid w:val="545729B8"/>
    <w:rsid w:val="546504F7"/>
    <w:rsid w:val="54714206"/>
    <w:rsid w:val="5490582F"/>
    <w:rsid w:val="54B5148C"/>
    <w:rsid w:val="54B90DDB"/>
    <w:rsid w:val="54C066CF"/>
    <w:rsid w:val="54D30705"/>
    <w:rsid w:val="54E6126B"/>
    <w:rsid w:val="54EA311E"/>
    <w:rsid w:val="555A44C1"/>
    <w:rsid w:val="5569544C"/>
    <w:rsid w:val="55763F84"/>
    <w:rsid w:val="558B2585"/>
    <w:rsid w:val="55E21577"/>
    <w:rsid w:val="55E47F6D"/>
    <w:rsid w:val="560A6185"/>
    <w:rsid w:val="56257BD3"/>
    <w:rsid w:val="568F2266"/>
    <w:rsid w:val="569E2BA7"/>
    <w:rsid w:val="56A27288"/>
    <w:rsid w:val="56AD4451"/>
    <w:rsid w:val="56C241D6"/>
    <w:rsid w:val="56C65BD3"/>
    <w:rsid w:val="56CB4F97"/>
    <w:rsid w:val="56E878F7"/>
    <w:rsid w:val="570108EB"/>
    <w:rsid w:val="570C4F8A"/>
    <w:rsid w:val="572D20CC"/>
    <w:rsid w:val="57662666"/>
    <w:rsid w:val="57BD2ABC"/>
    <w:rsid w:val="58093FC9"/>
    <w:rsid w:val="580E1EEE"/>
    <w:rsid w:val="58346B6C"/>
    <w:rsid w:val="585A59C4"/>
    <w:rsid w:val="586F67F3"/>
    <w:rsid w:val="58931AE5"/>
    <w:rsid w:val="58AD3D6E"/>
    <w:rsid w:val="58B25C30"/>
    <w:rsid w:val="58ED6699"/>
    <w:rsid w:val="58F76517"/>
    <w:rsid w:val="593F24A5"/>
    <w:rsid w:val="59DE00CD"/>
    <w:rsid w:val="5A685562"/>
    <w:rsid w:val="5AAE1DAC"/>
    <w:rsid w:val="5ACF7EDE"/>
    <w:rsid w:val="5ADC1FCA"/>
    <w:rsid w:val="5B415D90"/>
    <w:rsid w:val="5BDC5751"/>
    <w:rsid w:val="5C4F0418"/>
    <w:rsid w:val="5C58551F"/>
    <w:rsid w:val="5C61314A"/>
    <w:rsid w:val="5C78796F"/>
    <w:rsid w:val="5CEC2D02"/>
    <w:rsid w:val="5D357F0B"/>
    <w:rsid w:val="5D55732C"/>
    <w:rsid w:val="5D9D39E9"/>
    <w:rsid w:val="5DD67CB5"/>
    <w:rsid w:val="5DDD5A84"/>
    <w:rsid w:val="5DE0264B"/>
    <w:rsid w:val="5E1B2DF8"/>
    <w:rsid w:val="5E70397C"/>
    <w:rsid w:val="5E8720EC"/>
    <w:rsid w:val="5ECB4CC4"/>
    <w:rsid w:val="5EDD7F5D"/>
    <w:rsid w:val="5F0F1B3E"/>
    <w:rsid w:val="5F44415B"/>
    <w:rsid w:val="5F5554F7"/>
    <w:rsid w:val="5F9A60D4"/>
    <w:rsid w:val="5FAB5605"/>
    <w:rsid w:val="5FD274FA"/>
    <w:rsid w:val="600B149F"/>
    <w:rsid w:val="602A5424"/>
    <w:rsid w:val="60310561"/>
    <w:rsid w:val="60524605"/>
    <w:rsid w:val="606C77EB"/>
    <w:rsid w:val="60B66CB8"/>
    <w:rsid w:val="60DE31DC"/>
    <w:rsid w:val="61031E60"/>
    <w:rsid w:val="6117739C"/>
    <w:rsid w:val="613861D2"/>
    <w:rsid w:val="613A1697"/>
    <w:rsid w:val="61710DEE"/>
    <w:rsid w:val="617F354E"/>
    <w:rsid w:val="6189617B"/>
    <w:rsid w:val="61BA27D8"/>
    <w:rsid w:val="61D225E7"/>
    <w:rsid w:val="61F41CED"/>
    <w:rsid w:val="61F47A98"/>
    <w:rsid w:val="62086F99"/>
    <w:rsid w:val="620A25D5"/>
    <w:rsid w:val="622D4D58"/>
    <w:rsid w:val="62464C86"/>
    <w:rsid w:val="625A2DFD"/>
    <w:rsid w:val="625C563D"/>
    <w:rsid w:val="628D44BB"/>
    <w:rsid w:val="629A5CD0"/>
    <w:rsid w:val="62F44622"/>
    <w:rsid w:val="63224191"/>
    <w:rsid w:val="63737AA4"/>
    <w:rsid w:val="638E5CCA"/>
    <w:rsid w:val="63CB614E"/>
    <w:rsid w:val="63CC234F"/>
    <w:rsid w:val="63E5596E"/>
    <w:rsid w:val="63FF7A99"/>
    <w:rsid w:val="644E18FA"/>
    <w:rsid w:val="6474329C"/>
    <w:rsid w:val="64A07A63"/>
    <w:rsid w:val="64E577E9"/>
    <w:rsid w:val="64F0230E"/>
    <w:rsid w:val="65821C5A"/>
    <w:rsid w:val="65AB728F"/>
    <w:rsid w:val="65D976D1"/>
    <w:rsid w:val="65E93BD9"/>
    <w:rsid w:val="6656415A"/>
    <w:rsid w:val="66651504"/>
    <w:rsid w:val="666F025E"/>
    <w:rsid w:val="667E4482"/>
    <w:rsid w:val="66B4528C"/>
    <w:rsid w:val="671A6C35"/>
    <w:rsid w:val="67323B99"/>
    <w:rsid w:val="67437282"/>
    <w:rsid w:val="678406E6"/>
    <w:rsid w:val="67A03E32"/>
    <w:rsid w:val="67AE2497"/>
    <w:rsid w:val="67EE3E86"/>
    <w:rsid w:val="681743E1"/>
    <w:rsid w:val="682C160E"/>
    <w:rsid w:val="68752292"/>
    <w:rsid w:val="68A5389A"/>
    <w:rsid w:val="68BC4A27"/>
    <w:rsid w:val="68F75FCA"/>
    <w:rsid w:val="68F91152"/>
    <w:rsid w:val="690A7BA1"/>
    <w:rsid w:val="691D5B26"/>
    <w:rsid w:val="693469CC"/>
    <w:rsid w:val="698910DE"/>
    <w:rsid w:val="699A7177"/>
    <w:rsid w:val="69EC54F9"/>
    <w:rsid w:val="69F234FE"/>
    <w:rsid w:val="6A2A0727"/>
    <w:rsid w:val="6A953FED"/>
    <w:rsid w:val="6AA00549"/>
    <w:rsid w:val="6AAA142F"/>
    <w:rsid w:val="6AD16513"/>
    <w:rsid w:val="6B1B0810"/>
    <w:rsid w:val="6B380425"/>
    <w:rsid w:val="6B574BF4"/>
    <w:rsid w:val="6B8E437F"/>
    <w:rsid w:val="6BF3565B"/>
    <w:rsid w:val="6C2E004A"/>
    <w:rsid w:val="6C3F6B0F"/>
    <w:rsid w:val="6C517895"/>
    <w:rsid w:val="6C56076F"/>
    <w:rsid w:val="6C8753A4"/>
    <w:rsid w:val="6CD36E77"/>
    <w:rsid w:val="6CE20F96"/>
    <w:rsid w:val="6D22376C"/>
    <w:rsid w:val="6D273C89"/>
    <w:rsid w:val="6D27515F"/>
    <w:rsid w:val="6D2E0DC6"/>
    <w:rsid w:val="6D8D0DA1"/>
    <w:rsid w:val="6DE10F7A"/>
    <w:rsid w:val="6E02353D"/>
    <w:rsid w:val="6E055C03"/>
    <w:rsid w:val="6E25798F"/>
    <w:rsid w:val="6E2D1B28"/>
    <w:rsid w:val="6E43783C"/>
    <w:rsid w:val="6E6B54D0"/>
    <w:rsid w:val="6E923579"/>
    <w:rsid w:val="6ED50C51"/>
    <w:rsid w:val="6EE81335"/>
    <w:rsid w:val="6EF54E4F"/>
    <w:rsid w:val="6F00394E"/>
    <w:rsid w:val="6F795A80"/>
    <w:rsid w:val="6F9929FB"/>
    <w:rsid w:val="6FA23C43"/>
    <w:rsid w:val="6FBE159C"/>
    <w:rsid w:val="6FD607DD"/>
    <w:rsid w:val="6FDD5496"/>
    <w:rsid w:val="701666D1"/>
    <w:rsid w:val="70297555"/>
    <w:rsid w:val="705F6A24"/>
    <w:rsid w:val="7161216A"/>
    <w:rsid w:val="71816E6E"/>
    <w:rsid w:val="721675B7"/>
    <w:rsid w:val="722C2129"/>
    <w:rsid w:val="723675B5"/>
    <w:rsid w:val="727849AC"/>
    <w:rsid w:val="72BD57FC"/>
    <w:rsid w:val="73047CAA"/>
    <w:rsid w:val="733C6AD6"/>
    <w:rsid w:val="734D617B"/>
    <w:rsid w:val="73532145"/>
    <w:rsid w:val="73865C6D"/>
    <w:rsid w:val="73AD5CF9"/>
    <w:rsid w:val="73C848E1"/>
    <w:rsid w:val="73E007D8"/>
    <w:rsid w:val="73EB05CF"/>
    <w:rsid w:val="74413A93"/>
    <w:rsid w:val="745C4105"/>
    <w:rsid w:val="748051BB"/>
    <w:rsid w:val="748E78D8"/>
    <w:rsid w:val="74FE34B8"/>
    <w:rsid w:val="75024A79"/>
    <w:rsid w:val="753C2EB5"/>
    <w:rsid w:val="75E00874"/>
    <w:rsid w:val="75EB48B6"/>
    <w:rsid w:val="76006C44"/>
    <w:rsid w:val="76024EB7"/>
    <w:rsid w:val="76424257"/>
    <w:rsid w:val="765E373E"/>
    <w:rsid w:val="766A677C"/>
    <w:rsid w:val="76A258BD"/>
    <w:rsid w:val="76AB5F7E"/>
    <w:rsid w:val="76AD4E8C"/>
    <w:rsid w:val="76C849B9"/>
    <w:rsid w:val="76D11704"/>
    <w:rsid w:val="76EE465E"/>
    <w:rsid w:val="77954AC0"/>
    <w:rsid w:val="77977FC3"/>
    <w:rsid w:val="77AA4CAB"/>
    <w:rsid w:val="77B5517C"/>
    <w:rsid w:val="780103C1"/>
    <w:rsid w:val="781D3A2F"/>
    <w:rsid w:val="786728F7"/>
    <w:rsid w:val="78AD2C12"/>
    <w:rsid w:val="790A14F7"/>
    <w:rsid w:val="79382508"/>
    <w:rsid w:val="793F3242"/>
    <w:rsid w:val="797846B3"/>
    <w:rsid w:val="7981365D"/>
    <w:rsid w:val="79F5578E"/>
    <w:rsid w:val="7A063362"/>
    <w:rsid w:val="7A270797"/>
    <w:rsid w:val="7A276E16"/>
    <w:rsid w:val="7A300B10"/>
    <w:rsid w:val="7AB91DEA"/>
    <w:rsid w:val="7B355345"/>
    <w:rsid w:val="7B7B61C8"/>
    <w:rsid w:val="7BDA7BBE"/>
    <w:rsid w:val="7BF54C90"/>
    <w:rsid w:val="7C27086C"/>
    <w:rsid w:val="7C28645C"/>
    <w:rsid w:val="7C404B81"/>
    <w:rsid w:val="7C496587"/>
    <w:rsid w:val="7C4E5B9F"/>
    <w:rsid w:val="7CBE0F77"/>
    <w:rsid w:val="7CF2415B"/>
    <w:rsid w:val="7D2C68F3"/>
    <w:rsid w:val="7D717D97"/>
    <w:rsid w:val="7D8F6B9A"/>
    <w:rsid w:val="7DA77C5D"/>
    <w:rsid w:val="7DAD5556"/>
    <w:rsid w:val="7DFD162B"/>
    <w:rsid w:val="7E0E706F"/>
    <w:rsid w:val="7E244E09"/>
    <w:rsid w:val="7E9A79FE"/>
    <w:rsid w:val="7E9B0EF6"/>
    <w:rsid w:val="7EA1193A"/>
    <w:rsid w:val="7EDA196C"/>
    <w:rsid w:val="7EE12CFA"/>
    <w:rsid w:val="7F2A28F3"/>
    <w:rsid w:val="7F477001"/>
    <w:rsid w:val="7F6A2CF0"/>
    <w:rsid w:val="7FBA7737"/>
    <w:rsid w:val="7FBB60D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qFormat/>
    <w:uiPriority w:val="9"/>
    <w:pPr>
      <w:spacing w:before="100" w:beforeAutospacing="1" w:after="100" w:afterAutospacing="1"/>
      <w:jc w:val="left"/>
      <w:outlineLvl w:val="1"/>
    </w:pPr>
    <w:rPr>
      <w:rFonts w:hint="eastAsia" w:ascii="宋体" w:hAnsi="宋体"/>
      <w:b/>
      <w:bCs/>
      <w:kern w:val="0"/>
      <w:sz w:val="36"/>
      <w:szCs w:val="36"/>
    </w:rPr>
  </w:style>
  <w:style w:type="paragraph" w:styleId="3">
    <w:name w:val="heading 3"/>
    <w:basedOn w:val="1"/>
    <w:next w:val="1"/>
    <w:link w:val="15"/>
    <w:qFormat/>
    <w:uiPriority w:val="9"/>
    <w:pPr>
      <w:keepNext/>
      <w:keepLines/>
      <w:contextualSpacing/>
      <w:outlineLvl w:val="2"/>
    </w:pPr>
    <w:rPr>
      <w:rFonts w:eastAsia="黑体"/>
      <w:b/>
      <w:bCs/>
      <w:sz w:val="28"/>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16"/>
    <w:unhideWhenUsed/>
    <w:qFormat/>
    <w:uiPriority w:val="99"/>
    <w:rPr>
      <w:rFonts w:ascii="宋体" w:hAnsi="Times New Roman"/>
      <w:kern w:val="0"/>
      <w:sz w:val="18"/>
      <w:szCs w:val="18"/>
    </w:rPr>
  </w:style>
  <w:style w:type="paragraph" w:styleId="5">
    <w:name w:val="annotation text"/>
    <w:basedOn w:val="1"/>
    <w:link w:val="17"/>
    <w:unhideWhenUsed/>
    <w:qFormat/>
    <w:uiPriority w:val="99"/>
    <w:pPr>
      <w:jc w:val="left"/>
    </w:pPr>
  </w:style>
  <w:style w:type="paragraph" w:styleId="6">
    <w:name w:val="Balloon Text"/>
    <w:basedOn w:val="1"/>
    <w:link w:val="18"/>
    <w:unhideWhenUsed/>
    <w:qFormat/>
    <w:uiPriority w:val="99"/>
    <w:rPr>
      <w:rFonts w:ascii="Times New Roman" w:hAnsi="Times New Roman"/>
      <w:kern w:val="0"/>
      <w:sz w:val="18"/>
      <w:szCs w:val="18"/>
    </w:rPr>
  </w:style>
  <w:style w:type="paragraph" w:styleId="7">
    <w:name w:val="footer"/>
    <w:basedOn w:val="1"/>
    <w:link w:val="1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8">
    <w:name w:val="header"/>
    <w:basedOn w:val="1"/>
    <w:link w:val="20"/>
    <w:unhideWhenUsed/>
    <w:qFormat/>
    <w:uiPriority w:val="99"/>
    <w:pPr>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styleId="9">
    <w:name w:val="annotation subject"/>
    <w:basedOn w:val="5"/>
    <w:next w:val="5"/>
    <w:link w:val="21"/>
    <w:unhideWhenUsed/>
    <w:qFormat/>
    <w:uiPriority w:val="99"/>
    <w:rPr>
      <w:rFonts w:ascii="Times New Roman" w:hAnsi="Times New Roman"/>
      <w:b/>
      <w:bCs/>
      <w:kern w:val="0"/>
      <w:sz w:val="20"/>
      <w:szCs w:val="20"/>
    </w:rPr>
  </w:style>
  <w:style w:type="table" w:styleId="11">
    <w:name w:val="Table Grid"/>
    <w:basedOn w:val="1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13">
    <w:name w:val="Hyperlink"/>
    <w:unhideWhenUsed/>
    <w:qFormat/>
    <w:uiPriority w:val="99"/>
    <w:rPr>
      <w:color w:val="0000FF"/>
      <w:u w:val="single"/>
    </w:rPr>
  </w:style>
  <w:style w:type="character" w:styleId="14">
    <w:name w:val="annotation reference"/>
    <w:unhideWhenUsed/>
    <w:qFormat/>
    <w:uiPriority w:val="99"/>
    <w:rPr>
      <w:sz w:val="21"/>
      <w:szCs w:val="21"/>
    </w:rPr>
  </w:style>
  <w:style w:type="character" w:customStyle="1" w:styleId="15">
    <w:name w:val="标题 3 Char"/>
    <w:link w:val="3"/>
    <w:qFormat/>
    <w:uiPriority w:val="9"/>
    <w:rPr>
      <w:rFonts w:ascii="Calibri" w:hAnsi="Calibri" w:eastAsia="黑体"/>
      <w:b/>
      <w:bCs/>
      <w:kern w:val="2"/>
      <w:sz w:val="28"/>
      <w:szCs w:val="32"/>
    </w:rPr>
  </w:style>
  <w:style w:type="character" w:customStyle="1" w:styleId="16">
    <w:name w:val="文档结构图 Char"/>
    <w:link w:val="4"/>
    <w:qFormat/>
    <w:uiPriority w:val="99"/>
    <w:rPr>
      <w:rFonts w:ascii="宋体" w:eastAsia="宋体"/>
      <w:sz w:val="18"/>
      <w:szCs w:val="18"/>
    </w:rPr>
  </w:style>
  <w:style w:type="character" w:customStyle="1" w:styleId="17">
    <w:name w:val="批注文字 Char"/>
    <w:link w:val="5"/>
    <w:semiHidden/>
    <w:qFormat/>
    <w:uiPriority w:val="99"/>
  </w:style>
  <w:style w:type="character" w:customStyle="1" w:styleId="18">
    <w:name w:val="批注框文本 Char"/>
    <w:link w:val="6"/>
    <w:semiHidden/>
    <w:qFormat/>
    <w:uiPriority w:val="99"/>
    <w:rPr>
      <w:sz w:val="18"/>
      <w:szCs w:val="18"/>
    </w:rPr>
  </w:style>
  <w:style w:type="character" w:customStyle="1" w:styleId="19">
    <w:name w:val="页脚 Char"/>
    <w:link w:val="7"/>
    <w:qFormat/>
    <w:uiPriority w:val="99"/>
    <w:rPr>
      <w:sz w:val="18"/>
      <w:szCs w:val="18"/>
    </w:rPr>
  </w:style>
  <w:style w:type="character" w:customStyle="1" w:styleId="20">
    <w:name w:val="页眉 Char"/>
    <w:link w:val="8"/>
    <w:qFormat/>
    <w:uiPriority w:val="99"/>
    <w:rPr>
      <w:sz w:val="18"/>
      <w:szCs w:val="18"/>
    </w:rPr>
  </w:style>
  <w:style w:type="character" w:customStyle="1" w:styleId="21">
    <w:name w:val="批注主题 Char"/>
    <w:link w:val="9"/>
    <w:semiHidden/>
    <w:qFormat/>
    <w:uiPriority w:val="99"/>
    <w:rPr>
      <w:b/>
      <w:bCs/>
    </w:rPr>
  </w:style>
  <w:style w:type="character" w:customStyle="1" w:styleId="22">
    <w:name w:val="批注文字 Char1"/>
    <w:semiHidden/>
    <w:qFormat/>
    <w:uiPriority w:val="99"/>
  </w:style>
  <w:style w:type="paragraph" w:customStyle="1" w:styleId="2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24">
    <w:name w:val="font41"/>
    <w:qFormat/>
    <w:uiPriority w:val="0"/>
    <w:rPr>
      <w:rFonts w:hint="eastAsia" w:ascii="宋体" w:hAnsi="宋体" w:eastAsia="宋体"/>
      <w:color w:val="000000"/>
      <w:sz w:val="22"/>
      <w:szCs w:val="22"/>
      <w:u w:val="none"/>
    </w:rPr>
  </w:style>
  <w:style w:type="character" w:customStyle="1" w:styleId="25">
    <w:name w:val="font01"/>
    <w:qFormat/>
    <w:uiPriority w:val="0"/>
    <w:rPr>
      <w:rFonts w:hint="eastAsia" w:ascii="宋体" w:hAnsi="宋体" w:eastAsia="宋体"/>
      <w:color w:val="FF0000"/>
      <w:sz w:val="22"/>
      <w:szCs w:val="22"/>
      <w:u w:val="none"/>
    </w:rPr>
  </w:style>
  <w:style w:type="paragraph" w:customStyle="1" w:styleId="26">
    <w:name w:val="列出段落1"/>
    <w:basedOn w:val="1"/>
    <w:qFormat/>
    <w:uiPriority w:val="34"/>
    <w:pPr>
      <w:ind w:firstLine="420" w:firstLineChars="200"/>
    </w:pPr>
  </w:style>
  <w:style w:type="paragraph" w:customStyle="1" w:styleId="27">
    <w:name w:val="列出段落2"/>
    <w:basedOn w:val="1"/>
    <w:unhideWhenUsed/>
    <w:qFormat/>
    <w:uiPriority w:val="99"/>
    <w:pPr>
      <w:ind w:firstLine="420" w:firstLineChars="200"/>
    </w:pPr>
  </w:style>
  <w:style w:type="paragraph" w:customStyle="1" w:styleId="28">
    <w:name w:val="005正文"/>
    <w:basedOn w:val="1"/>
    <w:link w:val="29"/>
    <w:qFormat/>
    <w:uiPriority w:val="0"/>
    <w:pPr>
      <w:spacing w:beforeLines="50" w:line="360" w:lineRule="auto"/>
      <w:ind w:firstLine="200" w:firstLineChars="200"/>
    </w:pPr>
    <w:rPr>
      <w:rFonts w:ascii="Times New Roman" w:hAnsi="Times New Roman"/>
      <w:kern w:val="0"/>
      <w:sz w:val="24"/>
      <w:szCs w:val="20"/>
    </w:rPr>
  </w:style>
  <w:style w:type="character" w:customStyle="1" w:styleId="29">
    <w:name w:val="005正文 Char"/>
    <w:link w:val="28"/>
    <w:qFormat/>
    <w:uiPriority w:val="0"/>
    <w:rPr>
      <w:rFonts w:ascii="Times New Roman" w:hAnsi="Times New Roman" w:eastAsia="宋体" w:cs="Times New Roman"/>
      <w:sz w:val="24"/>
    </w:rPr>
  </w:style>
  <w:style w:type="paragraph" w:styleId="30">
    <w:name w:val="List Paragraph"/>
    <w:basedOn w:val="1"/>
    <w:link w:val="31"/>
    <w:qFormat/>
    <w:uiPriority w:val="34"/>
    <w:pPr>
      <w:ind w:firstLine="420" w:firstLineChars="200"/>
    </w:pPr>
  </w:style>
  <w:style w:type="character" w:customStyle="1" w:styleId="31">
    <w:name w:val="列出段落 Char"/>
    <w:link w:val="30"/>
    <w:qFormat/>
    <w:uiPriority w:val="34"/>
  </w:style>
  <w:style w:type="paragraph" w:customStyle="1" w:styleId="32">
    <w:name w:val="修订1"/>
    <w:unhideWhenUsed/>
    <w:qFormat/>
    <w:uiPriority w:val="99"/>
    <w:rPr>
      <w:rFonts w:ascii="Calibri" w:hAnsi="Calibri" w:eastAsia="宋体" w:cs="Times New Roman"/>
      <w:kern w:val="2"/>
      <w:sz w:val="21"/>
      <w:szCs w:val="22"/>
      <w:lang w:val="en-US" w:eastAsia="zh-CN" w:bidi="ar-SA"/>
    </w:rPr>
  </w:style>
  <w:style w:type="paragraph" w:customStyle="1" w:styleId="33">
    <w:name w:val="正文（标题）"/>
    <w:basedOn w:val="1"/>
    <w:qFormat/>
    <w:uiPriority w:val="0"/>
    <w:pPr>
      <w:spacing w:line="600" w:lineRule="exact"/>
      <w:ind w:firstLine="200" w:firstLineChars="200"/>
      <w:outlineLvl w:val="2"/>
    </w:pPr>
    <w:rPr>
      <w:rFonts w:ascii="Times New Roman" w:hAnsi="Times New Roman" w:eastAsia="仿宋_GB2312"/>
      <w:sz w:val="30"/>
      <w:szCs w:val="21"/>
    </w:rPr>
  </w:style>
  <w:style w:type="paragraph" w:customStyle="1" w:styleId="34">
    <w:name w:val="列表段落1"/>
    <w:basedOn w:val="1"/>
    <w:unhideWhenUsed/>
    <w:qFormat/>
    <w:uiPriority w:val="34"/>
    <w:pPr>
      <w:ind w:firstLine="420" w:firstLineChars="200"/>
    </w:pPr>
  </w:style>
  <w:style w:type="paragraph" w:customStyle="1" w:styleId="35">
    <w:name w:val="修订2"/>
    <w:semiHidden/>
    <w:qFormat/>
    <w:uiPriority w:val="99"/>
    <w:rPr>
      <w:rFonts w:ascii="Calibri" w:hAnsi="Calibri" w:eastAsia="宋体" w:cs="Times New Roman"/>
      <w:kern w:val="2"/>
      <w:sz w:val="21"/>
      <w:szCs w:val="22"/>
      <w:lang w:val="en-US" w:eastAsia="zh-CN" w:bidi="ar-SA"/>
    </w:rPr>
  </w:style>
  <w:style w:type="paragraph" w:customStyle="1" w:styleId="36">
    <w:name w:val="修订3"/>
    <w:unhideWhenUsed/>
    <w:qFormat/>
    <w:uiPriority w:val="99"/>
    <w:rPr>
      <w:rFonts w:ascii="Calibri" w:hAnsi="Calibri" w:eastAsia="宋体" w:cs="Times New Roman"/>
      <w:kern w:val="2"/>
      <w:sz w:val="21"/>
      <w:szCs w:val="22"/>
      <w:lang w:val="en-US" w:eastAsia="zh-CN" w:bidi="ar-SA"/>
    </w:rPr>
  </w:style>
  <w:style w:type="paragraph" w:customStyle="1" w:styleId="37">
    <w:name w:val="修订4"/>
    <w:unhideWhenUsed/>
    <w:qFormat/>
    <w:uiPriority w:val="99"/>
    <w:rPr>
      <w:rFonts w:ascii="Calibri" w:hAnsi="Calibri" w:eastAsia="宋体" w:cs="Times New Roman"/>
      <w:kern w:val="2"/>
      <w:sz w:val="21"/>
      <w:szCs w:val="22"/>
      <w:lang w:val="en-US" w:eastAsia="zh-CN" w:bidi="ar-SA"/>
    </w:rPr>
  </w:style>
  <w:style w:type="paragraph" w:customStyle="1" w:styleId="38">
    <w:name w:val="修订5"/>
    <w:unhideWhenUsed/>
    <w:qFormat/>
    <w:uiPriority w:val="99"/>
    <w:rPr>
      <w:rFonts w:ascii="Calibri" w:hAnsi="Calibri" w:eastAsia="宋体" w:cs="Times New Roman"/>
      <w:kern w:val="2"/>
      <w:sz w:val="21"/>
      <w:szCs w:val="22"/>
      <w:lang w:val="en-US" w:eastAsia="zh-CN" w:bidi="ar-SA"/>
    </w:rPr>
  </w:style>
  <w:style w:type="paragraph" w:customStyle="1" w:styleId="39">
    <w:name w:val="修订6"/>
    <w:semiHidden/>
    <w:qFormat/>
    <w:uiPriority w:val="99"/>
    <w:rPr>
      <w:rFonts w:ascii="Calibri" w:hAnsi="Calibri" w:eastAsia="宋体" w:cs="Times New Roman"/>
      <w:kern w:val="2"/>
      <w:sz w:val="21"/>
      <w:szCs w:val="22"/>
      <w:lang w:val="en-US" w:eastAsia="zh-CN" w:bidi="ar-SA"/>
    </w:rPr>
  </w:style>
  <w:style w:type="paragraph" w:customStyle="1" w:styleId="40">
    <w:name w:val="修订7"/>
    <w:semiHidden/>
    <w:qFormat/>
    <w:uiPriority w:val="99"/>
    <w:rPr>
      <w:rFonts w:ascii="Calibri" w:hAnsi="Calibri" w:eastAsia="宋体" w:cs="Times New Roman"/>
      <w:kern w:val="2"/>
      <w:sz w:val="21"/>
      <w:szCs w:val="22"/>
      <w:lang w:val="en-US" w:eastAsia="zh-CN" w:bidi="ar-SA"/>
    </w:rPr>
  </w:style>
  <w:style w:type="paragraph" w:customStyle="1" w:styleId="41">
    <w:name w:val="_Style 40"/>
    <w:unhideWhenUsed/>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soa\wdzx97.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19148F-DFFB-4864-B353-0D9851F69DBC}">
  <ds:schemaRefs/>
</ds:datastoreItem>
</file>

<file path=docProps/app.xml><?xml version="1.0" encoding="utf-8"?>
<Properties xmlns="http://schemas.openxmlformats.org/officeDocument/2006/extended-properties" xmlns:vt="http://schemas.openxmlformats.org/officeDocument/2006/docPropsVTypes">
  <Template>wdzx97.dot</Template>
  <TotalTime>20</TotalTime>
  <Pages>31</Pages>
  <Words>2938</Words>
  <Characters>16752</Characters>
  <Application>WPS Office_11.8.2.11813_F1E327BC-269C-435d-A152-05C5408002CA</Application>
  <DocSecurity>0</DocSecurity>
  <Lines>139</Lines>
  <Paragraphs>39</Paragraphs>
  <ScaleCrop>false</ScaleCrop>
  <LinksUpToDate>false</LinksUpToDate>
  <CharactersWithSpaces>19651</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2023-02-16T05:57:00Z</cp:lastPrinted>
  <dcterms:created xsi:type="dcterms:W3CDTF">2023-02-18T06:47:00Z</dcterms:created>
  <dcterms:modified xsi:type="dcterms:W3CDTF">2023-03-02T02:18:27Z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D22268657F57411081AFB33E1022FD4B</vt:lpwstr>
  </property>
</Properties>
</file>