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jc w:val="center"/>
      </w:pPr>
      <w:r>
        <w:rPr>
          <w:rFonts w:ascii="Arial" w:cs="Arial" w:eastAsia="Arial" w:hAnsi="Arial"/>
          <w:b/>
          <w:bCs/>
          <w:color w:val="1B3A5C"/>
          <w:sz w:val="56"/>
          <w:szCs w:val="56"/>
        </w:rPr>
        <w:t xml:space="preserve">Algorithmic Trading</w:t>
      </w:r>
    </w:p>
    <w:p>
      <w:pPr>
        <w:spacing w:after="200"/>
        <w:jc w:val="center"/>
      </w:pPr>
      <w:r>
        <w:rPr>
          <w:rFonts w:ascii="Arial" w:cs="Arial" w:eastAsia="Arial" w:hAnsi="Arial"/>
          <w:b/>
          <w:bCs/>
          <w:color w:val="1B3A5C"/>
          <w:sz w:val="56"/>
          <w:szCs w:val="56"/>
        </w:rPr>
        <w:t xml:space="preserve">Design Patterns</w:t>
      </w:r>
    </w:p>
    <w:p>
      <w:pPr>
        <w:spacing w:after="400"/>
        <w:jc w:val="center"/>
      </w:pPr>
      <w:r>
        <w:rPr>
          <w:rFonts w:ascii="Arial" w:cs="Arial" w:eastAsia="Arial" w:hAnsi="Arial"/>
          <w:color w:val="2E86C1"/>
          <w:sz w:val="32"/>
          <w:szCs w:val="32"/>
        </w:rPr>
        <w:t xml:space="preserve">Version 2.0</w:t>
      </w:r>
    </w:p>
    <w:p>
      <w:pPr>
        <w:spacing w:after="200"/>
        <w:jc w:val="center"/>
      </w:pPr>
      <w:r>
        <w:rPr>
          <w:rFonts w:ascii="Arial" w:cs="Arial" w:eastAsia="Arial" w:hAnsi="Arial"/>
          <w:i/>
          <w:iCs/>
          <w:color w:val="555555"/>
          <w:sz w:val="24"/>
          <w:szCs w:val="24"/>
        </w:rPr>
        <w:t xml:space="preserve">A Practitioner’s Guide Distilled from Production Algorithm Development</w:t>
      </w:r>
    </w:p>
    <w:p>
      <w:pPr>
        <w:spacing w:after="100"/>
        <w:jc w:val="center"/>
      </w:pPr>
      <w:r>
        <w:rPr>
          <w:rFonts w:ascii="Arial" w:cs="Arial" w:eastAsia="Arial" w:hAnsi="Arial"/>
          <w:color w:val="777777"/>
          <w:sz w:val="22"/>
          <w:szCs w:val="22"/>
        </w:rPr>
        <w:t xml:space="preserve">Incorporating lessons from Goldbug v2.120 and Megatron v1.000–v2.013</w:t>
      </w:r>
    </w:p>
    <w:p>
      <w:pPr>
        <w:spacing w:after="600"/>
        <w:jc w:val="center"/>
      </w:pPr>
      <w:r>
        <w:rPr>
          <w:rFonts w:ascii="Arial" w:cs="Arial" w:eastAsia="Arial" w:hAnsi="Arial"/>
          <w:color w:val="777777"/>
          <w:sz w:val="22"/>
          <w:szCs w:val="22"/>
        </w:rPr>
        <w:t xml:space="preserve">Platform: QuantConnect (LEAN) + Interactive Brokers</w:t>
      </w:r>
    </w:p>
    <w:p>
      <w:pPr>
        <w:jc w:val="center"/>
      </w:pPr>
      <w:r>
        <w:rPr>
          <w:rFonts w:ascii="Arial" w:cs="Arial" w:eastAsia="Arial" w:hAnsi="Arial"/>
          <w:color w:val="999999"/>
          <w:sz w:val="24"/>
          <w:szCs w:val="24"/>
        </w:rPr>
        <w:t xml:space="preserve">February 2026</w:t>
      </w:r>
    </w:p>
    <w:p>
      <w:r>
        <w:br w:type="page"/>
      </w:r>
    </w:p>
    <w:p>
      <w:pPr>
        <w:pStyle w:val="Heading1"/>
        <w:spacing w:before="360" w:after="200"/>
      </w:pPr>
      <w:r>
        <w:rPr>
          <w:rFonts w:ascii="Arial" w:cs="Arial" w:eastAsia="Arial" w:hAnsi="Arial"/>
          <w:b/>
          <w:bCs/>
          <w:sz w:val="32"/>
          <w:szCs w:val="32"/>
        </w:rPr>
        <w:t xml:space="preserve">Table of Contents</w:t>
      </w:r>
    </w:p>
    <w:p>
      <w:pPr>
        <w:spacing w:after="120"/>
      </w:pPr>
      <w:r>
        <w:rPr>
          <w:rFonts w:ascii="Arial" w:cs="Arial" w:eastAsia="Arial" w:hAnsi="Arial"/>
          <w:sz w:val="22"/>
          <w:szCs w:val="22"/>
        </w:rPr>
        <w:t xml:space="preserve">1. Philosophy &amp; Mindset</w:t>
      </w:r>
    </w:p>
    <w:p>
      <w:pPr>
        <w:spacing w:after="120"/>
      </w:pPr>
      <w:r>
        <w:rPr>
          <w:rFonts w:ascii="Arial" w:cs="Arial" w:eastAsia="Arial" w:hAnsi="Arial"/>
          <w:sz w:val="22"/>
          <w:szCs w:val="22"/>
        </w:rPr>
        <w:t xml:space="preserve">2. Strategy Development Lifecycle</w:t>
      </w:r>
    </w:p>
    <w:p>
      <w:pPr>
        <w:spacing w:after="120"/>
      </w:pPr>
      <w:r>
        <w:rPr>
          <w:rFonts w:ascii="Arial" w:cs="Arial" w:eastAsia="Arial" w:hAnsi="Arial"/>
          <w:sz w:val="22"/>
          <w:szCs w:val="22"/>
        </w:rPr>
        <w:t xml:space="preserve">3. Entry System Design</w:t>
      </w:r>
    </w:p>
    <w:p>
      <w:pPr>
        <w:spacing w:after="120"/>
      </w:pPr>
      <w:r>
        <w:rPr>
          <w:rFonts w:ascii="Arial" w:cs="Arial" w:eastAsia="Arial" w:hAnsi="Arial"/>
          <w:sz w:val="22"/>
          <w:szCs w:val="22"/>
        </w:rPr>
        <w:t xml:space="preserve">4. Exit &amp; Risk Management</w:t>
      </w:r>
    </w:p>
    <w:p>
      <w:pPr>
        <w:spacing w:after="120"/>
      </w:pPr>
      <w:r>
        <w:rPr>
          <w:rFonts w:ascii="Arial" w:cs="Arial" w:eastAsia="Arial" w:hAnsi="Arial"/>
          <w:sz w:val="22"/>
          <w:szCs w:val="22"/>
        </w:rPr>
        <w:t xml:space="preserve">5. Position Sizing &amp; Capital Management</w:t>
      </w:r>
    </w:p>
    <w:p>
      <w:pPr>
        <w:spacing w:after="120"/>
      </w:pPr>
      <w:r>
        <w:rPr>
          <w:rFonts w:ascii="Arial" w:cs="Arial" w:eastAsia="Arial" w:hAnsi="Arial"/>
          <w:sz w:val="22"/>
          <w:szCs w:val="22"/>
        </w:rPr>
        <w:t xml:space="preserve">6. Multi-Factor Conviction Systems</w:t>
      </w:r>
    </w:p>
    <w:p>
      <w:pPr>
        <w:spacing w:after="120"/>
      </w:pPr>
      <w:r>
        <w:rPr>
          <w:rFonts w:ascii="Arial" w:cs="Arial" w:eastAsia="Arial" w:hAnsi="Arial"/>
          <w:sz w:val="22"/>
          <w:szCs w:val="22"/>
        </w:rPr>
        <w:t xml:space="preserve">7. Indicator Selection &amp; Usage</w:t>
      </w:r>
    </w:p>
    <w:p>
      <w:pPr>
        <w:spacing w:after="120"/>
      </w:pPr>
      <w:r>
        <w:rPr>
          <w:rFonts w:ascii="Arial" w:cs="Arial" w:eastAsia="Arial" w:hAnsi="Arial"/>
          <w:sz w:val="22"/>
          <w:szCs w:val="22"/>
        </w:rPr>
        <w:t xml:space="preserve">8. Time &amp; Session Management</w:t>
      </w:r>
    </w:p>
    <w:p>
      <w:pPr>
        <w:spacing w:after="120"/>
      </w:pPr>
      <w:r>
        <w:rPr>
          <w:rFonts w:ascii="Arial" w:cs="Arial" w:eastAsia="Arial" w:hAnsi="Arial"/>
          <w:sz w:val="22"/>
          <w:szCs w:val="22"/>
        </w:rPr>
        <w:t xml:space="preserve">9. The Compounding Engine</w:t>
      </w:r>
    </w:p>
    <w:p>
      <w:pPr>
        <w:spacing w:after="120"/>
      </w:pPr>
      <w:r>
        <w:rPr>
          <w:rFonts w:ascii="Arial" w:cs="Arial" w:eastAsia="Arial" w:hAnsi="Arial"/>
          <w:sz w:val="22"/>
          <w:szCs w:val="22"/>
        </w:rPr>
        <w:t xml:space="preserve">10. Avoiding Common Pitfalls</w:t>
      </w:r>
    </w:p>
    <w:p>
      <w:pPr>
        <w:spacing w:after="120"/>
      </w:pPr>
      <w:r>
        <w:rPr>
          <w:rFonts w:ascii="Arial" w:cs="Arial" w:eastAsia="Arial" w:hAnsi="Arial"/>
          <w:sz w:val="22"/>
          <w:szCs w:val="22"/>
        </w:rPr>
        <w:t xml:space="preserve">11. QuantConnect Platform Guide</w:t>
      </w:r>
    </w:p>
    <w:p>
      <w:pPr>
        <w:spacing w:after="120"/>
      </w:pPr>
      <w:r>
        <w:rPr>
          <w:rFonts w:ascii="Arial" w:cs="Arial" w:eastAsia="Arial" w:hAnsi="Arial"/>
          <w:sz w:val="22"/>
          <w:szCs w:val="22"/>
        </w:rPr>
        <w:t xml:space="preserve">12. Brokerage &amp; Instrument Compatibility</w:t>
      </w:r>
    </w:p>
    <w:p>
      <w:pPr>
        <w:spacing w:after="120"/>
      </w:pPr>
      <w:r>
        <w:rPr>
          <w:rFonts w:ascii="Arial" w:cs="Arial" w:eastAsia="Arial" w:hAnsi="Arial"/>
          <w:sz w:val="22"/>
          <w:szCs w:val="22"/>
        </w:rPr>
        <w:t xml:space="preserve">13. Live Deployment Operations</w:t>
      </w:r>
    </w:p>
    <w:p>
      <w:pPr>
        <w:spacing w:after="120"/>
      </w:pPr>
      <w:r>
        <w:rPr>
          <w:rFonts w:ascii="Arial" w:cs="Arial" w:eastAsia="Arial" w:hAnsi="Arial"/>
          <w:sz w:val="22"/>
          <w:szCs w:val="22"/>
        </w:rPr>
        <w:t xml:space="preserve">14. Backtesting &amp; Validation</w:t>
      </w:r>
    </w:p>
    <w:p>
      <w:pPr>
        <w:spacing w:after="120"/>
      </w:pPr>
      <w:r>
        <w:rPr>
          <w:rFonts w:ascii="Arial" w:cs="Arial" w:eastAsia="Arial" w:hAnsi="Arial"/>
          <w:sz w:val="22"/>
          <w:szCs w:val="22"/>
        </w:rPr>
        <w:t xml:space="preserve">15. Machine Learning Integration</w:t>
      </w:r>
    </w:p>
    <w:p>
      <w:pPr>
        <w:spacing w:after="120"/>
      </w:pPr>
      <w:r>
        <w:rPr>
          <w:rFonts w:ascii="Arial" w:cs="Arial" w:eastAsia="Arial" w:hAnsi="Arial"/>
          <w:sz w:val="22"/>
          <w:szCs w:val="22"/>
        </w:rPr>
        <w:t xml:space="preserve">16. Code Architecture &amp; Versioning</w:t>
      </w:r>
    </w:p>
    <w:p>
      <w:pPr>
        <w:spacing w:after="120"/>
      </w:pPr>
      <w:r>
        <w:rPr>
          <w:rFonts w:ascii="Arial" w:cs="Arial" w:eastAsia="Arial" w:hAnsi="Arial"/>
          <w:sz w:val="22"/>
          <w:szCs w:val="22"/>
        </w:rPr>
        <w:t xml:space="preserve">17. Continuous Improvement</w:t>
      </w:r>
    </w:p>
    <w:p>
      <w:pPr>
        <w:spacing w:after="120"/>
      </w:pPr>
      <w:r>
        <w:rPr>
          <w:rFonts w:ascii="Arial" w:cs="Arial" w:eastAsia="Arial" w:hAnsi="Arial"/>
          <w:sz w:val="22"/>
          <w:szCs w:val="22"/>
        </w:rPr>
        <w:t xml:space="preserve">Appendix A: Quick Reference Cards</w:t>
      </w:r>
    </w:p>
    <w:p>
      <w:pPr>
        <w:spacing w:after="120"/>
      </w:pPr>
      <w:r>
        <w:rPr>
          <w:rFonts w:ascii="Arial" w:cs="Arial" w:eastAsia="Arial" w:hAnsi="Arial"/>
          <w:sz w:val="22"/>
          <w:szCs w:val="22"/>
        </w:rPr>
        <w:t xml:space="preserve">Appendix B: QuantConnect Ticker Compatibility Matrix</w:t>
      </w:r>
    </w:p>
    <w:p>
      <w:pPr>
        <w:spacing w:after="120"/>
      </w:pPr>
      <w:r>
        <w:rPr>
          <w:rFonts w:ascii="Arial" w:cs="Arial" w:eastAsia="Arial" w:hAnsi="Arial"/>
          <w:sz w:val="22"/>
          <w:szCs w:val="22"/>
        </w:rPr>
        <w:t xml:space="preserve">Appendix C: Glossary</w:t>
      </w:r>
    </w:p>
    <w:p>
      <w:r>
        <w:br w:type="page"/>
      </w:r>
    </w:p>
    <w:p>
      <w:pPr>
        <w:pStyle w:val="Heading1"/>
        <w:spacing w:before="360" w:after="200"/>
      </w:pPr>
      <w:r>
        <w:rPr>
          <w:rFonts w:ascii="Arial" w:cs="Arial" w:eastAsia="Arial" w:hAnsi="Arial"/>
          <w:b/>
          <w:bCs/>
          <w:sz w:val="32"/>
          <w:szCs w:val="32"/>
        </w:rPr>
        <w:t xml:space="preserve">1. Philosophy &amp; Mindset</w:t>
      </w:r>
    </w:p>
    <w:p>
      <w:pPr>
        <w:pStyle w:val="Heading2"/>
        <w:spacing w:before="280" w:after="160"/>
      </w:pPr>
      <w:r>
        <w:rPr>
          <w:rFonts w:ascii="Arial" w:cs="Arial" w:eastAsia="Arial" w:hAnsi="Arial"/>
          <w:b/>
          <w:bCs/>
          <w:sz w:val="28"/>
          <w:szCs w:val="28"/>
        </w:rPr>
        <w:t xml:space="preserve">1.1 Simplicity Over Complexity</w:t>
      </w:r>
    </w:p>
    <w:p>
      <w:pPr>
        <w:spacing w:after="120"/>
      </w:pPr>
      <w:r>
        <w:rPr>
          <w:rFonts w:ascii="Arial" w:cs="Arial" w:eastAsia="Arial" w:hAnsi="Arial"/>
          <w:sz w:val="22"/>
          <w:szCs w:val="22"/>
        </w:rPr>
        <w:t xml:space="preserve">The most robust algorithms are often the simplest. Complexity should be added only when it demonstrably improves risk-adjusted returns. From Megatron’s development: six attempts to improve upon v1.021’s parameters (breakeven stops, entry confirmation bars, tighter squeeze filters, pyramid sizing) all degraded performance. The lesson: once a strategy captures its core edge, resist the urge to add layers.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86C1" w:sz="6"/>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b/>
                <w:bCs/>
                <w:color w:val="1B4F72"/>
                <w:sz w:val="22"/>
                <w:szCs w:val="22"/>
              </w:rPr>
              <w:t xml:space="preserve">Megatron Insight: The Equilibrium Principle</w:t>
            </w:r>
          </w:p>
          <w:p>
            <w:pPr>
              <w:spacing w:before="60"/>
            </w:pPr>
            <w:r>
              <w:rPr>
                <w:rFonts w:ascii="Arial" w:cs="Arial" w:eastAsia="Arial" w:hAnsi="Arial"/>
                <w:sz w:val="20"/>
                <w:szCs w:val="20"/>
              </w:rPr>
              <w:t xml:space="preserve">v1.021 survived every optimisation challenge with a 1.93 Sharpe ratio. Every tweak to entries, exits, or position management damaged the compounding engine. Some strategies reach a natural equilibrium — recognise when you’re there and stop tinkering.</w:t>
            </w:r>
          </w:p>
        </w:tc>
      </w:tr>
    </w:tbl>
    <w:p>
      <w:pPr>
        <w:spacing w:after="100"/>
      </w:pPr>
    </w:p>
    <w:p>
      <w:pPr>
        <w:pStyle w:val="Heading2"/>
        <w:spacing w:before="280" w:after="160"/>
      </w:pPr>
      <w:r>
        <w:rPr>
          <w:rFonts w:ascii="Arial" w:cs="Arial" w:eastAsia="Arial" w:hAnsi="Arial"/>
          <w:b/>
          <w:bCs/>
          <w:sz w:val="28"/>
          <w:szCs w:val="28"/>
        </w:rPr>
        <w:t xml:space="preserve">1.2 Know Your Asset’s Personality</w:t>
      </w:r>
    </w:p>
    <w:p>
      <w:pPr>
        <w:spacing w:after="120"/>
      </w:pPr>
      <w:r>
        <w:rPr>
          <w:rFonts w:ascii="Arial" w:cs="Arial" w:eastAsia="Arial" w:hAnsi="Arial"/>
          <w:sz w:val="22"/>
          <w:szCs w:val="22"/>
        </w:rPr>
        <w:t xml:space="preserve">Every tradeable asset has unique characteristics. Gold exhibits strong trending behaviour driven by macro factors and is a safe haven. The S&amp;P 500 grinds higher with low volatility punctuated by sharp selloffs. These personalities dictate which strategies work.</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Strategy Implication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Trending (directional)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Momentum/breakout strategies excel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2020–2025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Mean-reverting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Reversal strategies work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SPX in calm regimes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haven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Shorting is extremely dangerous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Gold’s violent bounces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correlation with macro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Incorporate macro factors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vs. real yields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Volatile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Wider stops, smaller sizing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during crisis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Low-vol grind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Squeeze breakouts fail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SPX 2013–2014</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6"/>
              <w:bottom w:val="single" w:color="CCCCCC" w:sz="1"/>
              <w:right w:val="single" w:color="CCCCCC" w:sz="1"/>
            </w:tcBorders>
            <w:shd w:fill="FDEDEC" w:val="clear"/>
            <w:tcMar>
              <w:top w:type="dxa" w:w="120"/>
              <w:left w:type="dxa" w:w="200"/>
              <w:bottom w:type="dxa" w:w="120"/>
              <w:right w:type="dxa" w:w="200"/>
            </w:tcMar>
          </w:tcPr>
          <w:p>
            <w:r>
              <w:rPr>
                <w:rFonts w:ascii="Arial" w:cs="Arial" w:eastAsia="Arial" w:hAnsi="Arial"/>
                <w:b/>
                <w:bCs/>
                <w:color w:val="922B21"/>
                <w:sz w:val="22"/>
                <w:szCs w:val="22"/>
              </w:rPr>
              <w:t xml:space="preserve">Critical Lesson from Megatron</w:t>
            </w:r>
          </w:p>
          <w:p>
            <w:pPr>
              <w:spacing w:before="60"/>
            </w:pPr>
            <w:r>
              <w:rPr>
                <w:rFonts w:ascii="Arial" w:cs="Arial" w:eastAsia="Arial" w:hAnsi="Arial"/>
                <w:sz w:val="20"/>
                <w:szCs w:val="20"/>
              </w:rPr>
              <w:t xml:space="preserve">Just because a strategy sounds logical doesn’t mean it works for your specific asset. Squeeze breakouts worked brilliantly for gold (96.4% of profits) but were a net loser for SPX despite SPX being in a bull market. SPX’s low-volatility grind created false squeeze signals every 2.4 days.</w:t>
            </w:r>
          </w:p>
        </w:tc>
      </w:tr>
    </w:tbl>
    <w:p>
      <w:pPr>
        <w:spacing w:after="100"/>
      </w:pPr>
    </w:p>
    <w:p>
      <w:pPr>
        <w:pStyle w:val="Heading2"/>
        <w:spacing w:before="280" w:after="160"/>
      </w:pPr>
      <w:r>
        <w:rPr>
          <w:rFonts w:ascii="Arial" w:cs="Arial" w:eastAsia="Arial" w:hAnsi="Arial"/>
          <w:b/>
          <w:bCs/>
          <w:sz w:val="28"/>
          <w:szCs w:val="28"/>
        </w:rPr>
        <w:t xml:space="preserve">1.3 The Edge Equation</w:t>
      </w:r>
    </w:p>
    <w:p>
      <w:pPr>
        <w:spacing w:after="120"/>
      </w:pPr>
      <w:r>
        <w:rPr>
          <w:rFonts w:ascii="Arial" w:cs="Arial" w:eastAsia="Arial" w:hAnsi="Arial"/>
          <w:sz w:val="22"/>
          <w:szCs w:val="22"/>
        </w:rPr>
        <w:t xml:space="preserve">Expected Value = (Win Rate × Avg Win) − (Loss Rate × Avg Loss)</w:t>
      </w:r>
    </w:p>
    <w:p>
      <w:pPr>
        <w:spacing w:after="120"/>
      </w:pPr>
      <w:r>
        <w:rPr>
          <w:rFonts w:ascii="Arial" w:cs="Arial" w:eastAsia="Arial" w:hAnsi="Arial"/>
          <w:sz w:val="22"/>
          <w:szCs w:val="22"/>
        </w:rPr>
        <w:t xml:space="preserve">You don’t need to win most trades. Megatron is profitable with a 42.9% win rate because its payoff ratio is 2.58:1 — winners are held 3.8× longer than losers. A handful of monster trades generate the majority of returns: the top 10 gold wins produced 59.9% of all gold profits.</w:t>
      </w:r>
    </w:p>
    <w:p>
      <w:pPr>
        <w:spacing w:after="100"/>
      </w:pPr>
    </w:p>
    <w:p>
      <w:pPr>
        <w:pStyle w:val="Heading2"/>
        <w:spacing w:before="280" w:after="160"/>
      </w:pPr>
      <w:r>
        <w:rPr>
          <w:rFonts w:ascii="Arial" w:cs="Arial" w:eastAsia="Arial" w:hAnsi="Arial"/>
          <w:b/>
          <w:bCs/>
          <w:sz w:val="28"/>
          <w:szCs w:val="28"/>
        </w:rPr>
        <w:t xml:space="preserve">1.4 Respect the Compounding Engine</w:t>
      </w:r>
    </w:p>
    <w:p>
      <w:pPr>
        <w:spacing w:after="120"/>
      </w:pPr>
      <w:r>
        <w:rPr>
          <w:rFonts w:ascii="Arial" w:cs="Arial" w:eastAsia="Arial" w:hAnsi="Arial"/>
          <w:sz w:val="22"/>
          <w:szCs w:val="22"/>
        </w:rPr>
        <w:t xml:space="preserve">When a strategy uses aggressive position sizing, its returns are driven by exponential compounding, not just trade selection. Megatron’s transformation of $100K into $40M comes from three interdependent components: trade count, position size, and win asymmetry. Reducing any one has multiplicative downstream effects. This is detailed in Chapter 9.</w:t>
      </w:r>
    </w:p>
    <w:p>
      <w:r>
        <w:br w:type="page"/>
      </w:r>
    </w:p>
    <w:p>
      <w:pPr>
        <w:pStyle w:val="Heading1"/>
        <w:spacing w:before="360" w:after="200"/>
      </w:pPr>
      <w:r>
        <w:rPr>
          <w:rFonts w:ascii="Arial" w:cs="Arial" w:eastAsia="Arial" w:hAnsi="Arial"/>
          <w:b/>
          <w:bCs/>
          <w:sz w:val="32"/>
          <w:szCs w:val="32"/>
        </w:rPr>
        <w:t xml:space="preserve">2. Strategy Development Lifecycle</w:t>
      </w:r>
    </w:p>
    <w:p>
      <w:pPr>
        <w:pStyle w:val="Heading2"/>
        <w:spacing w:before="280" w:after="160"/>
      </w:pPr>
      <w:r>
        <w:rPr>
          <w:rFonts w:ascii="Arial" w:cs="Arial" w:eastAsia="Arial" w:hAnsi="Arial"/>
          <w:b/>
          <w:bCs/>
          <w:sz w:val="28"/>
          <w:szCs w:val="28"/>
        </w:rPr>
        <w:t xml:space="preserve">2.1 The Iterative Development Process</w:t>
      </w:r>
    </w:p>
    <w:p>
      <w:pPr>
        <w:spacing w:after="120"/>
      </w:pPr>
      <w:r>
        <w:rPr>
          <w:rFonts w:ascii="Arial" w:cs="Arial" w:eastAsia="Arial" w:hAnsi="Arial"/>
          <w:sz w:val="22"/>
          <w:szCs w:val="22"/>
        </w:rPr>
        <w:t xml:space="preserve">Follow a strict cycle: Hypothesis → Implement → Backtest → Compare vs Baseline → Analyse Why → Decide (Keep/Revert) → Repeat. Every enhancement must prove its value through rigorous backtesting. Be willing to revert changes that don’t improve performance.</w:t>
      </w:r>
    </w:p>
    <w:p>
      <w:pPr>
        <w:spacing w:after="100"/>
      </w:pPr>
    </w:p>
    <w:p>
      <w:pPr>
        <w:pStyle w:val="Heading2"/>
        <w:spacing w:before="280" w:after="160"/>
      </w:pPr>
      <w:r>
        <w:rPr>
          <w:rFonts w:ascii="Arial" w:cs="Arial" w:eastAsia="Arial" w:hAnsi="Arial"/>
          <w:b/>
          <w:bCs/>
          <w:sz w:val="28"/>
          <w:szCs w:val="28"/>
        </w:rPr>
        <w:t xml:space="preserve">2.2 Version Control Strategy</w:t>
      </w:r>
    </w:p>
    <w:p>
      <w:pPr>
        <w:spacing w:after="120"/>
      </w:pPr>
      <w:r>
        <w:rPr>
          <w:rFonts w:ascii="Arial" w:cs="Arial" w:eastAsia="Arial" w:hAnsi="Arial"/>
          <w:b/>
          <w:bCs/>
          <w:sz w:val="22"/>
          <w:szCs w:val="22"/>
        </w:rPr>
        <w:t xml:space="preserve">Numbering convention: </w:t>
      </w:r>
      <w:r>
        <w:rPr>
          <w:rFonts w:ascii="Arial" w:cs="Arial" w:eastAsia="Arial" w:hAnsi="Arial"/>
          <w:sz w:val="22"/>
          <w:szCs w:val="22"/>
        </w:rPr>
        <w:t xml:space="preserve">v{MAJOR}.{MINOR} with optional parameter suffix</w:t>
      </w:r>
    </w:p>
    <w:p>
      <w:pPr>
        <w:pStyle w:val="ListParagraph"/>
        <w:numPr>
          <w:ilvl w:val="0"/>
          <w:numId w:val="2"/>
        </w:numPr>
        <w:spacing w:after="80"/>
      </w:pPr>
      <w:r>
        <w:rPr>
          <w:rFonts w:ascii="Arial" w:cs="Arial" w:eastAsia="Arial" w:hAnsi="Arial"/>
          <w:sz w:val="22"/>
          <w:szCs w:val="22"/>
        </w:rPr>
        <w:t xml:space="preserve">Major (1.x → 2.x): Fundamental strategy change (e.g., removing an instrument, changing core thesis)</w:t>
      </w:r>
    </w:p>
    <w:p>
      <w:pPr>
        <w:pStyle w:val="ListParagraph"/>
        <w:numPr>
          <w:ilvl w:val="0"/>
          <w:numId w:val="2"/>
        </w:numPr>
        <w:spacing w:after="80"/>
      </w:pPr>
      <w:r>
        <w:rPr>
          <w:rFonts w:ascii="Arial" w:cs="Arial" w:eastAsia="Arial" w:hAnsi="Arial"/>
          <w:sz w:val="22"/>
          <w:szCs w:val="22"/>
        </w:rPr>
        <w:t xml:space="preserve">Minor (1.001 → 1.002): Feature addition or enhancement</w:t>
      </w:r>
    </w:p>
    <w:p>
      <w:pPr>
        <w:pStyle w:val="ListParagraph"/>
        <w:numPr>
          <w:ilvl w:val="0"/>
          <w:numId w:val="2"/>
        </w:numPr>
        <w:spacing w:after="80"/>
      </w:pPr>
      <w:r>
        <w:rPr>
          <w:rFonts w:ascii="Arial" w:cs="Arial" w:eastAsia="Arial" w:hAnsi="Arial"/>
          <w:sz w:val="22"/>
          <w:szCs w:val="22"/>
        </w:rPr>
        <w:t xml:space="preserve">Parameter variation (1.001.01): Same code, different parameter configuration</w:t>
      </w:r>
    </w:p>
    <w:p>
      <w:pPr>
        <w:pStyle w:val="ListParagraph"/>
        <w:numPr>
          <w:ilvl w:val="0"/>
          <w:numId w:val="2"/>
        </w:numPr>
        <w:spacing w:after="80"/>
      </w:pPr>
      <w:r>
        <w:rPr>
          <w:rFonts w:ascii="Arial" w:cs="Arial" w:eastAsia="Arial" w:hAnsi="Arial"/>
          <w:sz w:val="22"/>
          <w:szCs w:val="22"/>
        </w:rPr>
        <w:t xml:space="preserve">Production (1.300): Stable version promoted to live trading</w:t>
      </w:r>
    </w:p>
    <w:p>
      <w:pPr>
        <w:spacing w:after="100"/>
      </w:pPr>
    </w:p>
    <w:p>
      <w:pPr>
        <w:spacing w:after="120"/>
      </w:pPr>
      <w:r>
        <w:rPr>
          <w:rFonts w:ascii="Arial" w:cs="Arial" w:eastAsia="Arial" w:hAnsi="Arial"/>
          <w:b/>
          <w:bCs/>
          <w:sz w:val="22"/>
          <w:szCs w:val="22"/>
        </w:rPr>
        <w:t xml:space="preserve">Golden rules: </w:t>
      </w:r>
      <w:r>
        <w:rPr>
          <w:rFonts w:ascii="Arial" w:cs="Arial" w:eastAsia="Arial" w:hAnsi="Arial"/>
          <w:sz w:val="22"/>
          <w:szCs w:val="22"/>
        </w:rPr>
        <w:t xml:space="preserve">Never modify a working version — create a new one. Keep baseline versions untouched for comparison. Document every version’s purpose and results. Maintain a production branch separate from experiments.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86C1" w:sz="6"/>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b/>
                <w:bCs/>
                <w:color w:val="1B4F72"/>
                <w:sz w:val="22"/>
                <w:szCs w:val="22"/>
              </w:rPr>
              <w:t xml:space="preserve">Megatron Version History Example</w:t>
            </w:r>
          </w:p>
          <w:p>
            <w:pPr>
              <w:spacing w:before="60"/>
            </w:pPr>
            <w:r>
              <w:rPr>
                <w:rFonts w:ascii="Arial" w:cs="Arial" w:eastAsia="Arial" w:hAnsi="Arial"/>
                <w:sz w:val="20"/>
                <w:szCs w:val="20"/>
              </w:rPr>
              <w:t xml:space="preserve">v1.009 (baseline) → v1.012 (defensive package, -94% performance) → reverted → v1.019/v1.020 (incremental tests) → v1.021 (equilibrium found) → v1.300 (production) → v1.400 (Telegram added) → v2.0xx (IBKR adaptation)</w:t>
            </w:r>
          </w:p>
        </w:tc>
      </w:tr>
    </w:tbl>
    <w:p>
      <w:pPr>
        <w:spacing w:after="100"/>
      </w:pPr>
    </w:p>
    <w:p>
      <w:pPr>
        <w:pStyle w:val="Heading2"/>
        <w:spacing w:before="280" w:after="160"/>
      </w:pPr>
      <w:r>
        <w:rPr>
          <w:rFonts w:ascii="Arial" w:cs="Arial" w:eastAsia="Arial" w:hAnsi="Arial"/>
          <w:b/>
          <w:bCs/>
          <w:sz w:val="28"/>
          <w:szCs w:val="28"/>
        </w:rPr>
        <w:t xml:space="preserve">2.3 The Baseline Principle</w:t>
      </w:r>
    </w:p>
    <w:p>
      <w:pPr>
        <w:spacing w:after="120"/>
      </w:pPr>
      <w:r>
        <w:rPr>
          <w:rFonts w:ascii="Arial" w:cs="Arial" w:eastAsia="Arial" w:hAnsi="Arial"/>
          <w:sz w:val="22"/>
          <w:szCs w:val="22"/>
        </w:rPr>
        <w:t xml:space="preserve">Always maintain an untouched baseline version. Every new version must be compared against the baseline, not just its predecessor. This prevents gradual drift where each version is slightly worse but passes because it’s compared to the already-degraded prior version.</w:t>
      </w:r>
    </w:p>
    <w:p>
      <w:pPr>
        <w:spacing w:after="100"/>
      </w:pPr>
    </w:p>
    <w:p>
      <w:pPr>
        <w:spacing w:after="120"/>
      </w:pPr>
      <w:r>
        <w:rPr>
          <w:rFonts w:ascii="Arial" w:cs="Arial" w:eastAsia="Arial" w:hAnsi="Arial"/>
          <w:sz w:val="22"/>
          <w:szCs w:val="22"/>
        </w:rPr>
        <w:t xml:space="preserve">From Megatron: v1.009 served as the baseline throughout development. When v1.012’s defensive package collapsed performance by 94%, the team immediately knew because they compared against v1.009, not v1.011.</w:t>
      </w:r>
    </w:p>
    <w:p>
      <w:r>
        <w:br w:type="page"/>
      </w:r>
    </w:p>
    <w:p>
      <w:pPr>
        <w:pStyle w:val="Heading1"/>
        <w:spacing w:before="360" w:after="200"/>
      </w:pPr>
      <w:r>
        <w:rPr>
          <w:rFonts w:ascii="Arial" w:cs="Arial" w:eastAsia="Arial" w:hAnsi="Arial"/>
          <w:b/>
          <w:bCs/>
          <w:sz w:val="32"/>
          <w:szCs w:val="32"/>
        </w:rPr>
        <w:t xml:space="preserve">3. Entry System Design</w:t>
      </w:r>
    </w:p>
    <w:p>
      <w:pPr>
        <w:pStyle w:val="Heading2"/>
        <w:spacing w:before="280" w:after="160"/>
      </w:pPr>
      <w:r>
        <w:rPr>
          <w:rFonts w:ascii="Arial" w:cs="Arial" w:eastAsia="Arial" w:hAnsi="Arial"/>
          <w:b/>
          <w:bCs/>
          <w:sz w:val="28"/>
          <w:szCs w:val="28"/>
        </w:rPr>
        <w:t xml:space="preserve">3.1 Multi-Condition Entry Gates</w:t>
      </w:r>
    </w:p>
    <w:p>
      <w:pPr>
        <w:spacing w:after="120"/>
      </w:pPr>
      <w:r>
        <w:rPr>
          <w:rFonts w:ascii="Arial" w:cs="Arial" w:eastAsia="Arial" w:hAnsi="Arial"/>
          <w:sz w:val="22"/>
          <w:szCs w:val="22"/>
        </w:rPr>
        <w:t xml:space="preserve">Structure entries as a series of gates that ALL must pass. Each gate addresses a different risk dimension:</w:t>
      </w:r>
    </w:p>
    <w:p>
      <w:pPr>
        <w:pStyle w:val="ListParagraph"/>
        <w:numPr>
          <w:ilvl w:val="0"/>
          <w:numId w:val="2"/>
        </w:numPr>
        <w:spacing w:after="80"/>
      </w:pPr>
      <w:r>
        <w:rPr>
          <w:rFonts w:ascii="Arial" w:cs="Arial" w:eastAsia="Arial" w:hAnsi="Arial"/>
          <w:sz w:val="22"/>
          <w:szCs w:val="22"/>
        </w:rPr>
        <w:t xml:space="preserve">Trend gate: Is the asset trending in our direction? (e.g., price &gt; 50-day EMA)</w:t>
      </w:r>
    </w:p>
    <w:p>
      <w:pPr>
        <w:pStyle w:val="ListParagraph"/>
        <w:numPr>
          <w:ilvl w:val="0"/>
          <w:numId w:val="2"/>
        </w:numPr>
        <w:spacing w:after="80"/>
      </w:pPr>
      <w:r>
        <w:rPr>
          <w:rFonts w:ascii="Arial" w:cs="Arial" w:eastAsia="Arial" w:hAnsi="Arial"/>
          <w:sz w:val="22"/>
          <w:szCs w:val="22"/>
        </w:rPr>
        <w:t xml:space="preserve">Signal gate: Has the specific setup triggered? (e.g., Bollinger Band breakout after squeeze)</w:t>
      </w:r>
    </w:p>
    <w:p>
      <w:pPr>
        <w:pStyle w:val="ListParagraph"/>
        <w:numPr>
          <w:ilvl w:val="0"/>
          <w:numId w:val="2"/>
        </w:numPr>
        <w:spacing w:after="80"/>
      </w:pPr>
      <w:r>
        <w:rPr>
          <w:rFonts w:ascii="Arial" w:cs="Arial" w:eastAsia="Arial" w:hAnsi="Arial"/>
          <w:sz w:val="22"/>
          <w:szCs w:val="22"/>
        </w:rPr>
        <w:t xml:space="preserve">Momentum gate: Is momentum confirming? (e.g., RSI not overbought)</w:t>
      </w:r>
    </w:p>
    <w:p>
      <w:pPr>
        <w:pStyle w:val="ListParagraph"/>
        <w:numPr>
          <w:ilvl w:val="0"/>
          <w:numId w:val="2"/>
        </w:numPr>
        <w:spacing w:after="80"/>
      </w:pPr>
      <w:r>
        <w:rPr>
          <w:rFonts w:ascii="Arial" w:cs="Arial" w:eastAsia="Arial" w:hAnsi="Arial"/>
          <w:sz w:val="22"/>
          <w:szCs w:val="22"/>
        </w:rPr>
        <w:t xml:space="preserve">Volatility gate: Is volatility in acceptable range? (e.g., bandwidth below threshold)</w:t>
      </w:r>
    </w:p>
    <w:p>
      <w:pPr>
        <w:pStyle w:val="ListParagraph"/>
        <w:numPr>
          <w:ilvl w:val="0"/>
          <w:numId w:val="2"/>
        </w:numPr>
        <w:spacing w:after="80"/>
      </w:pPr>
      <w:r>
        <w:rPr>
          <w:rFonts w:ascii="Arial" w:cs="Arial" w:eastAsia="Arial" w:hAnsi="Arial"/>
          <w:sz w:val="22"/>
          <w:szCs w:val="22"/>
        </w:rPr>
        <w:t xml:space="preserve">Capacity gate: Is there room for another position? (e.g., active positions &lt; max)</w:t>
      </w:r>
    </w:p>
    <w:p>
      <w:pPr>
        <w:spacing w:after="100"/>
      </w:pPr>
    </w:p>
    <w:p>
      <w:pPr>
        <w:pStyle w:val="Heading2"/>
        <w:spacing w:before="280" w:after="160"/>
      </w:pPr>
      <w:r>
        <w:rPr>
          <w:rFonts w:ascii="Arial" w:cs="Arial" w:eastAsia="Arial" w:hAnsi="Arial"/>
          <w:b/>
          <w:bCs/>
          <w:sz w:val="28"/>
          <w:szCs w:val="28"/>
        </w:rPr>
        <w:t xml:space="preserve">3.2 The Squeeze Breakout Pattern</w:t>
      </w:r>
    </w:p>
    <w:p>
      <w:pPr>
        <w:spacing w:after="120"/>
      </w:pPr>
      <w:r>
        <w:rPr>
          <w:rFonts w:ascii="Arial" w:cs="Arial" w:eastAsia="Arial" w:hAnsi="Arial"/>
          <w:sz w:val="22"/>
          <w:szCs w:val="22"/>
        </w:rPr>
        <w:t xml:space="preserve">Megatron’s core pattern: identify periods when Bollinger Bands compress (bandwidth below 110% of 100-bar average), then enter long when price breaks above the upper band while the daily trend is intact. This captures the principle that volatility is mean-reverting — compression precedes expansion.</w:t>
      </w:r>
    </w:p>
    <w:p>
      <w:pPr>
        <w:spacing w:after="100"/>
      </w:pPr>
    </w:p>
    <w:p>
      <w:pPr>
        <w:spacing w:after="60"/>
        <w:ind w:left="360"/>
      </w:pPr>
      <w:r>
        <w:rPr>
          <w:rFonts w:ascii="Consolas" w:cs="Consolas" w:eastAsia="Consolas" w:hAnsi="Consolas"/>
          <w:color w:val="333333"/>
          <w:sz w:val="20"/>
          <w:szCs w:val="20"/>
        </w:rPr>
        <w:t xml:space="preserve">Gate 1: Price &gt; 50-day EMA (trend UP)</w:t>
      </w:r>
    </w:p>
    <w:p>
      <w:pPr>
        <w:spacing w:after="60"/>
        <w:ind w:left="360"/>
      </w:pPr>
      <w:r>
        <w:rPr>
          <w:rFonts w:ascii="Consolas" w:cs="Consolas" w:eastAsia="Consolas" w:hAnsi="Consolas"/>
          <w:color w:val="333333"/>
          <w:sz w:val="20"/>
          <w:szCs w:val="20"/>
        </w:rPr>
        <w:t xml:space="preserve">Gate 2: Bandwidth &lt; avg × 1.1 (squeeze)</w:t>
      </w:r>
    </w:p>
    <w:p>
      <w:pPr>
        <w:spacing w:after="60"/>
        <w:ind w:left="360"/>
      </w:pPr>
      <w:r>
        <w:rPr>
          <w:rFonts w:ascii="Consolas" w:cs="Consolas" w:eastAsia="Consolas" w:hAnsi="Consolas"/>
          <w:color w:val="333333"/>
          <w:sz w:val="20"/>
          <w:szCs w:val="20"/>
        </w:rPr>
        <w:t xml:space="preserve">Gate 3: Price &gt; Upper BB(20,2) (breakout)</w:t>
      </w:r>
    </w:p>
    <w:p>
      <w:pPr>
        <w:spacing w:after="60"/>
        <w:ind w:left="360"/>
      </w:pPr>
      <w:r>
        <w:rPr>
          <w:rFonts w:ascii="Consolas" w:cs="Consolas" w:eastAsia="Consolas" w:hAnsi="Consolas"/>
          <w:color w:val="333333"/>
          <w:sz w:val="20"/>
          <w:szCs w:val="20"/>
        </w:rPr>
        <w:t xml:space="preserve">Gate 4: RSI(14) &lt; 80 for gold, 75 for SPX</w:t>
      </w:r>
    </w:p>
    <w:p>
      <w:pPr>
        <w:spacing w:after="60"/>
        <w:ind w:left="360"/>
      </w:pPr>
      <w:r>
        <w:rPr>
          <w:rFonts w:ascii="Consolas" w:cs="Consolas" w:eastAsia="Consolas" w:hAnsi="Consolas"/>
          <w:color w:val="333333"/>
          <w:sz w:val="20"/>
          <w:szCs w:val="20"/>
        </w:rPr>
        <w:t xml:space="preserve">Gate 5: Active positions &lt; 2</w:t>
      </w:r>
    </w:p>
    <w:p>
      <w:pPr>
        <w:spacing w:after="100"/>
      </w:pPr>
    </w:p>
    <w:p>
      <w:pPr>
        <w:pStyle w:val="Heading2"/>
        <w:spacing w:before="280" w:after="160"/>
      </w:pPr>
      <w:r>
        <w:rPr>
          <w:rFonts w:ascii="Arial" w:cs="Arial" w:eastAsia="Arial" w:hAnsi="Arial"/>
          <w:b/>
          <w:bCs/>
          <w:sz w:val="28"/>
          <w:szCs w:val="28"/>
        </w:rPr>
        <w:t xml:space="preserve">3.3 Avoiding False Entries</w:t>
      </w:r>
    </w:p>
    <w:p>
      <w:pPr>
        <w:spacing w:after="120"/>
      </w:pPr>
      <w:r>
        <w:rPr>
          <w:rFonts w:ascii="Arial" w:cs="Arial" w:eastAsia="Arial" w:hAnsi="Arial"/>
          <w:b/>
          <w:bCs/>
          <w:sz w:val="22"/>
          <w:szCs w:val="22"/>
        </w:rPr>
        <w:t xml:space="preserve">ADX filter: </w:t>
      </w:r>
      <w:r>
        <w:rPr>
          <w:rFonts w:ascii="Arial" w:cs="Arial" w:eastAsia="Arial" w:hAnsi="Arial"/>
          <w:sz w:val="22"/>
          <w:szCs w:val="22"/>
        </w:rPr>
        <w:t xml:space="preserve">Only trade when trend strength exceeds 15. Below this, the market is ranging and momentum strategies suffer.</w:t>
      </w:r>
    </w:p>
    <w:p>
      <w:pPr>
        <w:spacing w:after="120"/>
      </w:pPr>
      <w:r>
        <w:rPr>
          <w:rFonts w:ascii="Arial" w:cs="Arial" w:eastAsia="Arial" w:hAnsi="Arial"/>
          <w:b/>
          <w:bCs/>
          <w:sz w:val="22"/>
          <w:szCs w:val="22"/>
        </w:rPr>
        <w:t xml:space="preserve">RSI filter: </w:t>
      </w:r>
      <w:r>
        <w:rPr>
          <w:rFonts w:ascii="Arial" w:cs="Arial" w:eastAsia="Arial" w:hAnsi="Arial"/>
          <w:sz w:val="22"/>
          <w:szCs w:val="22"/>
        </w:rPr>
        <w:t xml:space="preserve">Don’t chase extended moves. For long entries, avoid overbought conditions (RSI &gt; 70–80). This filtered out tail-end exhaustion spikes in Megatron.</w:t>
      </w:r>
    </w:p>
    <w:p>
      <w:pPr>
        <w:spacing w:after="120"/>
      </w:pPr>
      <w:r>
        <w:rPr>
          <w:rFonts w:ascii="Arial" w:cs="Arial" w:eastAsia="Arial" w:hAnsi="Arial"/>
          <w:b/>
          <w:bCs/>
          <w:sz w:val="22"/>
          <w:szCs w:val="22"/>
        </w:rPr>
        <w:t xml:space="preserve">Squeeze filter calibration: </w:t>
      </w:r>
      <w:r>
        <w:rPr>
          <w:rFonts w:ascii="Arial" w:cs="Arial" w:eastAsia="Arial" w:hAnsi="Arial"/>
          <w:sz w:val="22"/>
          <w:szCs w:val="22"/>
        </w:rPr>
        <w:t xml:space="preserve">A genuine Bollinger squeeze should be a rare event (2–4 per month). If your filter passes trades every 2–3 days, it’s too loose. Megatron’s 2013–2014 catastrophe was partly caused by the squeeze filter treating normal low volatility as a squeeze signal, generating 212 trades in 24 months.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6"/>
              <w:bottom w:val="single" w:color="CCCCCC" w:sz="1"/>
              <w:right w:val="single" w:color="CCCCCC" w:sz="1"/>
            </w:tcBorders>
            <w:shd w:fill="FDEDEC" w:val="clear"/>
            <w:tcMar>
              <w:top w:type="dxa" w:w="120"/>
              <w:left w:type="dxa" w:w="200"/>
              <w:bottom w:type="dxa" w:w="120"/>
              <w:right w:type="dxa" w:w="200"/>
            </w:tcMar>
          </w:tcPr>
          <w:p>
            <w:r>
              <w:rPr>
                <w:rFonts w:ascii="Arial" w:cs="Arial" w:eastAsia="Arial" w:hAnsi="Arial"/>
                <w:b/>
                <w:bCs/>
                <w:color w:val="922B21"/>
                <w:sz w:val="22"/>
                <w:szCs w:val="22"/>
              </w:rPr>
              <w:t xml:space="preserve">Anti-Pattern: The Squeeze Filter Trap</w:t>
            </w:r>
          </w:p>
          <w:p>
            <w:pPr>
              <w:spacing w:before="60"/>
            </w:pPr>
            <w:r>
              <w:rPr>
                <w:rFonts w:ascii="Arial" w:cs="Arial" w:eastAsia="Arial" w:hAnsi="Arial"/>
                <w:sz w:val="20"/>
                <w:szCs w:val="20"/>
              </w:rPr>
              <w:t xml:space="preserve">In low-volatility environments, bandwidth &lt; avg × 1.1 passes nearly every bar. The result: 157 SPX trades in 2 years at 32.5% win rate — the algo bled capital for 12 consecutive months. Consider percentile-based filters (bottom 20% of recent bandwidth) for genuine compression detection.</w:t>
            </w:r>
          </w:p>
        </w:tc>
      </w:tr>
    </w:tbl>
    <w:p>
      <w:r>
        <w:br w:type="page"/>
      </w:r>
    </w:p>
    <w:p>
      <w:pPr>
        <w:pStyle w:val="Heading1"/>
        <w:spacing w:before="360" w:after="200"/>
      </w:pPr>
      <w:r>
        <w:rPr>
          <w:rFonts w:ascii="Arial" w:cs="Arial" w:eastAsia="Arial" w:hAnsi="Arial"/>
          <w:b/>
          <w:bCs/>
          <w:sz w:val="32"/>
          <w:szCs w:val="32"/>
        </w:rPr>
        <w:t xml:space="preserve">4. Exit &amp; Risk Management</w:t>
      </w:r>
    </w:p>
    <w:p>
      <w:pPr>
        <w:pStyle w:val="Heading2"/>
        <w:spacing w:before="280" w:after="160"/>
      </w:pPr>
      <w:r>
        <w:rPr>
          <w:rFonts w:ascii="Arial" w:cs="Arial" w:eastAsia="Arial" w:hAnsi="Arial"/>
          <w:b/>
          <w:bCs/>
          <w:sz w:val="28"/>
          <w:szCs w:val="28"/>
        </w:rPr>
        <w:t xml:space="preserve">4.1 The Exit Priority Hierarchy</w:t>
      </w:r>
    </w:p>
    <w:p>
      <w:pPr>
        <w:spacing w:after="120"/>
      </w:pPr>
      <w:r>
        <w:rPr>
          <w:rFonts w:ascii="Arial" w:cs="Arial" w:eastAsia="Arial" w:hAnsi="Arial"/>
          <w:sz w:val="22"/>
          <w:szCs w:val="22"/>
        </w:rPr>
        <w:t xml:space="preserve">Structure exits by priority — first trigger wins:</w:t>
      </w:r>
    </w:p>
    <w:p>
      <w:pPr>
        <w:pStyle w:val="ListParagraph"/>
        <w:numPr>
          <w:ilvl w:val="0"/>
          <w:numId w:val="2"/>
        </w:numPr>
        <w:spacing w:after="80"/>
      </w:pPr>
      <w:r>
        <w:rPr>
          <w:rFonts w:ascii="Arial" w:cs="Arial" w:eastAsia="Arial" w:hAnsi="Arial"/>
          <w:sz w:val="22"/>
          <w:szCs w:val="22"/>
        </w:rPr>
        <w:t xml:space="preserve">Priority 1: Circuit breakers — portfolio-level protection (daily/weekly loss limits, consecutive loss halts)</w:t>
      </w:r>
    </w:p>
    <w:p>
      <w:pPr>
        <w:pStyle w:val="ListParagraph"/>
        <w:numPr>
          <w:ilvl w:val="0"/>
          <w:numId w:val="2"/>
        </w:numPr>
        <w:spacing w:after="80"/>
      </w:pPr>
      <w:r>
        <w:rPr>
          <w:rFonts w:ascii="Arial" w:cs="Arial" w:eastAsia="Arial" w:hAnsi="Arial"/>
          <w:sz w:val="22"/>
          <w:szCs w:val="22"/>
        </w:rPr>
        <w:t xml:space="preserve">Priority 2: Emergency stops — catastrophic loss prevention (e.g., -10% equity stop during minimum hold)</w:t>
      </w:r>
    </w:p>
    <w:p>
      <w:pPr>
        <w:pStyle w:val="ListParagraph"/>
        <w:numPr>
          <w:ilvl w:val="0"/>
          <w:numId w:val="2"/>
        </w:numPr>
        <w:spacing w:after="80"/>
      </w:pPr>
      <w:r>
        <w:rPr>
          <w:rFonts w:ascii="Arial" w:cs="Arial" w:eastAsia="Arial" w:hAnsi="Arial"/>
          <w:sz w:val="22"/>
          <w:szCs w:val="22"/>
        </w:rPr>
        <w:t xml:space="preserve">Priority 3: ATR trailing stop — the primary risk manager, adapts to volatility</w:t>
      </w:r>
    </w:p>
    <w:p>
      <w:pPr>
        <w:pStyle w:val="ListParagraph"/>
        <w:numPr>
          <w:ilvl w:val="0"/>
          <w:numId w:val="2"/>
        </w:numPr>
        <w:spacing w:after="80"/>
      </w:pPr>
      <w:r>
        <w:rPr>
          <w:rFonts w:ascii="Arial" w:cs="Arial" w:eastAsia="Arial" w:hAnsi="Arial"/>
          <w:sz w:val="22"/>
          <w:szCs w:val="22"/>
        </w:rPr>
        <w:t xml:space="preserve">Priority 4: EMA trend break — secondary exit when fundamental trend breaks (with grace period)</w:t>
      </w:r>
    </w:p>
    <w:p>
      <w:pPr>
        <w:pStyle w:val="ListParagraph"/>
        <w:numPr>
          <w:ilvl w:val="0"/>
          <w:numId w:val="2"/>
        </w:numPr>
        <w:spacing w:after="80"/>
      </w:pPr>
      <w:r>
        <w:rPr>
          <w:rFonts w:ascii="Arial" w:cs="Arial" w:eastAsia="Arial" w:hAnsi="Arial"/>
          <w:sz w:val="22"/>
          <w:szCs w:val="22"/>
        </w:rPr>
        <w:t xml:space="preserve">Priority 5: Time-based exits — stale trade timeout (72h with minimum profit threshold)</w:t>
      </w:r>
    </w:p>
    <w:p>
      <w:pPr>
        <w:spacing w:after="100"/>
      </w:pPr>
    </w:p>
    <w:p>
      <w:pPr>
        <w:pStyle w:val="Heading2"/>
        <w:spacing w:before="280" w:after="160"/>
      </w:pPr>
      <w:r>
        <w:rPr>
          <w:rFonts w:ascii="Arial" w:cs="Arial" w:eastAsia="Arial" w:hAnsi="Arial"/>
          <w:b/>
          <w:bCs/>
          <w:sz w:val="28"/>
          <w:szCs w:val="28"/>
        </w:rPr>
        <w:t xml:space="preserve">4.2 The Minimum Hold Time Discovery</w:t>
      </w:r>
    </w:p>
    <w:p>
      <w:pPr>
        <w:spacing w:after="120"/>
      </w:pPr>
      <w:r>
        <w:rPr>
          <w:rFonts w:ascii="Arial" w:cs="Arial" w:eastAsia="Arial" w:hAnsi="Arial"/>
          <w:sz w:val="22"/>
          <w:szCs w:val="22"/>
        </w:rPr>
        <w:t xml:space="preserve">The single most important finding from Megatron’s development: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6"/>
              <w:bottom w:val="single" w:color="CCCCCC" w:sz="1"/>
              <w:right w:val="single" w:color="CCCCCC" w:sz="1"/>
            </w:tcBorders>
            <w:shd w:fill="FDEDEC" w:val="clear"/>
            <w:tcMar>
              <w:top w:type="dxa" w:w="120"/>
              <w:left w:type="dxa" w:w="200"/>
              <w:bottom w:type="dxa" w:w="120"/>
              <w:right w:type="dxa" w:w="200"/>
            </w:tcMar>
          </w:tcPr>
          <w:p>
            <w:r>
              <w:rPr>
                <w:rFonts w:ascii="Arial" w:cs="Arial" w:eastAsia="Arial" w:hAnsi="Arial"/>
                <w:b/>
                <w:bCs/>
                <w:color w:val="922B21"/>
                <w:sz w:val="22"/>
                <w:szCs w:val="22"/>
              </w:rPr>
              <w:t xml:space="preserve">The Death Zone: Trades Held Under 6 Hours</w:t>
            </w:r>
          </w:p>
          <w:p>
            <w:pPr>
              <w:spacing w:before="60"/>
            </w:pPr>
            <w:r>
              <w:rPr>
                <w:rFonts w:ascii="Arial" w:cs="Arial" w:eastAsia="Arial" w:hAnsi="Arial"/>
                <w:sz w:val="20"/>
                <w:szCs w:val="20"/>
              </w:rPr>
              <w:t xml:space="preserve">Across both 2013–2014 and 2020–2025, across both instruments, the win rate for trades exiting in under 6 hours was exactly 0%. These represent immediate reversals: price pierces the upper Bollinger Band, then falls back through the EMA, triggering a premature exit. In 2020–2025 alone, these 49 trades cost $14.5M in losses.</w:t>
            </w:r>
          </w:p>
        </w:tc>
      </w:tr>
    </w:tbl>
    <w:p>
      <w:pPr>
        <w:spacing w:after="100"/>
      </w:pPr>
    </w:p>
    <w:p>
      <w:pPr>
        <w:spacing w:after="120"/>
      </w:pPr>
      <w:r>
        <w:rPr>
          <w:rFonts w:ascii="Arial" w:cs="Arial" w:eastAsia="Arial" w:hAnsi="Arial"/>
          <w:sz w:val="22"/>
          <w:szCs w:val="22"/>
        </w:rPr>
        <w:t xml:space="preserve">Solution: Implement a minimum hold time of 6 hours. During this period, only emergency stops (-10% equity) are honoured — EMA break exits are suppressed. Additionally, implement a 12-hour grace period before EMA break exits are allowed at all.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500"/>
        <w:gridCol w:w="2000"/>
        <w:gridCol w:w="25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Hold Time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Trades (2020–2025)</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Win Rate</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P&amp;L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6 hours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-$14.5M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6–24 hours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16.8%</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-$20.8M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hours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+$73.8M</w:t>
            </w:r>
          </w:p>
        </w:tc>
      </w:tr>
    </w:tbl>
    <w:p>
      <w:pPr>
        <w:spacing w:after="100"/>
      </w:pPr>
    </w:p>
    <w:p>
      <w:pPr>
        <w:spacing w:after="120"/>
      </w:pPr>
      <w:r>
        <w:rPr>
          <w:rFonts w:ascii="Arial" w:cs="Arial" w:eastAsia="Arial" w:hAnsi="Arial"/>
          <w:sz w:val="22"/>
          <w:szCs w:val="22"/>
        </w:rPr>
        <w:t xml:space="preserve">Trades lasting 24+ hours are where the genuine edge lives. The challenge is preventing the flood of quick losers.</w:t>
      </w:r>
    </w:p>
    <w:p>
      <w:pPr>
        <w:spacing w:after="100"/>
      </w:pPr>
    </w:p>
    <w:p>
      <w:pPr>
        <w:pStyle w:val="Heading2"/>
        <w:spacing w:before="280" w:after="160"/>
      </w:pPr>
      <w:r>
        <w:rPr>
          <w:rFonts w:ascii="Arial" w:cs="Arial" w:eastAsia="Arial" w:hAnsi="Arial"/>
          <w:b/>
          <w:bCs/>
          <w:sz w:val="28"/>
          <w:szCs w:val="28"/>
        </w:rPr>
        <w:t xml:space="preserve">4.3 Adaptive Trailing Stops</w:t>
      </w:r>
    </w:p>
    <w:p>
      <w:pPr>
        <w:spacing w:after="120"/>
      </w:pPr>
      <w:r>
        <w:rPr>
          <w:rFonts w:ascii="Arial" w:cs="Arial" w:eastAsia="Arial" w:hAnsi="Arial"/>
          <w:sz w:val="22"/>
          <w:szCs w:val="22"/>
        </w:rPr>
        <w:t xml:space="preserve">Use ATR-based trailing stops that adapt to current volatility. The stop is set at entry minus 2.5× ATR and ratchets upward as the trade moves in your favour, never moving backward.</w:t>
      </w:r>
    </w:p>
    <w:p>
      <w:pPr>
        <w:spacing w:after="120"/>
      </w:pPr>
      <w:r>
        <w:rPr>
          <w:rFonts w:ascii="Arial" w:cs="Arial" w:eastAsia="Arial" w:hAnsi="Arial"/>
          <w:b/>
          <w:bCs/>
          <w:sz w:val="22"/>
          <w:szCs w:val="22"/>
        </w:rPr>
        <w:t xml:space="preserve">ATR floor: </w:t>
      </w:r>
      <w:r>
        <w:rPr>
          <w:rFonts w:ascii="Arial" w:cs="Arial" w:eastAsia="Arial" w:hAnsi="Arial"/>
          <w:sz w:val="22"/>
          <w:szCs w:val="22"/>
        </w:rPr>
        <w:t xml:space="preserve">Prevent the denominator-collapse problem by flooring ATR at 50% of its 100-bar average. Without this, low-ATR environments produce absurdly tight stops that get immediately hit, or absurdly large position sizes that create leverage bombs.</w:t>
      </w:r>
    </w:p>
    <w:p>
      <w:pPr>
        <w:spacing w:after="100"/>
      </w:pPr>
    </w:p>
    <w:p>
      <w:pPr>
        <w:pStyle w:val="Heading2"/>
        <w:spacing w:before="280" w:after="160"/>
      </w:pPr>
      <w:r>
        <w:rPr>
          <w:rFonts w:ascii="Arial" w:cs="Arial" w:eastAsia="Arial" w:hAnsi="Arial"/>
          <w:b/>
          <w:bCs/>
          <w:sz w:val="28"/>
          <w:szCs w:val="28"/>
        </w:rPr>
        <w:t xml:space="preserve">4.4 Circuit Breakers</w:t>
      </w:r>
    </w:p>
    <w:p>
      <w:pPr>
        <w:pStyle w:val="ListParagraph"/>
        <w:numPr>
          <w:ilvl w:val="0"/>
          <w:numId w:val="2"/>
        </w:numPr>
        <w:spacing w:after="80"/>
      </w:pPr>
      <w:r>
        <w:rPr>
          <w:rFonts w:ascii="Arial" w:cs="Arial" w:eastAsia="Arial" w:hAnsi="Arial"/>
          <w:sz w:val="22"/>
          <w:szCs w:val="22"/>
        </w:rPr>
        <w:t xml:space="preserve">Daily loss limit: Halt all new trades if daily P&amp;L exceeds -3% of equity</w:t>
      </w:r>
    </w:p>
    <w:p>
      <w:pPr>
        <w:pStyle w:val="ListParagraph"/>
        <w:numPr>
          <w:ilvl w:val="0"/>
          <w:numId w:val="2"/>
        </w:numPr>
        <w:spacing w:after="80"/>
      </w:pPr>
      <w:r>
        <w:rPr>
          <w:rFonts w:ascii="Arial" w:cs="Arial" w:eastAsia="Arial" w:hAnsi="Arial"/>
          <w:sz w:val="22"/>
          <w:szCs w:val="22"/>
        </w:rPr>
        <w:t xml:space="preserve">Consecutive loss halt: After 5 consecutive losses, halt trading for 48 hours</w:t>
      </w:r>
    </w:p>
    <w:p>
      <w:pPr>
        <w:pStyle w:val="ListParagraph"/>
        <w:numPr>
          <w:ilvl w:val="0"/>
          <w:numId w:val="2"/>
        </w:numPr>
        <w:spacing w:after="80"/>
      </w:pPr>
      <w:r>
        <w:rPr>
          <w:rFonts w:ascii="Arial" w:cs="Arial" w:eastAsia="Arial" w:hAnsi="Arial"/>
          <w:sz w:val="22"/>
          <w:szCs w:val="22"/>
        </w:rPr>
        <w:t xml:space="preserve">Portfolio drawdown breaker: At -15% drawdown, reduce all sizing by 50%; at -20%, halt entirely</w:t>
      </w:r>
    </w:p>
    <w:p>
      <w:pPr>
        <w:pStyle w:val="ListParagraph"/>
        <w:numPr>
          <w:ilvl w:val="0"/>
          <w:numId w:val="2"/>
        </w:numPr>
        <w:spacing w:after="80"/>
      </w:pPr>
      <w:r>
        <w:rPr>
          <w:rFonts w:ascii="Arial" w:cs="Arial" w:eastAsia="Arial" w:hAnsi="Arial"/>
          <w:sz w:val="22"/>
          <w:szCs w:val="22"/>
        </w:rPr>
        <w:t xml:space="preserve">Monthly per-instrument loss limit: If an instrument loses 5% in a calendar month, halt it for the remainder</w:t>
      </w:r>
    </w:p>
    <w:p>
      <w:r>
        <w:br w:type="page"/>
      </w:r>
    </w:p>
    <w:p>
      <w:pPr>
        <w:pStyle w:val="Heading1"/>
        <w:spacing w:before="360" w:after="200"/>
      </w:pPr>
      <w:r>
        <w:rPr>
          <w:rFonts w:ascii="Arial" w:cs="Arial" w:eastAsia="Arial" w:hAnsi="Arial"/>
          <w:b/>
          <w:bCs/>
          <w:sz w:val="32"/>
          <w:szCs w:val="32"/>
        </w:rPr>
        <w:t xml:space="preserve">5. Position Sizing &amp; Capital Management</w:t>
      </w:r>
    </w:p>
    <w:p>
      <w:pPr>
        <w:pStyle w:val="Heading2"/>
        <w:spacing w:before="280" w:after="160"/>
      </w:pPr>
      <w:r>
        <w:rPr>
          <w:rFonts w:ascii="Arial" w:cs="Arial" w:eastAsia="Arial" w:hAnsi="Arial"/>
          <w:b/>
          <w:bCs/>
          <w:sz w:val="28"/>
          <w:szCs w:val="28"/>
        </w:rPr>
        <w:t xml:space="preserve">5.1 Risk-Based Position Sizing</w:t>
      </w:r>
    </w:p>
    <w:p>
      <w:pPr>
        <w:spacing w:after="120"/>
      </w:pPr>
      <w:r>
        <w:rPr>
          <w:rFonts w:ascii="Arial" w:cs="Arial" w:eastAsia="Arial" w:hAnsi="Arial"/>
          <w:sz w:val="22"/>
          <w:szCs w:val="22"/>
        </w:rPr>
        <w:t xml:space="preserve">Never size by “how much can I buy” — size by “how much can I lose.” The core formula:</w:t>
      </w:r>
    </w:p>
    <w:p>
      <w:pPr>
        <w:spacing w:after="100"/>
      </w:pPr>
    </w:p>
    <w:p>
      <w:pPr>
        <w:spacing w:after="60"/>
        <w:ind w:left="360"/>
      </w:pPr>
      <w:r>
        <w:rPr>
          <w:rFonts w:ascii="Consolas" w:cs="Consolas" w:eastAsia="Consolas" w:hAnsi="Consolas"/>
          <w:color w:val="333333"/>
          <w:sz w:val="20"/>
          <w:szCs w:val="20"/>
        </w:rPr>
        <w:t xml:space="preserve">qty = (equity × risk%) / (ATR × stop_multiplier)</w:t>
      </w:r>
    </w:p>
    <w:p>
      <w:pPr>
        <w:spacing w:after="100"/>
      </w:pPr>
    </w:p>
    <w:p>
      <w:pPr>
        <w:spacing w:after="120"/>
      </w:pPr>
      <w:r>
        <w:rPr>
          <w:rFonts w:ascii="Arial" w:cs="Arial" w:eastAsia="Arial" w:hAnsi="Arial"/>
          <w:sz w:val="22"/>
          <w:szCs w:val="22"/>
        </w:rPr>
        <w:t xml:space="preserve">Where risk% is determined by conviction level (see Chapter 6), and stop_multiplier is typically 2.5× ATR. This ensures consistent risk per trade regardless of asset price or volatility.</w:t>
      </w:r>
    </w:p>
    <w:p>
      <w:pPr>
        <w:spacing w:after="100"/>
      </w:pPr>
    </w:p>
    <w:p>
      <w:pPr>
        <w:pStyle w:val="Heading2"/>
        <w:spacing w:before="280" w:after="160"/>
      </w:pPr>
      <w:r>
        <w:rPr>
          <w:rFonts w:ascii="Arial" w:cs="Arial" w:eastAsia="Arial" w:hAnsi="Arial"/>
          <w:b/>
          <w:bCs/>
          <w:sz w:val="28"/>
          <w:szCs w:val="28"/>
        </w:rPr>
        <w:t xml:space="preserve">5.2 The Leverage Cap</w:t>
      </w:r>
    </w:p>
    <w:p>
      <w:pPr>
        <w:spacing w:after="120"/>
      </w:pPr>
      <w:r>
        <w:rPr>
          <w:rFonts w:ascii="Arial" w:cs="Arial" w:eastAsia="Arial" w:hAnsi="Arial"/>
          <w:sz w:val="22"/>
          <w:szCs w:val="22"/>
        </w:rPr>
        <w:t xml:space="preserve">While position sizing is formulaic, you must cap the resulting leverage to prevent extreme exposures. From Megatron’s development: the natural output of 9% risk / 2.5× ATR stop is a median 6.5× leverage on gold. This is acceptable, but without a cap, low-ATR environments can push leverage to 30×+.</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Leverage Cap</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Effect on Megatron</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but kills compounding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 conservative for aggressive strategies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of gold trades hit cap, -2.8pp drawdown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for moderate strategies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production setting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tail events hit cap; 1.93 Sharpe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for Megatron’s profile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Leverage bombs in low-ATR regimes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go uncapped</w:t>
            </w:r>
          </w:p>
        </w:tc>
      </w:tr>
    </w:tbl>
    <w:p>
      <w:pPr>
        <w:spacing w:after="100"/>
      </w:pPr>
    </w:p>
    <w:p>
      <w:pPr>
        <w:pStyle w:val="Heading2"/>
        <w:spacing w:before="280" w:after="160"/>
      </w:pPr>
      <w:r>
        <w:rPr>
          <w:rFonts w:ascii="Arial" w:cs="Arial" w:eastAsia="Arial" w:hAnsi="Arial"/>
          <w:b/>
          <w:bCs/>
          <w:sz w:val="28"/>
          <w:szCs w:val="28"/>
        </w:rPr>
        <w:t xml:space="preserve">5.3 Account Sizing Requirements</w:t>
      </w:r>
    </w:p>
    <w:p>
      <w:pPr>
        <w:spacing w:after="120"/>
      </w:pPr>
      <w:r>
        <w:rPr>
          <w:rFonts w:ascii="Arial" w:cs="Arial" w:eastAsia="Arial" w:hAnsi="Arial"/>
          <w:sz w:val="22"/>
          <w:szCs w:val="22"/>
        </w:rPr>
        <w:t xml:space="preserve">The minimum viable account size depends on your maximum consecutive loss sequence and the drawdown threshold. From Megatron’s analysis with up to 11 consecutive losses: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Account Size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Viability</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risk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bad streak triggers margin danger; compounding stalls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Marginal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Survives most streaks but drawdown protection triggers early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viable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drawdown leaves $15K — enough to recover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drawdown cycle survivable, good compounding runway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Matches backtest starting capital; parameters calibrated here</w:t>
            </w:r>
          </w:p>
        </w:tc>
      </w:tr>
    </w:tbl>
    <w:p>
      <w:pPr>
        <w:spacing w:after="100"/>
      </w:pPr>
    </w:p>
    <w:p>
      <w:pPr>
        <w:pStyle w:val="Heading2"/>
        <w:spacing w:before="280" w:after="160"/>
      </w:pPr>
      <w:r>
        <w:rPr>
          <w:rFonts w:ascii="Arial" w:cs="Arial" w:eastAsia="Arial" w:hAnsi="Arial"/>
          <w:b/>
          <w:bCs/>
          <w:sz w:val="28"/>
          <w:szCs w:val="28"/>
        </w:rPr>
        <w:t xml:space="preserve">5.4 Drawdown-Adjusted Sizing</w:t>
      </w:r>
    </w:p>
    <w:p>
      <w:pPr>
        <w:spacing w:after="120"/>
      </w:pPr>
      <w:r>
        <w:rPr>
          <w:rFonts w:ascii="Arial" w:cs="Arial" w:eastAsia="Arial" w:hAnsi="Arial"/>
          <w:sz w:val="22"/>
          <w:szCs w:val="22"/>
        </w:rPr>
        <w:t xml:space="preserve">Reduce size progressively during drawdowns to prevent catastrophic losses: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Drawdown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 Multiplier</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size; normal variance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Slight reduction as losses build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Significant reduction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Near-halt to preserve capital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(halt)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new trades until recovery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6"/>
              <w:bottom w:val="single" w:color="CCCCCC" w:sz="1"/>
              <w:right w:val="single" w:color="CCCCCC" w:sz="1"/>
            </w:tcBorders>
            <w:shd w:fill="FDEDEC" w:val="clear"/>
            <w:tcMar>
              <w:top w:type="dxa" w:w="120"/>
              <w:left w:type="dxa" w:w="200"/>
              <w:bottom w:type="dxa" w:w="120"/>
              <w:right w:type="dxa" w:w="200"/>
            </w:tcMar>
          </w:tcPr>
          <w:p>
            <w:r>
              <w:rPr>
                <w:rFonts w:ascii="Arial" w:cs="Arial" w:eastAsia="Arial" w:hAnsi="Arial"/>
                <w:b/>
                <w:bCs/>
                <w:color w:val="922B21"/>
                <w:sz w:val="22"/>
                <w:szCs w:val="22"/>
              </w:rPr>
              <w:t xml:space="preserve">Caution</w:t>
            </w:r>
          </w:p>
          <w:p>
            <w:pPr>
              <w:spacing w:before="60"/>
            </w:pPr>
            <w:r>
              <w:rPr>
                <w:rFonts w:ascii="Arial" w:cs="Arial" w:eastAsia="Arial" w:hAnsi="Arial"/>
                <w:sz w:val="20"/>
                <w:szCs w:val="20"/>
              </w:rPr>
              <w:t xml:space="preserve">Starting drawdown reduction too early (at 5%) can hurt compounding in shallow drawdowns that would otherwise recover naturally. Test carefully against your baseline.</w:t>
            </w:r>
          </w:p>
        </w:tc>
      </w:tr>
    </w:tbl>
    <w:p>
      <w:r>
        <w:br w:type="page"/>
      </w:r>
    </w:p>
    <w:p>
      <w:pPr>
        <w:pStyle w:val="Heading1"/>
        <w:spacing w:before="360" w:after="200"/>
      </w:pPr>
      <w:r>
        <w:rPr>
          <w:rFonts w:ascii="Arial" w:cs="Arial" w:eastAsia="Arial" w:hAnsi="Arial"/>
          <w:b/>
          <w:bCs/>
          <w:sz w:val="32"/>
          <w:szCs w:val="32"/>
        </w:rPr>
        <w:t xml:space="preserve">6. Multi-Factor Conviction Systems</w:t>
      </w:r>
    </w:p>
    <w:p>
      <w:pPr>
        <w:pStyle w:val="Heading2"/>
        <w:spacing w:before="280" w:after="160"/>
      </w:pPr>
      <w:r>
        <w:rPr>
          <w:rFonts w:ascii="Arial" w:cs="Arial" w:eastAsia="Arial" w:hAnsi="Arial"/>
          <w:b/>
          <w:bCs/>
          <w:sz w:val="28"/>
          <w:szCs w:val="28"/>
        </w:rPr>
        <w:t xml:space="preserve">6.1 The Conviction Framework</w:t>
      </w:r>
    </w:p>
    <w:p>
      <w:pPr>
        <w:spacing w:after="120"/>
      </w:pPr>
      <w:r>
        <w:rPr>
          <w:rFonts w:ascii="Arial" w:cs="Arial" w:eastAsia="Arial" w:hAnsi="Arial"/>
          <w:sz w:val="22"/>
          <w:szCs w:val="22"/>
        </w:rPr>
        <w:t xml:space="preserve">Don’t treat all entries equally. Scale position size based on signal quality using independent factors: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Scoring Basis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(Primary)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Bandwidth percentile — how tight is the squeeze?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(Secondary)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Distance above EMA — how strong is the trend?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Momentum (Tertiary)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 zone — is there room to run?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bl>
    <w:p>
      <w:pPr>
        <w:spacing w:after="100"/>
      </w:pPr>
    </w:p>
    <w:p>
      <w:pPr>
        <w:pStyle w:val="Heading2"/>
        <w:spacing w:before="280" w:after="160"/>
      </w:pPr>
      <w:r>
        <w:rPr>
          <w:rFonts w:ascii="Arial" w:cs="Arial" w:eastAsia="Arial" w:hAnsi="Arial"/>
          <w:b/>
          <w:bCs/>
          <w:sz w:val="28"/>
          <w:szCs w:val="28"/>
        </w:rPr>
        <w:t xml:space="preserve">6.2 Conviction Tiers and Risk Allocation</w:t>
      </w:r>
    </w:p>
    <w:p>
      <w:pPr>
        <w:spacing w:after="120"/>
      </w:pPr>
      <w:r>
        <w:rPr>
          <w:rFonts w:ascii="Arial" w:cs="Arial" w:eastAsia="Arial" w:hAnsi="Arial"/>
          <w:sz w:val="22"/>
          <w:szCs w:val="22"/>
        </w:rPr>
        <w:t xml:space="preserve">Megatron uses four conviction tiers with different risk percentages per instrument: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Conviction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Composite Score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Gold Risk%</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SPX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0.35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CAUTIOUS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6"/>
              <w:bottom w:val="single" w:color="CCCCCC" w:sz="1"/>
              <w:right w:val="single" w:color="CCCCCC" w:sz="1"/>
            </w:tcBorders>
            <w:shd w:fill="FDEDEC" w:val="clear"/>
            <w:tcMar>
              <w:top w:type="dxa" w:w="120"/>
              <w:left w:type="dxa" w:w="200"/>
              <w:bottom w:type="dxa" w:w="120"/>
              <w:right w:type="dxa" w:w="200"/>
            </w:tcMar>
          </w:tcPr>
          <w:p>
            <w:r>
              <w:rPr>
                <w:rFonts w:ascii="Arial" w:cs="Arial" w:eastAsia="Arial" w:hAnsi="Arial"/>
                <w:b/>
                <w:bCs/>
                <w:color w:val="922B21"/>
                <w:sz w:val="22"/>
                <w:szCs w:val="22"/>
              </w:rPr>
              <w:t xml:space="preserve">Anti-Pattern: Conviction Amplifying Traps</w:t>
            </w:r>
          </w:p>
          <w:p>
            <w:pPr>
              <w:spacing w:before="60"/>
            </w:pPr>
            <w:r>
              <w:rPr>
                <w:rFonts w:ascii="Arial" w:cs="Arial" w:eastAsia="Arial" w:hAnsi="Arial"/>
                <w:sz w:val="20"/>
                <w:szCs w:val="20"/>
              </w:rPr>
              <w:t xml:space="preserve">In 2013–2014, HIGH conviction trades had the worst average P&amp;L (-0.09%) because “high conviction” in a bear market means tight squeeze + strong EMA alignment = the peak of a bear market bounce. The conviction system amplified the very trades most likely to fail. Conviction systems require the underlying edge to be present.</w:t>
            </w:r>
          </w:p>
        </w:tc>
      </w:tr>
    </w:tbl>
    <w:p>
      <w:r>
        <w:br w:type="page"/>
      </w:r>
    </w:p>
    <w:p>
      <w:pPr>
        <w:pStyle w:val="Heading1"/>
        <w:spacing w:before="360" w:after="200"/>
      </w:pPr>
      <w:r>
        <w:rPr>
          <w:rFonts w:ascii="Arial" w:cs="Arial" w:eastAsia="Arial" w:hAnsi="Arial"/>
          <w:b/>
          <w:bCs/>
          <w:sz w:val="32"/>
          <w:szCs w:val="32"/>
        </w:rPr>
        <w:t xml:space="preserve">7. Indicator Selection &amp; Usage</w:t>
      </w:r>
    </w:p>
    <w:p>
      <w:pPr>
        <w:pStyle w:val="Heading2"/>
        <w:spacing w:before="280" w:after="160"/>
      </w:pPr>
      <w:r>
        <w:rPr>
          <w:rFonts w:ascii="Arial" w:cs="Arial" w:eastAsia="Arial" w:hAnsi="Arial"/>
          <w:b/>
          <w:bCs/>
          <w:sz w:val="28"/>
          <w:szCs w:val="28"/>
        </w:rPr>
        <w:t xml:space="preserve">7.1 Recommended Indicator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Indicators</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 (20/50/200), Linear Regression Slope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 confirmation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Momentum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RSI(14), MACD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Speed/strength; overbought filter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Volatility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ATR(14 or 250), Bollinger Band Width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 placement, squeeze detection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 Strength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choppy/ranging markets (&gt;15)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Volume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OBV, Volume MA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Participation confirmation</w:t>
            </w:r>
          </w:p>
        </w:tc>
      </w:tr>
    </w:tbl>
    <w:p>
      <w:pPr>
        <w:spacing w:after="100"/>
      </w:pPr>
    </w:p>
    <w:p>
      <w:pPr>
        <w:pStyle w:val="Heading2"/>
        <w:spacing w:before="280" w:after="160"/>
      </w:pPr>
      <w:r>
        <w:rPr>
          <w:rFonts w:ascii="Arial" w:cs="Arial" w:eastAsia="Arial" w:hAnsi="Arial"/>
          <w:b/>
          <w:bCs/>
          <w:sz w:val="28"/>
          <w:szCs w:val="28"/>
        </w:rPr>
        <w:t xml:space="preserve">7.2 Key Practices from Megatron</w:t>
      </w:r>
    </w:p>
    <w:p>
      <w:pPr>
        <w:spacing w:after="120"/>
      </w:pPr>
      <w:r>
        <w:rPr>
          <w:rFonts w:ascii="Arial" w:cs="Arial" w:eastAsia="Arial" w:hAnsi="Arial"/>
          <w:b/>
          <w:bCs/>
          <w:sz w:val="22"/>
          <w:szCs w:val="22"/>
        </w:rPr>
        <w:t xml:space="preserve">ATR window matters: </w:t>
      </w:r>
      <w:r>
        <w:rPr>
          <w:rFonts w:ascii="Arial" w:cs="Arial" w:eastAsia="Arial" w:hAnsi="Arial"/>
          <w:sz w:val="22"/>
          <w:szCs w:val="22"/>
        </w:rPr>
        <w:t xml:space="preserve">Megatron tested ATR-100 vs ATR-250. The longer window (250 bars) smoothed out noise and produced more stable position sizing across different volatility regimes.</w:t>
      </w:r>
    </w:p>
    <w:p>
      <w:pPr>
        <w:spacing w:after="120"/>
      </w:pPr>
      <w:r>
        <w:rPr>
          <w:rFonts w:ascii="Arial" w:cs="Arial" w:eastAsia="Arial" w:hAnsi="Arial"/>
          <w:b/>
          <w:bCs/>
          <w:sz w:val="22"/>
          <w:szCs w:val="22"/>
        </w:rPr>
        <w:t xml:space="preserve">Normalize everything: </w:t>
      </w:r>
      <w:r>
        <w:rPr>
          <w:rFonts w:ascii="Arial" w:cs="Arial" w:eastAsia="Arial" w:hAnsi="Arial"/>
          <w:sz w:val="22"/>
          <w:szCs w:val="22"/>
        </w:rPr>
        <w:t xml:space="preserve">Raw slope is price-dependent and incomparable across time. Normalise to percentage change per period so 0.015%/hour means the same in 2020 and 2025.</w:t>
      </w:r>
    </w:p>
    <w:p>
      <w:pPr>
        <w:spacing w:after="120"/>
      </w:pPr>
      <w:r>
        <w:rPr>
          <w:rFonts w:ascii="Arial" w:cs="Arial" w:eastAsia="Arial" w:hAnsi="Arial"/>
          <w:b/>
          <w:bCs/>
          <w:sz w:val="22"/>
          <w:szCs w:val="22"/>
        </w:rPr>
        <w:t xml:space="preserve">Bollinger Band settings: </w:t>
      </w:r>
      <w:r>
        <w:rPr>
          <w:rFonts w:ascii="Arial" w:cs="Arial" w:eastAsia="Arial" w:hAnsi="Arial"/>
          <w:sz w:val="22"/>
          <w:szCs w:val="22"/>
        </w:rPr>
        <w:t xml:space="preserve">BB(20,2) is the standard. The 20-period lookback captures enough history for the squeeze detection while remaining responsive to compression events.</w:t>
      </w:r>
    </w:p>
    <w:p>
      <w:pPr>
        <w:spacing w:after="120"/>
      </w:pPr>
      <w:r>
        <w:rPr>
          <w:rFonts w:ascii="Arial" w:cs="Arial" w:eastAsia="Arial" w:hAnsi="Arial"/>
          <w:b/>
          <w:bCs/>
          <w:sz w:val="22"/>
          <w:szCs w:val="22"/>
        </w:rPr>
        <w:t xml:space="preserve">EMA for trend filter: </w:t>
      </w:r>
      <w:r>
        <w:rPr>
          <w:rFonts w:ascii="Arial" w:cs="Arial" w:eastAsia="Arial" w:hAnsi="Arial"/>
          <w:sz w:val="22"/>
          <w:szCs w:val="22"/>
        </w:rPr>
        <w:t xml:space="preserve">Use a daily-resolution EMA (50-day) as the trend gate, separate from hourly signal indicators. This prevents whipsaw on intraday noise while keeping the broader trend intact.</w:t>
      </w:r>
    </w:p>
    <w:p>
      <w:r>
        <w:br w:type="page"/>
      </w:r>
    </w:p>
    <w:p>
      <w:pPr>
        <w:pStyle w:val="Heading1"/>
        <w:spacing w:before="360" w:after="200"/>
      </w:pPr>
      <w:r>
        <w:rPr>
          <w:rFonts w:ascii="Arial" w:cs="Arial" w:eastAsia="Arial" w:hAnsi="Arial"/>
          <w:b/>
          <w:bCs/>
          <w:sz w:val="32"/>
          <w:szCs w:val="32"/>
        </w:rPr>
        <w:t xml:space="preserve">8. Time &amp; Session Management</w:t>
      </w:r>
    </w:p>
    <w:p>
      <w:pPr>
        <w:pStyle w:val="Heading2"/>
        <w:spacing w:before="280" w:after="160"/>
      </w:pPr>
      <w:r>
        <w:rPr>
          <w:rFonts w:ascii="Arial" w:cs="Arial" w:eastAsia="Arial" w:hAnsi="Arial"/>
          <w:b/>
          <w:bCs/>
          <w:sz w:val="28"/>
          <w:szCs w:val="28"/>
        </w:rPr>
        <w:t xml:space="preserve">8.1 Session-Aware Trading</w:t>
      </w:r>
    </w:p>
    <w:p>
      <w:pPr>
        <w:spacing w:after="120"/>
      </w:pPr>
      <w:r>
        <w:rPr>
          <w:rFonts w:ascii="Arial" w:cs="Arial" w:eastAsia="Arial" w:hAnsi="Arial"/>
          <w:sz w:val="22"/>
          <w:szCs w:val="22"/>
        </w:rPr>
        <w:t xml:space="preserve">Different trading sessions have different characteristics. Megatron tracks session-specific win rates to adjust sizing: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UTC Hours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Megatron Treatment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Asia (Tokyo)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00:00–08:00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volume, range-bound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WR tracker; dampen if weak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London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08:00–16:00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volume, trending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WR tracker; boost if strong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York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13:00–21:00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volume, volatile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WR tracker; boost if strong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21:00–00:00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liquidity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Consider excluding entirely</w:t>
            </w:r>
          </w:p>
        </w:tc>
      </w:tr>
    </w:tbl>
    <w:p>
      <w:pPr>
        <w:spacing w:after="100"/>
      </w:pPr>
    </w:p>
    <w:p>
      <w:pPr>
        <w:pStyle w:val="Heading2"/>
        <w:spacing w:before="280" w:after="160"/>
      </w:pPr>
      <w:r>
        <w:rPr>
          <w:rFonts w:ascii="Arial" w:cs="Arial" w:eastAsia="Arial" w:hAnsi="Arial"/>
          <w:b/>
          <w:bCs/>
          <w:sz w:val="28"/>
          <w:szCs w:val="28"/>
        </w:rPr>
        <w:t xml:space="preserve">8.2 Session Win Rate Tracking</w:t>
      </w:r>
    </w:p>
    <w:p>
      <w:pPr>
        <w:spacing w:after="120"/>
      </w:pPr>
      <w:r>
        <w:rPr>
          <w:rFonts w:ascii="Arial" w:cs="Arial" w:eastAsia="Arial" w:hAnsi="Arial"/>
          <w:sz w:val="22"/>
          <w:szCs w:val="22"/>
        </w:rPr>
        <w:t xml:space="preserve">Maintain rolling 20-trade win rates per session per instrument. When a session’s rolling win rate drops below 30%, dampen position sizes. When it exceeds 50%, boost them. This adapts to regime shifts within sessions without manual intervention.</w:t>
      </w:r>
    </w:p>
    <w:p>
      <w:pPr>
        <w:spacing w:after="100"/>
      </w:pPr>
    </w:p>
    <w:p>
      <w:pPr>
        <w:pStyle w:val="Heading2"/>
        <w:spacing w:before="280" w:after="160"/>
      </w:pPr>
      <w:r>
        <w:rPr>
          <w:rFonts w:ascii="Arial" w:cs="Arial" w:eastAsia="Arial" w:hAnsi="Arial"/>
          <w:b/>
          <w:bCs/>
          <w:sz w:val="28"/>
          <w:szCs w:val="28"/>
        </w:rPr>
        <w:t xml:space="preserve">8.3 Cooldown Periods</w:t>
      </w:r>
    </w:p>
    <w:p>
      <w:pPr>
        <w:spacing w:after="120"/>
      </w:pPr>
      <w:r>
        <w:rPr>
          <w:rFonts w:ascii="Arial" w:cs="Arial" w:eastAsia="Arial" w:hAnsi="Arial"/>
          <w:sz w:val="22"/>
          <w:szCs w:val="22"/>
        </w:rPr>
        <w:t xml:space="preserve">After exiting a trade, enforce a cooldown period (12 hours per symbol) before allowing re-entry. This prevents the “enter, immediately exit, re-enter” cycle that generates the death zone losses. Extended cooldown (36 hours) applies during DAMPEN_BOTH rebalance states.</w:t>
      </w:r>
    </w:p>
    <w:p>
      <w:r>
        <w:br w:type="page"/>
      </w:r>
    </w:p>
    <w:p>
      <w:pPr>
        <w:pStyle w:val="Heading1"/>
        <w:spacing w:before="360" w:after="200"/>
      </w:pPr>
      <w:r>
        <w:rPr>
          <w:rFonts w:ascii="Arial" w:cs="Arial" w:eastAsia="Arial" w:hAnsi="Arial"/>
          <w:b/>
          <w:bCs/>
          <w:sz w:val="32"/>
          <w:szCs w:val="32"/>
        </w:rPr>
        <w:t xml:space="preserve">9. The Compounding Engine</w:t>
      </w:r>
    </w:p>
    <w:p>
      <w:pPr>
        <w:pStyle w:val="Heading2"/>
        <w:spacing w:before="280" w:after="160"/>
      </w:pPr>
      <w:r>
        <w:rPr>
          <w:rFonts w:ascii="Arial" w:cs="Arial" w:eastAsia="Arial" w:hAnsi="Arial"/>
          <w:b/>
          <w:bCs/>
          <w:sz w:val="28"/>
          <w:szCs w:val="28"/>
        </w:rPr>
        <w:t xml:space="preserve">9.1 Why This Is the Most Important Chapter</w:t>
      </w:r>
    </w:p>
    <w:p>
      <w:pPr>
        <w:spacing w:after="120"/>
      </w:pPr>
      <w:r>
        <w:rPr>
          <w:rFonts w:ascii="Arial" w:cs="Arial" w:eastAsia="Arial" w:hAnsi="Arial"/>
          <w:sz w:val="22"/>
          <w:szCs w:val="22"/>
        </w:rPr>
        <w:t xml:space="preserve">Megatron v1.009’s transformation of $100K into $40M is not primarily about trade selection — it’s about exponential compounding. The equation:</w:t>
      </w:r>
    </w:p>
    <w:p>
      <w:pPr>
        <w:spacing w:after="100"/>
      </w:pPr>
    </w:p>
    <w:p>
      <w:pPr>
        <w:spacing w:after="60"/>
        <w:ind w:left="360"/>
      </w:pPr>
      <w:r>
        <w:rPr>
          <w:rFonts w:ascii="Consolas" w:cs="Consolas" w:eastAsia="Consolas" w:hAnsi="Consolas"/>
          <w:color w:val="333333"/>
          <w:sz w:val="20"/>
          <w:szCs w:val="20"/>
        </w:rPr>
        <w:t xml:space="preserve">FINAL_EQUITY = f(Trade_Count × Position_Size × Win_Asymmetry)^compounding_periods</w:t>
      </w:r>
    </w:p>
    <w:p>
      <w:pPr>
        <w:spacing w:after="100"/>
      </w:pPr>
    </w:p>
    <w:p>
      <w:pPr>
        <w:spacing w:after="120"/>
      </w:pPr>
      <w:r>
        <w:rPr>
          <w:rFonts w:ascii="Arial" w:cs="Arial" w:eastAsia="Arial" w:hAnsi="Arial"/>
          <w:sz w:val="22"/>
          <w:szCs w:val="22"/>
        </w:rPr>
        <w:t xml:space="preserve">All three components must be preserved. Reducing any one has multiplicative effects on the final result, and the impact compounds exponentially over time. v1.012’s “defensive package” (tighter filters + lower risk tiers + leverage caps) reduced each component modestly, but the combined effect was a 94% collapse in total performance.</w:t>
      </w:r>
    </w:p>
    <w:p>
      <w:pPr>
        <w:spacing w:after="100"/>
      </w:pPr>
    </w:p>
    <w:p>
      <w:pPr>
        <w:pStyle w:val="Heading2"/>
        <w:spacing w:before="280" w:after="160"/>
      </w:pPr>
      <w:r>
        <w:rPr>
          <w:rFonts w:ascii="Arial" w:cs="Arial" w:eastAsia="Arial" w:hAnsi="Arial"/>
          <w:b/>
          <w:bCs/>
          <w:sz w:val="28"/>
          <w:szCs w:val="28"/>
        </w:rPr>
        <w:t xml:space="preserve">9.2 How $100K Becomes $40M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Trade #</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 to Reach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2020-02-24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months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2020-07-27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months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2023-03-24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years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2024-05-20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 years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2024-08-19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#499</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 years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2025-04-14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#579</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 years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2025-04-17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 years</w:t>
            </w:r>
          </w:p>
        </w:tc>
      </w:tr>
    </w:tbl>
    <w:p>
      <w:pPr>
        <w:spacing w:after="100"/>
      </w:pPr>
    </w:p>
    <w:p>
      <w:pPr>
        <w:spacing w:after="120"/>
      </w:pPr>
      <w:r>
        <w:rPr>
          <w:rFonts w:ascii="Arial" w:cs="Arial" w:eastAsia="Arial" w:hAnsi="Arial"/>
          <w:sz w:val="22"/>
          <w:szCs w:val="22"/>
        </w:rPr>
        <w:t xml:space="preserve">The progression from $20M to $30M took 3 days. 2025 generated 76% of total lifetime returns — not because the algorithm improved, but because the equity base was enormous. Same edge × bigger positions = exponential dollar growth.</w:t>
      </w:r>
    </w:p>
    <w:p>
      <w:pPr>
        <w:spacing w:after="100"/>
      </w:pPr>
    </w:p>
    <w:p>
      <w:pPr>
        <w:pStyle w:val="Heading2"/>
        <w:spacing w:before="280" w:after="160"/>
      </w:pPr>
      <w:r>
        <w:rPr>
          <w:rFonts w:ascii="Arial" w:cs="Arial" w:eastAsia="Arial" w:hAnsi="Arial"/>
          <w:b/>
          <w:bCs/>
          <w:sz w:val="28"/>
          <w:szCs w:val="28"/>
        </w:rPr>
        <w:t xml:space="preserve">9.3 The Three Sacred Parameters</w:t>
      </w:r>
    </w:p>
    <w:p>
      <w:pPr>
        <w:spacing w:after="120"/>
      </w:pPr>
      <w:r>
        <w:rPr>
          <w:rFonts w:ascii="Arial" w:cs="Arial" w:eastAsia="Arial" w:hAnsi="Arial"/>
          <w:sz w:val="22"/>
          <w:szCs w:val="22"/>
        </w:rPr>
        <w:t xml:space="preserve">These are the foundation of the compounding engine. Reducing any of them has exponential downstream effects: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It’s Sacred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HIGH risk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Produces 6.5× median leverage; 7.7% equity gain per winner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Squeeze filter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 1.1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660 trades / 5.9 years; more at-bats = more compounding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hard leverage cap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formula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 median is the natural output of 9% risk / 2.5× ATR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6"/>
              <w:bottom w:val="single" w:color="CCCCCC" w:sz="1"/>
              <w:right w:val="single" w:color="CCCCCC" w:sz="1"/>
            </w:tcBorders>
            <w:shd w:fill="FDEDEC" w:val="clear"/>
            <w:tcMar>
              <w:top w:type="dxa" w:w="120"/>
              <w:left w:type="dxa" w:w="200"/>
              <w:bottom w:type="dxa" w:w="120"/>
              <w:right w:type="dxa" w:w="200"/>
            </w:tcMar>
          </w:tcPr>
          <w:p>
            <w:r>
              <w:rPr>
                <w:rFonts w:ascii="Arial" w:cs="Arial" w:eastAsia="Arial" w:hAnsi="Arial"/>
                <w:b/>
                <w:bCs/>
                <w:color w:val="922B21"/>
                <w:sz w:val="22"/>
                <w:szCs w:val="22"/>
              </w:rPr>
              <w:t xml:space="preserve">The v1.012 Catastrophe</w:t>
            </w:r>
          </w:p>
          <w:p>
            <w:pPr>
              <w:spacing w:before="60"/>
            </w:pPr>
            <w:r>
              <w:rPr>
                <w:rFonts w:ascii="Arial" w:cs="Arial" w:eastAsia="Arial" w:hAnsi="Arial"/>
                <w:sz w:val="20"/>
                <w:szCs w:val="20"/>
              </w:rPr>
              <w:t xml:space="preserve">Well-intentioned defensive changes destroyed the compounding engine: tighter squeeze filter reduced trade count by 60%, lower risk tiers reduced position sizes by 40%, leverage caps constrained the remaining trades. Each change was individually reasonable, but the combined effect was a 94% performance collapse. When modifying an aggressive compounding strategy, change ONE parameter at a time.</w:t>
            </w:r>
          </w:p>
        </w:tc>
      </w:tr>
    </w:tbl>
    <w:p>
      <w:r>
        <w:br w:type="page"/>
      </w:r>
    </w:p>
    <w:p>
      <w:pPr>
        <w:pStyle w:val="Heading1"/>
        <w:spacing w:before="360" w:after="200"/>
      </w:pPr>
      <w:r>
        <w:rPr>
          <w:rFonts w:ascii="Arial" w:cs="Arial" w:eastAsia="Arial" w:hAnsi="Arial"/>
          <w:b/>
          <w:bCs/>
          <w:sz w:val="32"/>
          <w:szCs w:val="32"/>
        </w:rPr>
        <w:t xml:space="preserve">10. Avoiding Common Pitfalls</w:t>
      </w:r>
    </w:p>
    <w:p>
      <w:pPr>
        <w:pStyle w:val="Heading2"/>
        <w:spacing w:before="280" w:after="160"/>
      </w:pPr>
      <w:r>
        <w:rPr>
          <w:rFonts w:ascii="Arial" w:cs="Arial" w:eastAsia="Arial" w:hAnsi="Arial"/>
          <w:b/>
          <w:bCs/>
          <w:sz w:val="28"/>
          <w:szCs w:val="28"/>
        </w:rPr>
        <w:t xml:space="preserve">10.1 The Complexity Trap</w:t>
      </w:r>
    </w:p>
    <w:p>
      <w:pPr>
        <w:spacing w:after="120"/>
      </w:pPr>
      <w:r>
        <w:rPr>
          <w:rFonts w:ascii="Arial" w:cs="Arial" w:eastAsia="Arial" w:hAnsi="Arial"/>
          <w:sz w:val="22"/>
          <w:szCs w:val="22"/>
        </w:rPr>
        <w:t xml:space="preserve">Adding features that individually test well but collectively degrade performance. From Megatron: breakeven stops improved the loss distribution but damaged win rates by cutting trades that needed room to breathe. The strategy’s 42.9% win rate is the natural equilibrium; tightening stops shifts it to ~40% and the payoff ratio compression destroys edge.</w:t>
      </w:r>
    </w:p>
    <w:p>
      <w:pPr>
        <w:spacing w:after="100"/>
      </w:pPr>
    </w:p>
    <w:p>
      <w:pPr>
        <w:pStyle w:val="Heading2"/>
        <w:spacing w:before="280" w:after="160"/>
      </w:pPr>
      <w:r>
        <w:rPr>
          <w:rFonts w:ascii="Arial" w:cs="Arial" w:eastAsia="Arial" w:hAnsi="Arial"/>
          <w:b/>
          <w:bCs/>
          <w:sz w:val="28"/>
          <w:szCs w:val="28"/>
        </w:rPr>
        <w:t xml:space="preserve">10.2 The Reversal Fallacy</w:t>
      </w:r>
    </w:p>
    <w:p>
      <w:pPr>
        <w:spacing w:after="120"/>
      </w:pPr>
      <w:r>
        <w:rPr>
          <w:rFonts w:ascii="Arial" w:cs="Arial" w:eastAsia="Arial" w:hAnsi="Arial"/>
          <w:sz w:val="22"/>
          <w:szCs w:val="22"/>
        </w:rPr>
        <w:t xml:space="preserve">Assuming you can profitably trade both directions. Gold’s safe-haven nature makes shorting dangerous — bounces are violent and unpredictable. Even with extreme filtering (RSI ≥ 70, death cross 30+ bars, EMA200 declining 1%+, max 2 shorts/year), shorts still lost money. Time spent in bad shorts = missed good longs.</w:t>
      </w:r>
    </w:p>
    <w:p>
      <w:pPr>
        <w:spacing w:after="100"/>
      </w:pPr>
    </w:p>
    <w:p>
      <w:pPr>
        <w:pStyle w:val="Heading2"/>
        <w:spacing w:before="280" w:after="160"/>
      </w:pPr>
      <w:r>
        <w:rPr>
          <w:rFonts w:ascii="Arial" w:cs="Arial" w:eastAsia="Arial" w:hAnsi="Arial"/>
          <w:b/>
          <w:bCs/>
          <w:sz w:val="28"/>
          <w:szCs w:val="28"/>
        </w:rPr>
        <w:t xml:space="preserve">10.3 The Third-Instrument Compounding Drag</w:t>
      </w:r>
    </w:p>
    <w:p>
      <w:pPr>
        <w:spacing w:after="120"/>
      </w:pPr>
      <w:r>
        <w:rPr>
          <w:rFonts w:ascii="Arial" w:cs="Arial" w:eastAsia="Arial" w:hAnsi="Arial"/>
          <w:sz w:val="22"/>
          <w:szCs w:val="22"/>
        </w:rPr>
        <w:t xml:space="preserve">Adding a third instrument (e.g., WTI crude, silver) consistently degraded Megatron’s performance because: the third instrument dilutes capital allocation away from the best performer (gold), it adds complexity without proportional edge, and the position slot constraint (max 2) means the third instrument blocks better setups. Proven across v1.006, v1.0.0, and multiple tests.</w:t>
      </w:r>
    </w:p>
    <w:p>
      <w:pPr>
        <w:spacing w:after="100"/>
      </w:pPr>
    </w:p>
    <w:p>
      <w:pPr>
        <w:pStyle w:val="Heading2"/>
        <w:spacing w:before="280" w:after="160"/>
      </w:pPr>
      <w:r>
        <w:rPr>
          <w:rFonts w:ascii="Arial" w:cs="Arial" w:eastAsia="Arial" w:hAnsi="Arial"/>
          <w:b/>
          <w:bCs/>
          <w:sz w:val="28"/>
          <w:szCs w:val="28"/>
        </w:rPr>
        <w:t xml:space="preserve">10.4 The DAMPEN_BOTH Trap</w:t>
      </w:r>
    </w:p>
    <w:p>
      <w:pPr>
        <w:spacing w:after="120"/>
      </w:pPr>
      <w:r>
        <w:rPr>
          <w:rFonts w:ascii="Arial" w:cs="Arial" w:eastAsia="Arial" w:hAnsi="Arial"/>
          <w:sz w:val="22"/>
          <w:szCs w:val="22"/>
        </w:rPr>
        <w:t xml:space="preserve">When building rebalance logic between correlated instruments, beware of the safe-haven conflict. Megatron’s rebalance signal dampened both instruments when both showed negative expectancy. But gold rallies during SPX crashes (safe haven flow), so dampening gold at exactly the moment it should be boosted destroyed good trades. Solution: use asymmetric logic that respects inverse correlation patterns.</w:t>
      </w:r>
    </w:p>
    <w:p>
      <w:pPr>
        <w:spacing w:after="100"/>
      </w:pPr>
    </w:p>
    <w:p>
      <w:pPr>
        <w:pStyle w:val="Heading2"/>
        <w:spacing w:before="280" w:after="160"/>
      </w:pPr>
      <w:r>
        <w:rPr>
          <w:rFonts w:ascii="Arial" w:cs="Arial" w:eastAsia="Arial" w:hAnsi="Arial"/>
          <w:b/>
          <w:bCs/>
          <w:sz w:val="28"/>
          <w:szCs w:val="28"/>
        </w:rPr>
        <w:t xml:space="preserve">10.5 Over-Optimisation (Curve Fitting)</w:t>
      </w:r>
    </w:p>
    <w:p>
      <w:pPr>
        <w:spacing w:after="120"/>
      </w:pPr>
      <w:r>
        <w:rPr>
          <w:rFonts w:ascii="Arial" w:cs="Arial" w:eastAsia="Arial" w:hAnsi="Arial"/>
          <w:sz w:val="22"/>
          <w:szCs w:val="22"/>
        </w:rPr>
        <w:t xml:space="preserve">Warning signs: very precise thresholds (RSI = 67.3 instead of 70), many interdependent parameters, huge performance drop in out-of-sample tests, strategy only works in specific date ranges. Prevention: use round intuitive thresholds, test across multiple market regimes, and ensure any parameter change improves performance across both bull and bear periods.</w:t>
      </w:r>
    </w:p>
    <w:p>
      <w:pPr>
        <w:spacing w:after="100"/>
      </w:pPr>
    </w:p>
    <w:p>
      <w:pPr>
        <w:pStyle w:val="Heading2"/>
        <w:spacing w:before="280" w:after="160"/>
      </w:pPr>
      <w:r>
        <w:rPr>
          <w:rFonts w:ascii="Arial" w:cs="Arial" w:eastAsia="Arial" w:hAnsi="Arial"/>
          <w:b/>
          <w:bCs/>
          <w:sz w:val="28"/>
          <w:szCs w:val="28"/>
        </w:rPr>
        <w:t xml:space="preserve">10.6 The Warmup Bug</w:t>
      </w:r>
    </w:p>
    <w:p>
      <w:pPr>
        <w:spacing w:after="120"/>
      </w:pPr>
      <w:r>
        <w:rPr>
          <w:rFonts w:ascii="Arial" w:cs="Arial" w:eastAsia="Arial" w:hAnsi="Arial"/>
          <w:sz w:val="22"/>
          <w:szCs w:val="22"/>
        </w:rPr>
        <w:t xml:space="preserve">Megatron’s squeeze filter returned True during warmup (when no bandwidth history existed), causing trades to fire with no historical context. This is a subtle but dangerous bug — always default to False/no-trade during indicator warmup periods.</w:t>
      </w:r>
    </w:p>
    <w:p>
      <w:r>
        <w:br w:type="page"/>
      </w:r>
    </w:p>
    <w:p>
      <w:pPr>
        <w:pStyle w:val="Heading1"/>
        <w:spacing w:before="360" w:after="200"/>
      </w:pPr>
      <w:r>
        <w:rPr>
          <w:rFonts w:ascii="Arial" w:cs="Arial" w:eastAsia="Arial" w:hAnsi="Arial"/>
          <w:b/>
          <w:bCs/>
          <w:sz w:val="32"/>
          <w:szCs w:val="32"/>
        </w:rPr>
        <w:t xml:space="preserve">11. QuantConnect Platform Guide</w:t>
      </w:r>
    </w:p>
    <w:p>
      <w:pPr>
        <w:pStyle w:val="Heading2"/>
        <w:spacing w:before="280" w:after="160"/>
      </w:pPr>
      <w:r>
        <w:rPr>
          <w:rFonts w:ascii="Arial" w:cs="Arial" w:eastAsia="Arial" w:hAnsi="Arial"/>
          <w:b/>
          <w:bCs/>
          <w:sz w:val="28"/>
          <w:szCs w:val="28"/>
        </w:rPr>
        <w:t xml:space="preserve">11.1 Key Platform Limitations</w:t>
      </w:r>
    </w:p>
    <w:p>
      <w:pPr>
        <w:pStyle w:val="ListParagraph"/>
        <w:numPr>
          <w:ilvl w:val="0"/>
          <w:numId w:val="2"/>
        </w:numPr>
        <w:spacing w:after="80"/>
      </w:pPr>
      <w:r>
        <w:rPr>
          <w:rFonts w:ascii="Arial" w:cs="Arial" w:eastAsia="Arial" w:hAnsi="Arial"/>
          <w:sz w:val="22"/>
          <w:szCs w:val="22"/>
        </w:rPr>
        <w:t xml:space="preserve">File size limit: Main algorithm file must be under 64,000 characters (64KB). When exceeded, extract helper classes into separate module files.</w:t>
      </w:r>
    </w:p>
    <w:p>
      <w:pPr>
        <w:pStyle w:val="ListParagraph"/>
        <w:numPr>
          <w:ilvl w:val="0"/>
          <w:numId w:val="2"/>
        </w:numPr>
        <w:spacing w:after="80"/>
      </w:pPr>
      <w:r>
        <w:rPr>
          <w:rFonts w:ascii="Arial" w:cs="Arial" w:eastAsia="Arial" w:hAnsi="Arial"/>
          <w:sz w:val="22"/>
          <w:szCs w:val="22"/>
        </w:rPr>
        <w:t xml:space="preserve">Log size limit: Backtest logs are truncated at approximately 100KB. Long backtests with verbose logging will lose the final summary. Use condensed logging and write critical output early.</w:t>
      </w:r>
    </w:p>
    <w:p>
      <w:pPr>
        <w:pStyle w:val="ListParagraph"/>
        <w:numPr>
          <w:ilvl w:val="0"/>
          <w:numId w:val="2"/>
        </w:numPr>
        <w:spacing w:after="80"/>
      </w:pPr>
      <w:r>
        <w:rPr>
          <w:rFonts w:ascii="Arial" w:cs="Arial" w:eastAsia="Arial" w:hAnsi="Arial"/>
          <w:sz w:val="22"/>
          <w:szCs w:val="22"/>
        </w:rPr>
        <w:t xml:space="preserve">Warmup period: QC’s warmup feeds historical data to populate indicators before live trading begins. Always verify indicators are ready before trading.</w:t>
      </w:r>
    </w:p>
    <w:p>
      <w:pPr>
        <w:pStyle w:val="ListParagraph"/>
        <w:numPr>
          <w:ilvl w:val="0"/>
          <w:numId w:val="2"/>
        </w:numPr>
        <w:spacing w:after="80"/>
      </w:pPr>
      <w:r>
        <w:rPr>
          <w:rFonts w:ascii="Arial" w:cs="Arial" w:eastAsia="Arial" w:hAnsi="Arial"/>
          <w:sz w:val="22"/>
          <w:szCs w:val="22"/>
        </w:rPr>
        <w:t xml:space="preserve">Oanda CFD data: Available for backtesting via add_cfd(ticker, Resolution.HOUR, Market.OANDA). Works with QuantConnect data provider, NOT with IBKR data provider.</w:t>
      </w:r>
    </w:p>
    <w:p>
      <w:pPr>
        <w:spacing w:after="100"/>
      </w:pPr>
    </w:p>
    <w:p>
      <w:pPr>
        <w:pStyle w:val="Heading2"/>
        <w:spacing w:before="280" w:after="160"/>
      </w:pPr>
      <w:r>
        <w:rPr>
          <w:rFonts w:ascii="Arial" w:cs="Arial" w:eastAsia="Arial" w:hAnsi="Arial"/>
          <w:b/>
          <w:bCs/>
          <w:sz w:val="28"/>
          <w:szCs w:val="28"/>
        </w:rPr>
        <w:t xml:space="preserve">11.2 Multi-File Architecture</w:t>
      </w:r>
    </w:p>
    <w:p>
      <w:pPr>
        <w:spacing w:after="120"/>
      </w:pPr>
      <w:r>
        <w:rPr>
          <w:rFonts w:ascii="Arial" w:cs="Arial" w:eastAsia="Arial" w:hAnsi="Arial"/>
          <w:sz w:val="22"/>
          <w:szCs w:val="22"/>
        </w:rPr>
        <w:t xml:space="preserve">When your main file approaches 64KB, extract classes into separate modules: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Size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main.py (Megatron)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algorithm, entry/exit logic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64KB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TelegramComms.py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system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~22KB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MegatronDiagnostics.py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diagnostics reporting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~12KB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MegatronSignals.py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Signal/tracker helper classes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~8KB</w:t>
            </w:r>
          </w:p>
        </w:tc>
      </w:tr>
    </w:tbl>
    <w:p>
      <w:pPr>
        <w:spacing w:after="100"/>
      </w:pPr>
    </w:p>
    <w:p>
      <w:pPr>
        <w:spacing w:after="120"/>
      </w:pPr>
      <w:r>
        <w:rPr>
          <w:rFonts w:ascii="Arial" w:cs="Arial" w:eastAsia="Arial" w:hAnsi="Arial"/>
          <w:sz w:val="22"/>
          <w:szCs w:val="22"/>
        </w:rPr>
        <w:t xml:space="preserve">In QuantConnect, each file appears as a separate tab in the project. Import with standard Python: from TelegramComms import TelegramComms</w:t>
      </w:r>
    </w:p>
    <w:p>
      <w:pPr>
        <w:spacing w:after="100"/>
      </w:pPr>
    </w:p>
    <w:p>
      <w:pPr>
        <w:pStyle w:val="Heading2"/>
        <w:spacing w:before="280" w:after="160"/>
      </w:pPr>
      <w:r>
        <w:rPr>
          <w:rFonts w:ascii="Arial" w:cs="Arial" w:eastAsia="Arial" w:hAnsi="Arial"/>
          <w:b/>
          <w:bCs/>
          <w:sz w:val="28"/>
          <w:szCs w:val="28"/>
        </w:rPr>
        <w:t xml:space="preserve">11.3 Consolidators and Bar Types</w:t>
      </w:r>
    </w:p>
    <w:p>
      <w:pPr>
        <w:spacing w:after="120"/>
      </w:pPr>
      <w:r>
        <w:rPr>
          <w:rFonts w:ascii="Arial" w:cs="Arial" w:eastAsia="Arial" w:hAnsi="Arial"/>
          <w:sz w:val="22"/>
          <w:szCs w:val="22"/>
        </w:rPr>
        <w:t xml:space="preserve">Matching consolidator type to security type is critical: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Security Type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Bar Type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Consolidator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CFD (Oanda)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QuoteBar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QuoteBarConsolidator(timedelta(...))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Equity (US stocks/ETFs)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TradeBar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TradeBarConsolidator(timedelta(...))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QuoteBar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QuoteBarConsolidator(timedelta(...))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TradeBar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TradeBarConsolidator(timedelta(...))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6"/>
              <w:bottom w:val="single" w:color="CCCCCC" w:sz="1"/>
              <w:right w:val="single" w:color="CCCCCC" w:sz="1"/>
            </w:tcBorders>
            <w:shd w:fill="FDEDEC" w:val="clear"/>
            <w:tcMar>
              <w:top w:type="dxa" w:w="120"/>
              <w:left w:type="dxa" w:w="200"/>
              <w:bottom w:type="dxa" w:w="120"/>
              <w:right w:type="dxa" w:w="200"/>
            </w:tcMar>
          </w:tcPr>
          <w:p>
            <w:r>
              <w:rPr>
                <w:rFonts w:ascii="Arial" w:cs="Arial" w:eastAsia="Arial" w:hAnsi="Arial"/>
                <w:b/>
                <w:bCs/>
                <w:color w:val="922B21"/>
                <w:sz w:val="22"/>
                <w:szCs w:val="22"/>
              </w:rPr>
              <w:t xml:space="preserve">Common Error</w:t>
            </w:r>
          </w:p>
          <w:p>
            <w:pPr>
              <w:spacing w:before="60"/>
            </w:pPr>
            <w:r>
              <w:rPr>
                <w:rFonts w:ascii="Arial" w:cs="Arial" w:eastAsia="Arial" w:hAnsi="Arial"/>
                <w:sz w:val="20"/>
                <w:szCs w:val="20"/>
              </w:rPr>
              <w:t xml:space="preserve">Using TradeBarConsolidator on a CFD symbol causes: “Type mismatch found between consolidator and symbol. Symbol does not support input type: TradeBar. Supported types: QuoteBar.” Always match consolidator to security type.</w:t>
            </w:r>
          </w:p>
        </w:tc>
      </w:tr>
    </w:tbl>
    <w:p>
      <w:pPr>
        <w:spacing w:after="100"/>
      </w:pPr>
    </w:p>
    <w:p>
      <w:pPr>
        <w:pStyle w:val="Heading2"/>
        <w:spacing w:before="280" w:after="160"/>
      </w:pPr>
      <w:r>
        <w:rPr>
          <w:rFonts w:ascii="Arial" w:cs="Arial" w:eastAsia="Arial" w:hAnsi="Arial"/>
          <w:b/>
          <w:bCs/>
          <w:sz w:val="28"/>
          <w:szCs w:val="28"/>
        </w:rPr>
        <w:t xml:space="preserve">11.4 Data Normalisation</w:t>
      </w:r>
    </w:p>
    <w:p>
      <w:pPr>
        <w:spacing w:after="120"/>
      </w:pPr>
      <w:r>
        <w:rPr>
          <w:rFonts w:ascii="Arial" w:cs="Arial" w:eastAsia="Arial" w:hAnsi="Arial"/>
          <w:sz w:val="22"/>
          <w:szCs w:val="22"/>
        </w:rPr>
        <w:t xml:space="preserve">When subscribing to equity data for backtesting, use raw data normalisation to prevent artificial price adjustments:</w:t>
      </w:r>
    </w:p>
    <w:p>
      <w:pPr>
        <w:spacing w:after="100"/>
      </w:pPr>
    </w:p>
    <w:p>
      <w:pPr>
        <w:spacing w:after="60"/>
        <w:ind w:left="360"/>
      </w:pPr>
      <w:r>
        <w:rPr>
          <w:rFonts w:ascii="Consolas" w:cs="Consolas" w:eastAsia="Consolas" w:hAnsi="Consolas"/>
          <w:color w:val="333333"/>
          <w:sz w:val="20"/>
          <w:szCs w:val="20"/>
        </w:rPr>
        <w:t xml:space="preserve">equity = self.add_equity("SPY", Resolution.HOUR)</w:t>
      </w:r>
    </w:p>
    <w:p>
      <w:pPr>
        <w:spacing w:after="60"/>
        <w:ind w:left="360"/>
      </w:pPr>
      <w:r>
        <w:rPr>
          <w:rFonts w:ascii="Consolas" w:cs="Consolas" w:eastAsia="Consolas" w:hAnsi="Consolas"/>
          <w:color w:val="333333"/>
          <w:sz w:val="20"/>
          <w:szCs w:val="20"/>
        </w:rPr>
        <w:t xml:space="preserve">equity.set_data_normalization_mode(DataNormalizationMode.RAW)</w:t>
      </w:r>
    </w:p>
    <w:p>
      <w:r>
        <w:br w:type="page"/>
      </w:r>
    </w:p>
    <w:p>
      <w:pPr>
        <w:pStyle w:val="Heading1"/>
        <w:spacing w:before="360" w:after="200"/>
      </w:pPr>
      <w:r>
        <w:rPr>
          <w:rFonts w:ascii="Arial" w:cs="Arial" w:eastAsia="Arial" w:hAnsi="Arial"/>
          <w:b/>
          <w:bCs/>
          <w:sz w:val="32"/>
          <w:szCs w:val="32"/>
        </w:rPr>
        <w:t xml:space="preserve">12. Brokerage &amp; Instrument Compatibility</w:t>
      </w:r>
    </w:p>
    <w:p>
      <w:pPr>
        <w:pStyle w:val="Heading2"/>
        <w:spacing w:before="280" w:after="160"/>
      </w:pPr>
      <w:r>
        <w:rPr>
          <w:rFonts w:ascii="Arial" w:cs="Arial" w:eastAsia="Arial" w:hAnsi="Arial"/>
          <w:b/>
          <w:bCs/>
          <w:sz w:val="28"/>
          <w:szCs w:val="28"/>
        </w:rPr>
        <w:t xml:space="preserve">12.1 The Data Provider vs. Brokerage Distinction</w:t>
      </w:r>
    </w:p>
    <w:p>
      <w:pPr>
        <w:spacing w:after="120"/>
      </w:pPr>
      <w:r>
        <w:rPr>
          <w:rFonts w:ascii="Arial" w:cs="Arial" w:eastAsia="Arial" w:hAnsi="Arial"/>
          <w:sz w:val="22"/>
          <w:szCs w:val="22"/>
        </w:rPr>
        <w:t xml:space="preserve">This is the single most common deployment error. QuantConnect separates two roles:</w:t>
      </w:r>
    </w:p>
    <w:p>
      <w:pPr>
        <w:spacing w:after="100"/>
      </w:pPr>
    </w:p>
    <w:p>
      <w:pPr>
        <w:spacing w:after="120"/>
      </w:pPr>
      <w:r>
        <w:rPr>
          <w:rFonts w:ascii="Arial" w:cs="Arial" w:eastAsia="Arial" w:hAnsi="Arial"/>
          <w:b/>
          <w:bCs/>
          <w:sz w:val="22"/>
          <w:szCs w:val="22"/>
        </w:rPr>
        <w:t xml:space="preserve">Data Provider: </w:t>
      </w:r>
      <w:r>
        <w:rPr>
          <w:rFonts w:ascii="Arial" w:cs="Arial" w:eastAsia="Arial" w:hAnsi="Arial"/>
          <w:sz w:val="22"/>
          <w:szCs w:val="22"/>
        </w:rPr>
        <w:t xml:space="preserve">Supplies real-time and historical price data for your instruments. When trading Oanda CFD symbols (XAUUSD, SPX500USD), this MUST be set to QuantConnect, not IBKR.</w:t>
      </w:r>
    </w:p>
    <w:p>
      <w:pPr>
        <w:spacing w:after="120"/>
      </w:pPr>
      <w:r>
        <w:rPr>
          <w:rFonts w:ascii="Arial" w:cs="Arial" w:eastAsia="Arial" w:hAnsi="Arial"/>
          <w:b/>
          <w:bCs/>
          <w:sz w:val="22"/>
          <w:szCs w:val="22"/>
        </w:rPr>
        <w:t xml:space="preserve">Brokerage: </w:t>
      </w:r>
      <w:r>
        <w:rPr>
          <w:rFonts w:ascii="Arial" w:cs="Arial" w:eastAsia="Arial" w:hAnsi="Arial"/>
          <w:sz w:val="22"/>
          <w:szCs w:val="22"/>
        </w:rPr>
        <w:t xml:space="preserve">Executes orders and manages your account. Interactive Brokers handles this role, even while QuantConnect provides the data feed.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6"/>
              <w:bottom w:val="single" w:color="CCCCCC" w:sz="1"/>
              <w:right w:val="single" w:color="CCCCCC" w:sz="1"/>
            </w:tcBorders>
            <w:shd w:fill="FDEDEC" w:val="clear"/>
            <w:tcMar>
              <w:top w:type="dxa" w:w="120"/>
              <w:left w:type="dxa" w:w="200"/>
              <w:bottom w:type="dxa" w:w="120"/>
              <w:right w:type="dxa" w:w="200"/>
            </w:tcMar>
          </w:tcPr>
          <w:p>
            <w:r>
              <w:rPr>
                <w:rFonts w:ascii="Arial" w:cs="Arial" w:eastAsia="Arial" w:hAnsi="Arial"/>
                <w:b/>
                <w:bCs/>
                <w:color w:val="922B21"/>
                <w:sz w:val="22"/>
                <w:szCs w:val="22"/>
              </w:rPr>
              <w:t xml:space="preserve">Deployment Gotcha</w:t>
            </w:r>
          </w:p>
          <w:p>
            <w:pPr>
              <w:spacing w:before="60"/>
            </w:pPr>
            <w:r>
              <w:rPr>
                <w:rFonts w:ascii="Arial" w:cs="Arial" w:eastAsia="Arial" w:hAnsi="Arial"/>
                <w:sz w:val="20"/>
                <w:szCs w:val="20"/>
              </w:rPr>
              <w:t xml:space="preserve">IBKR is selected as data provider by default in QC deployment settings. This produces: “interactivebrokers Cfd QuoteBar data not supported” and zero trades. Always manually switch to QuantConnect as data provider.</w:t>
            </w:r>
          </w:p>
        </w:tc>
      </w:tr>
    </w:tbl>
    <w:p>
      <w:pPr>
        <w:spacing w:after="100"/>
      </w:pPr>
    </w:p>
    <w:p>
      <w:pPr>
        <w:pStyle w:val="Heading2"/>
        <w:spacing w:before="280" w:after="160"/>
      </w:pPr>
      <w:r>
        <w:rPr>
          <w:rFonts w:ascii="Arial" w:cs="Arial" w:eastAsia="Arial" w:hAnsi="Arial"/>
          <w:b/>
          <w:bCs/>
          <w:sz w:val="28"/>
          <w:szCs w:val="28"/>
        </w:rPr>
        <w:t xml:space="preserve">12.2 Instrument Availability Matrix</w:t>
      </w:r>
    </w:p>
    <w:p>
      <w:pPr>
        <w:spacing w:after="120"/>
      </w:pPr>
      <w:r>
        <w:rPr>
          <w:rFonts w:ascii="Arial" w:cs="Arial" w:eastAsia="Arial" w:hAnsi="Arial"/>
          <w:sz w:val="22"/>
          <w:szCs w:val="22"/>
        </w:rPr>
        <w:t xml:space="preserve">Not all instruments are available on all platforms. This matrix captures hard-won knowledge: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600"/>
        <w:gridCol w:w="25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Instrument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QC Backtest</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QC Live + IBKR</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XAUUSD (Oanda CFD)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(QC data, IBKR exec)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gold instrument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SPX500USD (Oanda CFD)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(QC data, IBKR exec)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Oanda-specific ticker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SPY (ETF)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for UK traders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KID/PRIIPs restriction prevents purchase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SPY (CFD via IBKR)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Possible but untested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 lacks SPY CFD backtest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 / MES (Futures)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futures margin; different pricing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XAGUSD (Silver CFD)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Correlated with gold; more volatile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WTICOUSD (Oil CFD)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 original Megatron secondary instrument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GLD (ETF)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for UK traders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KID/PRIIPs restriction</w:t>
            </w:r>
          </w:p>
        </w:tc>
      </w:tr>
    </w:tbl>
    <w:p>
      <w:pPr>
        <w:spacing w:after="100"/>
      </w:pPr>
    </w:p>
    <w:p>
      <w:pPr>
        <w:pStyle w:val="Heading2"/>
        <w:spacing w:before="280" w:after="160"/>
      </w:pPr>
      <w:r>
        <w:rPr>
          <w:rFonts w:ascii="Arial" w:cs="Arial" w:eastAsia="Arial" w:hAnsi="Arial"/>
          <w:b/>
          <w:bCs/>
          <w:sz w:val="28"/>
          <w:szCs w:val="28"/>
        </w:rPr>
        <w:t xml:space="preserve">12.3 UK Trader Restrictions (KID/PRIIPs)</w:t>
      </w:r>
    </w:p>
    <w:p>
      <w:pPr>
        <w:spacing w:after="120"/>
      </w:pPr>
      <w:r>
        <w:rPr>
          <w:rFonts w:ascii="Arial" w:cs="Arial" w:eastAsia="Arial" w:hAnsi="Arial"/>
          <w:sz w:val="22"/>
          <w:szCs w:val="22"/>
        </w:rPr>
        <w:t xml:space="preserve">UK-based traders on IBKR cannot buy US ETFs (SPY, GLD, QQQ, etc.) because IBKR does not provide the required Key Information Document (KID) in English. Workarounds:</w:t>
      </w:r>
    </w:p>
    <w:p>
      <w:pPr>
        <w:pStyle w:val="ListParagraph"/>
        <w:numPr>
          <w:ilvl w:val="0"/>
          <w:numId w:val="2"/>
        </w:numPr>
        <w:spacing w:after="80"/>
      </w:pPr>
      <w:r>
        <w:rPr>
          <w:rFonts w:ascii="Arial" w:cs="Arial" w:eastAsia="Arial" w:hAnsi="Arial"/>
          <w:sz w:val="22"/>
          <w:szCs w:val="22"/>
        </w:rPr>
        <w:t xml:space="preserve">Use CFD equivalents: Subscribe to the ETF’s Oanda CFD or IBKR CFD</w:t>
      </w:r>
    </w:p>
    <w:p>
      <w:pPr>
        <w:pStyle w:val="ListParagraph"/>
        <w:numPr>
          <w:ilvl w:val="0"/>
          <w:numId w:val="2"/>
        </w:numPr>
        <w:spacing w:after="80"/>
      </w:pPr>
      <w:r>
        <w:rPr>
          <w:rFonts w:ascii="Arial" w:cs="Arial" w:eastAsia="Arial" w:hAnsi="Arial"/>
          <w:sz w:val="22"/>
          <w:szCs w:val="22"/>
        </w:rPr>
        <w:t xml:space="preserve">Use futures: ES/MES for S&amp;P 500 exposure (requires futures-compatible account)</w:t>
      </w:r>
    </w:p>
    <w:p>
      <w:pPr>
        <w:pStyle w:val="ListParagraph"/>
        <w:numPr>
          <w:ilvl w:val="0"/>
          <w:numId w:val="2"/>
        </w:numPr>
        <w:spacing w:after="80"/>
      </w:pPr>
      <w:r>
        <w:rPr>
          <w:rFonts w:ascii="Arial" w:cs="Arial" w:eastAsia="Arial" w:hAnsi="Arial"/>
          <w:sz w:val="22"/>
          <w:szCs w:val="22"/>
        </w:rPr>
        <w:t xml:space="preserve">Data-only subscription: Subscribe to the ETF for signal generation but trade a different instrument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86C1" w:sz="6"/>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b/>
                <w:bCs/>
                <w:color w:val="1B4F72"/>
                <w:sz w:val="22"/>
                <w:szCs w:val="22"/>
              </w:rPr>
              <w:t xml:space="preserve">Megatron v2.0xx Solution</w:t>
            </w:r>
          </w:p>
          <w:p>
            <w:pPr>
              <w:spacing w:before="60"/>
            </w:pPr>
            <w:r>
              <w:rPr>
                <w:rFonts w:ascii="Arial" w:cs="Arial" w:eastAsia="Arial" w:hAnsi="Arial"/>
                <w:sz w:val="20"/>
                <w:szCs w:val="20"/>
              </w:rPr>
              <w:t xml:space="preserve">Subscribe SPY as equity for backtesting (QC has data) but switch to SPY CFD on IBKR for live trading. Use a live/backtest mode switch: self.live_mode determines which subscription type to use.</w:t>
            </w:r>
          </w:p>
        </w:tc>
      </w:tr>
    </w:tbl>
    <w:p>
      <w:pPr>
        <w:spacing w:after="100"/>
      </w:pPr>
    </w:p>
    <w:p>
      <w:pPr>
        <w:pStyle w:val="Heading2"/>
        <w:spacing w:before="280" w:after="160"/>
      </w:pPr>
      <w:r>
        <w:rPr>
          <w:rFonts w:ascii="Arial" w:cs="Arial" w:eastAsia="Arial" w:hAnsi="Arial"/>
          <w:b/>
          <w:bCs/>
          <w:sz w:val="28"/>
          <w:szCs w:val="28"/>
        </w:rPr>
        <w:t xml:space="preserve">12.4 Order Rejection Handling</w:t>
      </w:r>
    </w:p>
    <w:p>
      <w:pPr>
        <w:spacing w:after="120"/>
      </w:pPr>
      <w:r>
        <w:rPr>
          <w:rFonts w:ascii="Arial" w:cs="Arial" w:eastAsia="Arial" w:hAnsi="Arial"/>
          <w:sz w:val="22"/>
          <w:szCs w:val="22"/>
        </w:rPr>
        <w:t xml:space="preserve">If an order is rejected (connectivity, margin, instrument unavailable), the algorithm must NOT retry on every subsequent bar. Megatron v1.400 had a latent bug where rejected SPX orders caused 15 consecutive re-attempts in 15 minutes. Solution: track rejected orders per symbol and enforce a cooldown (30–60 minutes) before retrying.</w:t>
      </w:r>
    </w:p>
    <w:p>
      <w:r>
        <w:br w:type="page"/>
      </w:r>
    </w:p>
    <w:p>
      <w:pPr>
        <w:pStyle w:val="Heading1"/>
        <w:spacing w:before="360" w:after="200"/>
      </w:pPr>
      <w:r>
        <w:rPr>
          <w:rFonts w:ascii="Arial" w:cs="Arial" w:eastAsia="Arial" w:hAnsi="Arial"/>
          <w:b/>
          <w:bCs/>
          <w:sz w:val="32"/>
          <w:szCs w:val="32"/>
        </w:rPr>
        <w:t xml:space="preserve">13. Live Deployment Operations</w:t>
      </w:r>
    </w:p>
    <w:p>
      <w:pPr>
        <w:pStyle w:val="Heading2"/>
        <w:spacing w:before="280" w:after="160"/>
      </w:pPr>
      <w:r>
        <w:rPr>
          <w:rFonts w:ascii="Arial" w:cs="Arial" w:eastAsia="Arial" w:hAnsi="Arial"/>
          <w:b/>
          <w:bCs/>
          <w:sz w:val="28"/>
          <w:szCs w:val="28"/>
        </w:rPr>
        <w:t xml:space="preserve">13.1 Pre-Deployment Checklist</w:t>
      </w:r>
    </w:p>
    <w:p>
      <w:pPr>
        <w:pStyle w:val="ListParagraph"/>
        <w:numPr>
          <w:ilvl w:val="0"/>
          <w:numId w:val="2"/>
        </w:numPr>
        <w:spacing w:after="80"/>
      </w:pPr>
      <w:r>
        <w:rPr>
          <w:rFonts w:ascii="Arial" w:cs="Arial" w:eastAsia="Arial" w:hAnsi="Arial"/>
          <w:sz w:val="22"/>
          <w:szCs w:val="22"/>
        </w:rPr>
        <w:t xml:space="preserve">Data provider set to QuantConnect (not IBKR)</w:t>
      </w:r>
    </w:p>
    <w:p>
      <w:pPr>
        <w:pStyle w:val="ListParagraph"/>
        <w:numPr>
          <w:ilvl w:val="0"/>
          <w:numId w:val="2"/>
        </w:numPr>
        <w:spacing w:after="80"/>
      </w:pPr>
      <w:r>
        <w:rPr>
          <w:rFonts w:ascii="Arial" w:cs="Arial" w:eastAsia="Arial" w:hAnsi="Arial"/>
          <w:sz w:val="22"/>
          <w:szCs w:val="22"/>
        </w:rPr>
        <w:t xml:space="preserve">Brokerage set to Interactive Brokers</w:t>
      </w:r>
    </w:p>
    <w:p>
      <w:pPr>
        <w:pStyle w:val="ListParagraph"/>
        <w:numPr>
          <w:ilvl w:val="0"/>
          <w:numId w:val="2"/>
        </w:numPr>
        <w:spacing w:after="80"/>
      </w:pPr>
      <w:r>
        <w:rPr>
          <w:rFonts w:ascii="Arial" w:cs="Arial" w:eastAsia="Arial" w:hAnsi="Arial"/>
          <w:sz w:val="22"/>
          <w:szCs w:val="22"/>
        </w:rPr>
        <w:t xml:space="preserve">All QC parameters configured (risk tiers, leverage cap, circuit breakers)</w:t>
      </w:r>
    </w:p>
    <w:p>
      <w:pPr>
        <w:pStyle w:val="ListParagraph"/>
        <w:numPr>
          <w:ilvl w:val="0"/>
          <w:numId w:val="2"/>
        </w:numPr>
        <w:spacing w:after="80"/>
      </w:pPr>
      <w:r>
        <w:rPr>
          <w:rFonts w:ascii="Arial" w:cs="Arial" w:eastAsia="Arial" w:hAnsi="Arial"/>
          <w:sz w:val="22"/>
          <w:szCs w:val="22"/>
        </w:rPr>
        <w:t xml:space="preserve">Telegram notifications configured and tested (use dry_run mode first)</w:t>
      </w:r>
    </w:p>
    <w:p>
      <w:pPr>
        <w:pStyle w:val="ListParagraph"/>
        <w:numPr>
          <w:ilvl w:val="0"/>
          <w:numId w:val="2"/>
        </w:numPr>
        <w:spacing w:after="80"/>
      </w:pPr>
      <w:r>
        <w:rPr>
          <w:rFonts w:ascii="Arial" w:cs="Arial" w:eastAsia="Arial" w:hAnsi="Arial"/>
          <w:sz w:val="22"/>
          <w:szCs w:val="22"/>
        </w:rPr>
        <w:t xml:space="preserve">Account funded with minimum viable capital ($25K+ for Megatron)</w:t>
      </w:r>
    </w:p>
    <w:p>
      <w:pPr>
        <w:pStyle w:val="ListParagraph"/>
        <w:numPr>
          <w:ilvl w:val="0"/>
          <w:numId w:val="2"/>
        </w:numPr>
        <w:spacing w:after="80"/>
      </w:pPr>
      <w:r>
        <w:rPr>
          <w:rFonts w:ascii="Arial" w:cs="Arial" w:eastAsia="Arial" w:hAnsi="Arial"/>
          <w:sz w:val="22"/>
          <w:szCs w:val="22"/>
        </w:rPr>
        <w:t xml:space="preserve">Verify instrument subscriptions resolve correctly (check warmup logs for errors)</w:t>
      </w:r>
    </w:p>
    <w:p>
      <w:pPr>
        <w:pStyle w:val="ListParagraph"/>
        <w:numPr>
          <w:ilvl w:val="0"/>
          <w:numId w:val="2"/>
        </w:numPr>
        <w:spacing w:after="80"/>
      </w:pPr>
      <w:r>
        <w:rPr>
          <w:rFonts w:ascii="Arial" w:cs="Arial" w:eastAsia="Arial" w:hAnsi="Arial"/>
          <w:sz w:val="22"/>
          <w:szCs w:val="22"/>
        </w:rPr>
        <w:t xml:space="preserve">Test with a 1-week backtest at live configuration before deploying</w:t>
      </w:r>
    </w:p>
    <w:p>
      <w:pPr>
        <w:spacing w:after="100"/>
      </w:pPr>
    </w:p>
    <w:p>
      <w:pPr>
        <w:pStyle w:val="Heading2"/>
        <w:spacing w:before="280" w:after="160"/>
      </w:pPr>
      <w:r>
        <w:rPr>
          <w:rFonts w:ascii="Arial" w:cs="Arial" w:eastAsia="Arial" w:hAnsi="Arial"/>
          <w:b/>
          <w:bCs/>
          <w:sz w:val="28"/>
          <w:szCs w:val="28"/>
        </w:rPr>
        <w:t xml:space="preserve">13.2 Telegram Notification System</w:t>
      </w:r>
    </w:p>
    <w:p>
      <w:pPr>
        <w:spacing w:after="120"/>
      </w:pPr>
      <w:r>
        <w:rPr>
          <w:rFonts w:ascii="Arial" w:cs="Arial" w:eastAsia="Arial" w:hAnsi="Arial"/>
          <w:sz w:val="22"/>
          <w:szCs w:val="22"/>
        </w:rPr>
        <w:t xml:space="preserve">Megatron’s TelegramComms module provides real-time operational awareness: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Alert Type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Entry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market_order()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Ticker, price, stop, conviction, regime, leverage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Exit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liquidate()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P&amp;L, hold time, exit reason, regime update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 Breaker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halt or streak halt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threshold, duration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Summary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06:30 UK 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Equity, positions, regime, session WR, risk status</w:t>
            </w:r>
          </w:p>
        </w:tc>
      </w:tr>
    </w:tbl>
    <w:p>
      <w:pPr>
        <w:spacing w:after="100"/>
      </w:pPr>
    </w:p>
    <w:p>
      <w:pPr>
        <w:spacing w:after="120"/>
      </w:pPr>
      <w:r>
        <w:rPr>
          <w:rFonts w:ascii="Arial" w:cs="Arial" w:eastAsia="Arial" w:hAnsi="Arial"/>
          <w:b/>
          <w:bCs/>
          <w:sz w:val="22"/>
          <w:szCs w:val="22"/>
        </w:rPr>
        <w:t xml:space="preserve">Architecture: </w:t>
      </w:r>
      <w:r>
        <w:rPr>
          <w:rFonts w:ascii="Arial" w:cs="Arial" w:eastAsia="Arial" w:hAnsi="Arial"/>
          <w:sz w:val="22"/>
          <w:szCs w:val="22"/>
        </w:rPr>
        <w:t xml:space="preserve">Uses QC’s self.download() for HTTP GET transport. All sends wrapped in try/except — never crashes the algorithm. Auto-disables after 10 consecutive failures. Silently skipped during backtesting (unless test_mode or dry_run enabled).</w:t>
      </w:r>
    </w:p>
    <w:p>
      <w:pPr>
        <w:spacing w:after="100"/>
      </w:pPr>
    </w:p>
    <w:p>
      <w:pPr>
        <w:spacing w:after="120"/>
      </w:pPr>
      <w:r>
        <w:rPr>
          <w:rFonts w:ascii="Arial" w:cs="Arial" w:eastAsia="Arial" w:hAnsi="Arial"/>
          <w:b/>
          <w:bCs/>
          <w:sz w:val="22"/>
          <w:szCs w:val="22"/>
        </w:rPr>
        <w:t xml:space="preserve">UK timezone handling: </w:t>
      </w:r>
      <w:r>
        <w:rPr>
          <w:rFonts w:ascii="Arial" w:cs="Arial" w:eastAsia="Arial" w:hAnsi="Arial"/>
          <w:sz w:val="22"/>
          <w:szCs w:val="22"/>
        </w:rPr>
        <w:t xml:space="preserve">Daily summaries schedule dynamically based on GMT/BST. During GMT: 06:30 UTC. During BST: 05:30 UTC. The module computes last Sunday in March/October to determine DST transitions.</w:t>
      </w:r>
    </w:p>
    <w:p>
      <w:pPr>
        <w:spacing w:after="100"/>
      </w:pPr>
    </w:p>
    <w:p>
      <w:pPr>
        <w:pStyle w:val="Heading2"/>
        <w:spacing w:before="280" w:after="160"/>
      </w:pPr>
      <w:r>
        <w:rPr>
          <w:rFonts w:ascii="Arial" w:cs="Arial" w:eastAsia="Arial" w:hAnsi="Arial"/>
          <w:b/>
          <w:bCs/>
          <w:sz w:val="28"/>
          <w:szCs w:val="28"/>
        </w:rPr>
        <w:t xml:space="preserve">13.3 Live Margin Guards</w:t>
      </w:r>
    </w:p>
    <w:p>
      <w:pPr>
        <w:spacing w:after="120"/>
      </w:pPr>
      <w:r>
        <w:rPr>
          <w:rFonts w:ascii="Arial" w:cs="Arial" w:eastAsia="Arial" w:hAnsi="Arial"/>
          <w:sz w:val="22"/>
          <w:szCs w:val="22"/>
        </w:rPr>
        <w:t xml:space="preserve">IBKR margin calculations may differ from QC’s algorithmic assumptions. Megatron includes:</w:t>
      </w:r>
    </w:p>
    <w:p>
      <w:pPr>
        <w:pStyle w:val="ListParagraph"/>
        <w:numPr>
          <w:ilvl w:val="0"/>
          <w:numId w:val="2"/>
        </w:numPr>
        <w:spacing w:after="80"/>
      </w:pPr>
      <w:r>
        <w:rPr>
          <w:rFonts w:ascii="Arial" w:cs="Arial" w:eastAsia="Arial" w:hAnsi="Arial"/>
          <w:sz w:val="22"/>
          <w:szCs w:val="22"/>
        </w:rPr>
        <w:t xml:space="preserve">Pre-trade margin check: Verify sufficient free margin before placing orders</w:t>
      </w:r>
    </w:p>
    <w:p>
      <w:pPr>
        <w:pStyle w:val="ListParagraph"/>
        <w:numPr>
          <w:ilvl w:val="0"/>
          <w:numId w:val="2"/>
        </w:numPr>
        <w:spacing w:after="80"/>
      </w:pPr>
      <w:r>
        <w:rPr>
          <w:rFonts w:ascii="Arial" w:cs="Arial" w:eastAsia="Arial" w:hAnsi="Arial"/>
          <w:sz w:val="22"/>
          <w:szCs w:val="22"/>
        </w:rPr>
        <w:t xml:space="preserve">Margin usage tracking: Log margin utilisation percentage in daily summary</w:t>
      </w:r>
    </w:p>
    <w:p>
      <w:pPr>
        <w:pStyle w:val="ListParagraph"/>
        <w:numPr>
          <w:ilvl w:val="0"/>
          <w:numId w:val="2"/>
        </w:numPr>
        <w:spacing w:after="80"/>
      </w:pPr>
      <w:r>
        <w:rPr>
          <w:rFonts w:ascii="Arial" w:cs="Arial" w:eastAsia="Arial" w:hAnsi="Arial"/>
          <w:sz w:val="22"/>
          <w:szCs w:val="22"/>
        </w:rPr>
        <w:t xml:space="preserve">Emergency liquidation: If margin call risk is detected, close most recent position</w:t>
      </w:r>
    </w:p>
    <w:p>
      <w:pPr>
        <w:spacing w:after="100"/>
      </w:pPr>
    </w:p>
    <w:p>
      <w:pPr>
        <w:pStyle w:val="Heading2"/>
        <w:spacing w:before="280" w:after="160"/>
      </w:pPr>
      <w:r>
        <w:rPr>
          <w:rFonts w:ascii="Arial" w:cs="Arial" w:eastAsia="Arial" w:hAnsi="Arial"/>
          <w:b/>
          <w:bCs/>
          <w:sz w:val="28"/>
          <w:szCs w:val="28"/>
        </w:rPr>
        <w:t xml:space="preserve">13.4 Monitoring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 if Anomalous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trade alerts arriving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QC deployment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06:30 summary matches expectations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Investigate missed trades or unexpected P&amp;L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vs. backtest expectations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regime; check for drift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performance attribution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Consider parameter adjustments</w:t>
            </w:r>
          </w:p>
        </w:tc>
      </w:tr>
    </w:tbl>
    <w:p>
      <w:r>
        <w:br w:type="page"/>
      </w:r>
    </w:p>
    <w:p>
      <w:pPr>
        <w:pStyle w:val="Heading1"/>
        <w:spacing w:before="360" w:after="200"/>
      </w:pPr>
      <w:r>
        <w:rPr>
          <w:rFonts w:ascii="Arial" w:cs="Arial" w:eastAsia="Arial" w:hAnsi="Arial"/>
          <w:b/>
          <w:bCs/>
          <w:sz w:val="32"/>
          <w:szCs w:val="32"/>
        </w:rPr>
        <w:t xml:space="preserve">14. Backtesting &amp; Validation</w:t>
      </w:r>
    </w:p>
    <w:p>
      <w:pPr>
        <w:pStyle w:val="Heading2"/>
        <w:spacing w:before="280" w:after="160"/>
      </w:pPr>
      <w:r>
        <w:rPr>
          <w:rFonts w:ascii="Arial" w:cs="Arial" w:eastAsia="Arial" w:hAnsi="Arial"/>
          <w:b/>
          <w:bCs/>
          <w:sz w:val="28"/>
          <w:szCs w:val="28"/>
        </w:rPr>
        <w:t xml:space="preserve">14.1 Multi-Regime Testing</w:t>
      </w:r>
    </w:p>
    <w:p>
      <w:pPr>
        <w:spacing w:after="120"/>
      </w:pPr>
      <w:r>
        <w:rPr>
          <w:rFonts w:ascii="Arial" w:cs="Arial" w:eastAsia="Arial" w:hAnsi="Arial"/>
          <w:sz w:val="22"/>
          <w:szCs w:val="22"/>
        </w:rPr>
        <w:t xml:space="preserve">Every strategy must be tested across both bull and bear periods. From Megatron: the algorithm performed brilliantly in 2020–2025 (gold bull market) but lost 26% in 2013–2014 (gold bear market). A strategy that only works in one regime is not production-ready.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Regime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bull + SPX bull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2020–2025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edge; compounding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 bear + SPX bull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2013–2014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Regime detection; overtrading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COVID crash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 Q1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Crisis behaviour; safe haven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hike selloff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Mixed regime resilience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Low-vol grind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2016–2017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 squeeze signals</w:t>
            </w:r>
          </w:p>
        </w:tc>
      </w:tr>
    </w:tbl>
    <w:p>
      <w:pPr>
        <w:spacing w:after="100"/>
      </w:pPr>
    </w:p>
    <w:p>
      <w:pPr>
        <w:pStyle w:val="Heading2"/>
        <w:spacing w:before="280" w:after="160"/>
      </w:pPr>
      <w:r>
        <w:rPr>
          <w:rFonts w:ascii="Arial" w:cs="Arial" w:eastAsia="Arial" w:hAnsi="Arial"/>
          <w:b/>
          <w:bCs/>
          <w:sz w:val="28"/>
          <w:szCs w:val="28"/>
        </w:rPr>
        <w:t xml:space="preserve">14.2 Essential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Sharpe Ratio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Risk-adjusted return; primary quality measure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Sortino Ratio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2.0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Downside-focused risk adjustment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Drawdown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40%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Worst peak-to-trough decline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Context-dependent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 is fine with 2.5× payoff ratio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Payoff Ratio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2.0×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win / average loss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Profit Factor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2.0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 profit / gross loss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CAGR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Compound annual growth rate</w:t>
            </w:r>
          </w:p>
        </w:tc>
      </w:tr>
    </w:tbl>
    <w:p>
      <w:pPr>
        <w:spacing w:after="100"/>
      </w:pPr>
    </w:p>
    <w:p>
      <w:pPr>
        <w:pStyle w:val="Heading2"/>
        <w:spacing w:before="280" w:after="160"/>
      </w:pPr>
      <w:r>
        <w:rPr>
          <w:rFonts w:ascii="Arial" w:cs="Arial" w:eastAsia="Arial" w:hAnsi="Arial"/>
          <w:b/>
          <w:bCs/>
          <w:sz w:val="28"/>
          <w:szCs w:val="28"/>
        </w:rPr>
        <w:t xml:space="preserve">14.3 Trade-Level Analysis</w:t>
      </w:r>
    </w:p>
    <w:p>
      <w:pPr>
        <w:spacing w:after="120"/>
      </w:pPr>
      <w:r>
        <w:rPr>
          <w:rFonts w:ascii="Arial" w:cs="Arial" w:eastAsia="Arial" w:hAnsi="Arial"/>
          <w:sz w:val="22"/>
          <w:szCs w:val="22"/>
        </w:rPr>
        <w:t xml:space="preserve">Go beyond aggregate metrics. Analyse by:</w:t>
      </w:r>
    </w:p>
    <w:p>
      <w:pPr>
        <w:pStyle w:val="ListParagraph"/>
        <w:numPr>
          <w:ilvl w:val="0"/>
          <w:numId w:val="2"/>
        </w:numPr>
        <w:spacing w:after="80"/>
      </w:pPr>
      <w:r>
        <w:rPr>
          <w:rFonts w:ascii="Arial" w:cs="Arial" w:eastAsia="Arial" w:hAnsi="Arial"/>
          <w:sz w:val="22"/>
          <w:szCs w:val="22"/>
        </w:rPr>
        <w:t xml:space="preserve">Conviction tier: Which tiers are profitable? (HIGH was worst in 2013–2014)</w:t>
      </w:r>
    </w:p>
    <w:p>
      <w:pPr>
        <w:pStyle w:val="ListParagraph"/>
        <w:numPr>
          <w:ilvl w:val="0"/>
          <w:numId w:val="2"/>
        </w:numPr>
        <w:spacing w:after="80"/>
      </w:pPr>
      <w:r>
        <w:rPr>
          <w:rFonts w:ascii="Arial" w:cs="Arial" w:eastAsia="Arial" w:hAnsi="Arial"/>
          <w:sz w:val="22"/>
          <w:szCs w:val="22"/>
        </w:rPr>
        <w:t xml:space="preserve">Hold time bucket: 0–6h, 6–24h, 24–72h, 72h+ (death zone discovery)</w:t>
      </w:r>
    </w:p>
    <w:p>
      <w:pPr>
        <w:pStyle w:val="ListParagraph"/>
        <w:numPr>
          <w:ilvl w:val="0"/>
          <w:numId w:val="2"/>
        </w:numPr>
        <w:spacing w:after="80"/>
      </w:pPr>
      <w:r>
        <w:rPr>
          <w:rFonts w:ascii="Arial" w:cs="Arial" w:eastAsia="Arial" w:hAnsi="Arial"/>
          <w:sz w:val="22"/>
          <w:szCs w:val="22"/>
        </w:rPr>
        <w:t xml:space="preserve">Exit reason: STOP, EMA_BREAK, EMERGENCY, TIMEOUT (which exits are working?)</w:t>
      </w:r>
    </w:p>
    <w:p>
      <w:pPr>
        <w:pStyle w:val="ListParagraph"/>
        <w:numPr>
          <w:ilvl w:val="0"/>
          <w:numId w:val="2"/>
        </w:numPr>
        <w:spacing w:after="80"/>
      </w:pPr>
      <w:r>
        <w:rPr>
          <w:rFonts w:ascii="Arial" w:cs="Arial" w:eastAsia="Arial" w:hAnsi="Arial"/>
          <w:sz w:val="22"/>
          <w:szCs w:val="22"/>
        </w:rPr>
        <w:t xml:space="preserve">Instrument: Which asset drives returns? (gold = 96.4% of Megatron profits)</w:t>
      </w:r>
    </w:p>
    <w:p>
      <w:pPr>
        <w:pStyle w:val="ListParagraph"/>
        <w:numPr>
          <w:ilvl w:val="0"/>
          <w:numId w:val="2"/>
        </w:numPr>
        <w:spacing w:after="80"/>
      </w:pPr>
      <w:r>
        <w:rPr>
          <w:rFonts w:ascii="Arial" w:cs="Arial" w:eastAsia="Arial" w:hAnsi="Arial"/>
          <w:sz w:val="22"/>
          <w:szCs w:val="22"/>
        </w:rPr>
        <w:t xml:space="preserve">Time period: Monthly/yearly attribution (Megatron’s 2013 had 12 consecutive losing months)</w:t>
      </w:r>
    </w:p>
    <w:p>
      <w:r>
        <w:br w:type="page"/>
      </w:r>
    </w:p>
    <w:p>
      <w:pPr>
        <w:pStyle w:val="Heading1"/>
        <w:spacing w:before="360" w:after="200"/>
      </w:pPr>
      <w:r>
        <w:rPr>
          <w:rFonts w:ascii="Arial" w:cs="Arial" w:eastAsia="Arial" w:hAnsi="Arial"/>
          <w:b/>
          <w:bCs/>
          <w:sz w:val="32"/>
          <w:szCs w:val="32"/>
        </w:rPr>
        <w:t xml:space="preserve">15. Machine Learning Integration</w:t>
      </w:r>
    </w:p>
    <w:p>
      <w:pPr>
        <w:pStyle w:val="Heading2"/>
        <w:spacing w:before="280" w:after="160"/>
      </w:pPr>
      <w:r>
        <w:rPr>
          <w:rFonts w:ascii="Arial" w:cs="Arial" w:eastAsia="Arial" w:hAnsi="Arial"/>
          <w:b/>
          <w:bCs/>
          <w:sz w:val="28"/>
          <w:szCs w:val="28"/>
        </w:rPr>
        <w:t xml:space="preserve">15.1 When to Add ML</w:t>
      </w:r>
    </w:p>
    <w:p>
      <w:pPr>
        <w:spacing w:after="120"/>
      </w:pPr>
      <w:r>
        <w:rPr>
          <w:rFonts w:ascii="Arial" w:cs="Arial" w:eastAsia="Arial" w:hAnsi="Arial"/>
          <w:sz w:val="22"/>
          <w:szCs w:val="22"/>
        </w:rPr>
        <w:t xml:space="preserve">ML makes sense when you have 1000+ samples, the signal-to-noise ratio is reasonable, and a traditional rules-based approach has already proven an edge. ML is premature when the basic strategy isn’t profitable.</w:t>
      </w:r>
    </w:p>
    <w:p>
      <w:pPr>
        <w:spacing w:after="100"/>
      </w:pPr>
    </w:p>
    <w:p>
      <w:pPr>
        <w:spacing w:after="120"/>
      </w:pPr>
      <w:r>
        <w:rPr>
          <w:rFonts w:ascii="Arial" w:cs="Arial" w:eastAsia="Arial" w:hAnsi="Arial"/>
          <w:sz w:val="22"/>
          <w:szCs w:val="22"/>
        </w:rPr>
        <w:t xml:space="preserve">For Megatron’s volatility squeeze strategy, ML was explored for regime classification and signal filtering. The verdict: overfitting risk is high and ML added complexity without proven benefit for this strategy type. The rules-based regime detection (consecutive loss tracking with time decay) was sufficient.</w:t>
      </w:r>
    </w:p>
    <w:p>
      <w:pPr>
        <w:spacing w:after="100"/>
      </w:pPr>
    </w:p>
    <w:p>
      <w:pPr>
        <w:pStyle w:val="Heading2"/>
        <w:spacing w:before="280" w:after="160"/>
      </w:pPr>
      <w:r>
        <w:rPr>
          <w:rFonts w:ascii="Arial" w:cs="Arial" w:eastAsia="Arial" w:hAnsi="Arial"/>
          <w:b/>
          <w:bCs/>
          <w:sz w:val="28"/>
          <w:szCs w:val="28"/>
        </w:rPr>
        <w:t xml:space="preserve">15.2 Time Series Pitfalls</w:t>
      </w:r>
    </w:p>
    <w:p>
      <w:pPr>
        <w:spacing w:after="120"/>
      </w:pPr>
      <w:r>
        <w:rPr>
          <w:rFonts w:ascii="Arial" w:cs="Arial" w:eastAsia="Arial" w:hAnsi="Arial"/>
          <w:sz w:val="22"/>
          <w:szCs w:val="22"/>
        </w:rPr>
        <w:t xml:space="preserve">Never use standard train/test splits on time series data — this leaks future information. Use temporal splits with purging (remove samples near the train/test boundary) and embargo (gap between training and testing periods).</w:t>
      </w:r>
    </w:p>
    <w:p>
      <w:pPr>
        <w:spacing w:after="100"/>
      </w:pPr>
    </w:p>
    <w:p>
      <w:pPr>
        <w:pStyle w:val="Heading2"/>
        <w:spacing w:before="280" w:after="160"/>
      </w:pPr>
      <w:r>
        <w:rPr>
          <w:rFonts w:ascii="Arial" w:cs="Arial" w:eastAsia="Arial" w:hAnsi="Arial"/>
          <w:b/>
          <w:bCs/>
          <w:sz w:val="28"/>
          <w:szCs w:val="28"/>
        </w:rPr>
        <w:t xml:space="preserve">15.3 Feature Engineering</w:t>
      </w:r>
    </w:p>
    <w:p>
      <w:pPr>
        <w:spacing w:after="120"/>
      </w:pPr>
      <w:r>
        <w:rPr>
          <w:rFonts w:ascii="Arial" w:cs="Arial" w:eastAsia="Arial" w:hAnsi="Arial"/>
          <w:sz w:val="22"/>
          <w:szCs w:val="22"/>
        </w:rPr>
        <w:t xml:space="preserve">Good features are price-relative (comparable across time), bounded (consistent scale), and lag-adjusted (no look-ahead). Example: price_vs_ema200 = (price - ema200) / ema200.</w:t>
      </w:r>
    </w:p>
    <w:p>
      <w:pPr>
        <w:spacing w:after="120"/>
      </w:pPr>
      <w:r>
        <w:rPr>
          <w:rFonts w:ascii="Arial" w:cs="Arial" w:eastAsia="Arial" w:hAnsi="Arial"/>
          <w:sz w:val="22"/>
          <w:szCs w:val="22"/>
        </w:rPr>
        <w:t xml:space="preserve">Avoid raw price (non-stationary) and anything that uses future data.</w:t>
      </w:r>
    </w:p>
    <w:p>
      <w:r>
        <w:br w:type="page"/>
      </w:r>
    </w:p>
    <w:p>
      <w:pPr>
        <w:pStyle w:val="Heading1"/>
        <w:spacing w:before="360" w:after="200"/>
      </w:pPr>
      <w:r>
        <w:rPr>
          <w:rFonts w:ascii="Arial" w:cs="Arial" w:eastAsia="Arial" w:hAnsi="Arial"/>
          <w:b/>
          <w:bCs/>
          <w:sz w:val="32"/>
          <w:szCs w:val="32"/>
        </w:rPr>
        <w:t xml:space="preserve">16. Code Architecture &amp; Versioning</w:t>
      </w:r>
    </w:p>
    <w:p>
      <w:pPr>
        <w:pStyle w:val="Heading2"/>
        <w:spacing w:before="280" w:after="160"/>
      </w:pPr>
      <w:r>
        <w:rPr>
          <w:rFonts w:ascii="Arial" w:cs="Arial" w:eastAsia="Arial" w:hAnsi="Arial"/>
          <w:b/>
          <w:bCs/>
          <w:sz w:val="28"/>
          <w:szCs w:val="28"/>
        </w:rPr>
        <w:t xml:space="preserve">16.1 Algorithm Structure Template</w:t>
      </w:r>
    </w:p>
    <w:p>
      <w:pPr>
        <w:spacing w:after="120"/>
      </w:pPr>
      <w:r>
        <w:rPr>
          <w:rFonts w:ascii="Arial" w:cs="Arial" w:eastAsia="Arial" w:hAnsi="Arial"/>
          <w:sz w:val="22"/>
          <w:szCs w:val="22"/>
        </w:rPr>
        <w:t xml:space="preserve">Standard structure for QuantConnect algorithms:</w:t>
      </w:r>
    </w:p>
    <w:p>
      <w:pPr>
        <w:spacing w:after="100"/>
      </w:pPr>
    </w:p>
    <w:p>
      <w:pPr>
        <w:spacing w:after="60"/>
        <w:ind w:left="360"/>
      </w:pPr>
      <w:r>
        <w:rPr>
          <w:rFonts w:ascii="Consolas" w:cs="Consolas" w:eastAsia="Consolas" w:hAnsi="Consolas"/>
          <w:color w:val="333333"/>
          <w:sz w:val="20"/>
          <w:szCs w:val="20"/>
        </w:rPr>
        <w:t xml:space="preserve">class TradingAlgorithm(QCAlgorithm):</w:t>
      </w:r>
    </w:p>
    <w:p>
      <w:pPr>
        <w:spacing w:after="60"/>
        <w:ind w:left="360"/>
      </w:pPr>
      <w:r>
        <w:rPr>
          <w:rFonts w:ascii="Consolas" w:cs="Consolas" w:eastAsia="Consolas" w:hAnsi="Consolas"/>
          <w:color w:val="333333"/>
          <w:sz w:val="20"/>
          <w:szCs w:val="20"/>
        </w:rPr>
        <w:t xml:space="preserve">    VERSION = "X.XXX"</w:t>
      </w:r>
    </w:p>
    <w:p>
      <w:pPr>
        <w:spacing w:after="60"/>
        <w:ind w:left="360"/>
      </w:pPr>
      <w:r>
        <w:rPr>
          <w:rFonts w:ascii="Consolas" w:cs="Consolas" w:eastAsia="Consolas" w:hAnsi="Consolas"/>
          <w:color w:val="333333"/>
          <w:sz w:val="20"/>
          <w:szCs w:val="20"/>
        </w:rPr>
        <w:t xml:space="preserve">    def initialize(self):     # One-time setup</w:t>
      </w:r>
    </w:p>
    <w:p>
      <w:pPr>
        <w:spacing w:after="60"/>
        <w:ind w:left="360"/>
      </w:pPr>
      <w:r>
        <w:rPr>
          <w:rFonts w:ascii="Consolas" w:cs="Consolas" w:eastAsia="Consolas" w:hAnsi="Consolas"/>
          <w:color w:val="333333"/>
          <w:sz w:val="20"/>
          <w:szCs w:val="20"/>
        </w:rPr>
        <w:t xml:space="preserve">    def on_data(self, data):  # Main event handler</w:t>
      </w:r>
    </w:p>
    <w:p>
      <w:pPr>
        <w:spacing w:after="60"/>
        <w:ind w:left="360"/>
      </w:pPr>
      <w:r>
        <w:rPr>
          <w:rFonts w:ascii="Consolas" w:cs="Consolas" w:eastAsia="Consolas" w:hAnsi="Consolas"/>
          <w:color w:val="333333"/>
          <w:sz w:val="20"/>
          <w:szCs w:val="20"/>
        </w:rPr>
        <w:t xml:space="preserve">    def _evaluate_entry():    # Entry logic (private)</w:t>
      </w:r>
    </w:p>
    <w:p>
      <w:pPr>
        <w:spacing w:after="60"/>
        <w:ind w:left="360"/>
      </w:pPr>
      <w:r>
        <w:rPr>
          <w:rFonts w:ascii="Consolas" w:cs="Consolas" w:eastAsia="Consolas" w:hAnsi="Consolas"/>
          <w:color w:val="333333"/>
          <w:sz w:val="20"/>
          <w:szCs w:val="20"/>
        </w:rPr>
        <w:t xml:space="preserve">    def _manage_exit():       # Exit logic (private)</w:t>
      </w:r>
    </w:p>
    <w:p>
      <w:pPr>
        <w:spacing w:after="60"/>
        <w:ind w:left="360"/>
      </w:pPr>
      <w:r>
        <w:rPr>
          <w:rFonts w:ascii="Consolas" w:cs="Consolas" w:eastAsia="Consolas" w:hAnsi="Consolas"/>
          <w:color w:val="333333"/>
          <w:sz w:val="20"/>
          <w:szCs w:val="20"/>
        </w:rPr>
        <w:t xml:space="preserve">    def _calculate_size():    # Sizing logic (private)</w:t>
      </w:r>
    </w:p>
    <w:p>
      <w:pPr>
        <w:spacing w:after="60"/>
        <w:ind w:left="360"/>
      </w:pPr>
      <w:r>
        <w:rPr>
          <w:rFonts w:ascii="Consolas" w:cs="Consolas" w:eastAsia="Consolas" w:hAnsi="Consolas"/>
          <w:color w:val="333333"/>
          <w:sz w:val="20"/>
          <w:szCs w:val="20"/>
        </w:rPr>
        <w:t xml:space="preserve">    def on_end_of_algorithm(): # Final summary</w:t>
      </w:r>
    </w:p>
    <w:p>
      <w:pPr>
        <w:spacing w:after="100"/>
      </w:pPr>
    </w:p>
    <w:p>
      <w:pPr>
        <w:pStyle w:val="Heading2"/>
        <w:spacing w:before="280" w:after="160"/>
      </w:pPr>
      <w:r>
        <w:rPr>
          <w:rFonts w:ascii="Arial" w:cs="Arial" w:eastAsia="Arial" w:hAnsi="Arial"/>
          <w:b/>
          <w:bCs/>
          <w:sz w:val="28"/>
          <w:szCs w:val="28"/>
        </w:rPr>
        <w:t xml:space="preserve">16.2 State Management</w:t>
      </w:r>
    </w:p>
    <w:p>
      <w:pPr>
        <w:spacing w:after="120"/>
      </w:pPr>
      <w:r>
        <w:rPr>
          <w:rFonts w:ascii="Arial" w:cs="Arial" w:eastAsia="Arial" w:hAnsi="Arial"/>
          <w:sz w:val="22"/>
          <w:szCs w:val="22"/>
        </w:rPr>
        <w:t xml:space="preserve">Keep state variables organised by category: position state (entry_price, stop_price, highest_price), statistics (total_trades, wins, losses), conviction tracking (entries by tier), and circuit breaker state (daily P&amp;L, consecutive losses).</w:t>
      </w:r>
    </w:p>
    <w:p>
      <w:pPr>
        <w:spacing w:after="100"/>
      </w:pPr>
    </w:p>
    <w:p>
      <w:pPr>
        <w:pStyle w:val="Heading2"/>
        <w:spacing w:before="280" w:after="160"/>
      </w:pPr>
      <w:r>
        <w:rPr>
          <w:rFonts w:ascii="Arial" w:cs="Arial" w:eastAsia="Arial" w:hAnsi="Arial"/>
          <w:b/>
          <w:bCs/>
          <w:sz w:val="28"/>
          <w:szCs w:val="28"/>
        </w:rPr>
        <w:t xml:space="preserve">16.3 End-of-Algorithm Reporting</w:t>
      </w:r>
    </w:p>
    <w:p>
      <w:pPr>
        <w:spacing w:after="120"/>
      </w:pPr>
      <w:r>
        <w:rPr>
          <w:rFonts w:ascii="Arial" w:cs="Arial" w:eastAsia="Arial" w:hAnsi="Arial"/>
          <w:sz w:val="22"/>
          <w:szCs w:val="22"/>
        </w:rPr>
        <w:t xml:space="preserve">Produce a comprehensive summary at termination:</w:t>
      </w:r>
    </w:p>
    <w:p>
      <w:pPr>
        <w:pStyle w:val="ListParagraph"/>
        <w:numPr>
          <w:ilvl w:val="0"/>
          <w:numId w:val="2"/>
        </w:numPr>
        <w:spacing w:after="80"/>
      </w:pPr>
      <w:r>
        <w:rPr>
          <w:rFonts w:ascii="Arial" w:cs="Arial" w:eastAsia="Arial" w:hAnsi="Arial"/>
          <w:sz w:val="22"/>
          <w:szCs w:val="22"/>
        </w:rPr>
        <w:t xml:space="preserve">Conviction attribution: Trade count, win rate, avg P&amp;L per tier</w:t>
      </w:r>
    </w:p>
    <w:p>
      <w:pPr>
        <w:pStyle w:val="ListParagraph"/>
        <w:numPr>
          <w:ilvl w:val="0"/>
          <w:numId w:val="2"/>
        </w:numPr>
        <w:spacing w:after="80"/>
      </w:pPr>
      <w:r>
        <w:rPr>
          <w:rFonts w:ascii="Arial" w:cs="Arial" w:eastAsia="Arial" w:hAnsi="Arial"/>
          <w:sz w:val="22"/>
          <w:szCs w:val="22"/>
        </w:rPr>
        <w:t xml:space="preserve">Hold-time analysis: Bucket breakdown with count, WR, avg P&amp;L per bucket</w:t>
      </w:r>
    </w:p>
    <w:p>
      <w:pPr>
        <w:pStyle w:val="ListParagraph"/>
        <w:numPr>
          <w:ilvl w:val="0"/>
          <w:numId w:val="2"/>
        </w:numPr>
        <w:spacing w:after="80"/>
      </w:pPr>
      <w:r>
        <w:rPr>
          <w:rFonts w:ascii="Arial" w:cs="Arial" w:eastAsia="Arial" w:hAnsi="Arial"/>
          <w:sz w:val="22"/>
          <w:szCs w:val="22"/>
        </w:rPr>
        <w:t xml:space="preserve">Exit type breakdown: Count per exit reason</w:t>
      </w:r>
    </w:p>
    <w:p>
      <w:pPr>
        <w:pStyle w:val="ListParagraph"/>
        <w:numPr>
          <w:ilvl w:val="0"/>
          <w:numId w:val="2"/>
        </w:numPr>
        <w:spacing w:after="80"/>
      </w:pPr>
      <w:r>
        <w:rPr>
          <w:rFonts w:ascii="Arial" w:cs="Arial" w:eastAsia="Arial" w:hAnsi="Arial"/>
          <w:sz w:val="22"/>
          <w:szCs w:val="22"/>
        </w:rPr>
        <w:t xml:space="preserve">Defensive stats: Min hold saves, grace period saves, emergency stops</w:t>
      </w:r>
    </w:p>
    <w:p>
      <w:pPr>
        <w:pStyle w:val="ListParagraph"/>
        <w:numPr>
          <w:ilvl w:val="0"/>
          <w:numId w:val="2"/>
        </w:numPr>
        <w:spacing w:after="80"/>
      </w:pPr>
      <w:r>
        <w:rPr>
          <w:rFonts w:ascii="Arial" w:cs="Arial" w:eastAsia="Arial" w:hAnsi="Arial"/>
          <w:sz w:val="22"/>
          <w:szCs w:val="22"/>
        </w:rPr>
        <w:t xml:space="preserve">Circuit breaker summary: Daily halt triggers, streak halt triggers</w:t>
      </w:r>
    </w:p>
    <w:p>
      <w:pPr>
        <w:pStyle w:val="ListParagraph"/>
        <w:numPr>
          <w:ilvl w:val="0"/>
          <w:numId w:val="2"/>
        </w:numPr>
        <w:spacing w:after="80"/>
      </w:pPr>
      <w:r>
        <w:rPr>
          <w:rFonts w:ascii="Arial" w:cs="Arial" w:eastAsia="Arial" w:hAnsi="Arial"/>
          <w:sz w:val="22"/>
          <w:szCs w:val="22"/>
        </w:rPr>
        <w:t xml:space="preserve">Regime summary: Per-instrument state, time decays, probes</w:t>
      </w:r>
    </w:p>
    <w:p>
      <w:pPr>
        <w:pStyle w:val="ListParagraph"/>
        <w:numPr>
          <w:ilvl w:val="0"/>
          <w:numId w:val="2"/>
        </w:numPr>
        <w:spacing w:after="80"/>
      </w:pPr>
      <w:r>
        <w:rPr>
          <w:rFonts w:ascii="Arial" w:cs="Arial" w:eastAsia="Arial" w:hAnsi="Arial"/>
          <w:sz w:val="22"/>
          <w:szCs w:val="22"/>
        </w:rPr>
        <w:t xml:space="preserve">Tax summary (if applicable): Yearly gains/losses for UK tax simulation</w:t>
      </w:r>
    </w:p>
    <w:p>
      <w:r>
        <w:br w:type="page"/>
      </w:r>
    </w:p>
    <w:p>
      <w:pPr>
        <w:pStyle w:val="Heading1"/>
        <w:spacing w:before="360" w:after="200"/>
      </w:pPr>
      <w:r>
        <w:rPr>
          <w:rFonts w:ascii="Arial" w:cs="Arial" w:eastAsia="Arial" w:hAnsi="Arial"/>
          <w:b/>
          <w:bCs/>
          <w:sz w:val="32"/>
          <w:szCs w:val="32"/>
        </w:rPr>
        <w:t xml:space="preserve">17. Continuous Improvement</w:t>
      </w:r>
    </w:p>
    <w:p>
      <w:pPr>
        <w:pStyle w:val="Heading2"/>
        <w:spacing w:before="280" w:after="160"/>
      </w:pPr>
      <w:r>
        <w:rPr>
          <w:rFonts w:ascii="Arial" w:cs="Arial" w:eastAsia="Arial" w:hAnsi="Arial"/>
          <w:b/>
          <w:bCs/>
          <w:sz w:val="28"/>
          <w:szCs w:val="28"/>
        </w:rPr>
        <w:t xml:space="preserve">17.1 When to Modify vs. Stay the Course</w:t>
      </w:r>
    </w:p>
    <w:p>
      <w:pPr>
        <w:spacing w:after="120"/>
      </w:pPr>
      <w:r>
        <w:rPr>
          <w:rFonts w:ascii="Arial" w:cs="Arial" w:eastAsia="Arial" w:hAnsi="Arial"/>
          <w:b/>
          <w:bCs/>
          <w:sz w:val="22"/>
          <w:szCs w:val="22"/>
        </w:rPr>
        <w:t xml:space="preserve">Modify when: </w:t>
      </w:r>
      <w:r>
        <w:rPr>
          <w:rFonts w:ascii="Arial" w:cs="Arial" w:eastAsia="Arial" w:hAnsi="Arial"/>
          <w:sz w:val="22"/>
          <w:szCs w:val="22"/>
        </w:rPr>
        <w:t xml:space="preserve">Performance consistently below backtest for 3+ months, market structure has permanently changed, better data/tools become available, or you have a clear testable hypothesis.</w:t>
      </w:r>
    </w:p>
    <w:p>
      <w:pPr>
        <w:spacing w:after="120"/>
      </w:pPr>
      <w:r>
        <w:rPr>
          <w:rFonts w:ascii="Arial" w:cs="Arial" w:eastAsia="Arial" w:hAnsi="Arial"/>
          <w:b/>
          <w:bCs/>
          <w:sz w:val="22"/>
          <w:szCs w:val="22"/>
        </w:rPr>
        <w:t xml:space="preserve">Stay the course when: </w:t>
      </w:r>
      <w:r>
        <w:rPr>
          <w:rFonts w:ascii="Arial" w:cs="Arial" w:eastAsia="Arial" w:hAnsi="Arial"/>
          <w:sz w:val="22"/>
          <w:szCs w:val="22"/>
        </w:rPr>
        <w:t xml:space="preserve">Normal variance within backtest ranges, drawdown within expected bounds, win rate temporarily below average, or market regime is unfavourable (wait it out).</w:t>
      </w:r>
    </w:p>
    <w:p>
      <w:pPr>
        <w:spacing w:after="100"/>
      </w:pPr>
    </w:p>
    <w:p>
      <w:pPr>
        <w:pStyle w:val="Heading2"/>
        <w:spacing w:before="280" w:after="160"/>
      </w:pPr>
      <w:r>
        <w:rPr>
          <w:rFonts w:ascii="Arial" w:cs="Arial" w:eastAsia="Arial" w:hAnsi="Arial"/>
          <w:b/>
          <w:bCs/>
          <w:sz w:val="28"/>
          <w:szCs w:val="28"/>
        </w:rPr>
        <w:t xml:space="preserve">17.2 The Learning Loop</w:t>
      </w:r>
    </w:p>
    <w:p>
      <w:pPr>
        <w:spacing w:after="120"/>
      </w:pPr>
      <w:r>
        <w:rPr>
          <w:rFonts w:ascii="Arial" w:cs="Arial" w:eastAsia="Arial" w:hAnsi="Arial"/>
          <w:sz w:val="22"/>
          <w:szCs w:val="22"/>
        </w:rPr>
        <w:t xml:space="preserve">Observe → Analyse → Hypothesise → Test (paper) → Deploy (or reject) → Observe. Every iteration generates learnings regardless of outcome. Document failures as thoroughly as successes — knowing what doesn’t work is as valuable as knowing what does.</w:t>
      </w:r>
    </w:p>
    <w:p>
      <w:pPr>
        <w:spacing w:after="100"/>
      </w:pPr>
    </w:p>
    <w:p>
      <w:pPr>
        <w:pStyle w:val="Heading2"/>
        <w:spacing w:before="280" w:after="160"/>
      </w:pPr>
      <w:r>
        <w:rPr>
          <w:rFonts w:ascii="Arial" w:cs="Arial" w:eastAsia="Arial" w:hAnsi="Arial"/>
          <w:b/>
          <w:bCs/>
          <w:sz w:val="28"/>
          <w:szCs w:val="28"/>
        </w:rPr>
        <w:t xml:space="preserve">17.3 Performance Attribution</w:t>
      </w:r>
    </w:p>
    <w:p>
      <w:pPr>
        <w:spacing w:after="120"/>
      </w:pPr>
      <w:r>
        <w:rPr>
          <w:rFonts w:ascii="Arial" w:cs="Arial" w:eastAsia="Arial" w:hAnsi="Arial"/>
          <w:sz w:val="22"/>
          <w:szCs w:val="22"/>
        </w:rPr>
        <w:t xml:space="preserve">Regularly decompose performance by conviction level, market regime, time of day, day of week, and volatility environment. This identifies where your edge comes from and when it fails.</w:t>
      </w:r>
    </w:p>
    <w:p>
      <w:pPr>
        <w:spacing w:after="100"/>
      </w:pPr>
    </w:p>
    <w:p>
      <w:pPr>
        <w:pStyle w:val="Heading2"/>
        <w:spacing w:before="280" w:after="160"/>
      </w:pPr>
      <w:r>
        <w:rPr>
          <w:rFonts w:ascii="Arial" w:cs="Arial" w:eastAsia="Arial" w:hAnsi="Arial"/>
          <w:b/>
          <w:bCs/>
          <w:sz w:val="28"/>
          <w:szCs w:val="28"/>
        </w:rPr>
        <w:t xml:space="preserve">17.4 Key Principle: One Change at a Time</w:t>
      </w:r>
    </w:p>
    <w:p>
      <w:pPr>
        <w:spacing w:after="120"/>
      </w:pPr>
      <w:r>
        <w:rPr>
          <w:rFonts w:ascii="Arial" w:cs="Arial" w:eastAsia="Arial" w:hAnsi="Arial"/>
          <w:sz w:val="22"/>
          <w:szCs w:val="22"/>
        </w:rPr>
        <w:t xml:space="preserve">The most important discipline in strategy improvement. Megatron v1.012 combined 8 changes simultaneously and performance collapsed by 94%. It was impossible to identify which change (or combination) caused the failure. Change one variable, test, confirm, then proceed to the next.</w:t>
      </w:r>
    </w:p>
    <w:p>
      <w:r>
        <w:br w:type="page"/>
      </w:r>
    </w:p>
    <w:p>
      <w:pPr>
        <w:pStyle w:val="Heading1"/>
        <w:spacing w:before="360" w:after="200"/>
      </w:pPr>
      <w:r>
        <w:rPr>
          <w:rFonts w:ascii="Arial" w:cs="Arial" w:eastAsia="Arial" w:hAnsi="Arial"/>
          <w:b/>
          <w:bCs/>
          <w:sz w:val="32"/>
          <w:szCs w:val="32"/>
        </w:rPr>
        <w:t xml:space="preserve">Appendix A: Quick Reference Cards</w:t>
      </w:r>
    </w:p>
    <w:p>
      <w:pPr>
        <w:pStyle w:val="Heading2"/>
        <w:spacing w:before="280" w:after="160"/>
      </w:pPr>
      <w:r>
        <w:rPr>
          <w:rFonts w:ascii="Arial" w:cs="Arial" w:eastAsia="Arial" w:hAnsi="Arial"/>
          <w:b/>
          <w:bCs/>
          <w:sz w:val="28"/>
          <w:szCs w:val="28"/>
        </w:rPr>
        <w:t xml:space="preserve">Entry Checklist</w:t>
      </w:r>
    </w:p>
    <w:p>
      <w:pPr>
        <w:pStyle w:val="ListParagraph"/>
        <w:numPr>
          <w:ilvl w:val="0"/>
          <w:numId w:val="2"/>
        </w:numPr>
        <w:spacing w:after="80"/>
      </w:pPr>
      <w:r>
        <w:rPr>
          <w:rFonts w:ascii="Arial" w:cs="Arial" w:eastAsia="Arial" w:hAnsi="Arial"/>
          <w:sz w:val="22"/>
          <w:szCs w:val="22"/>
        </w:rPr>
        <w:t xml:space="preserve">Trend aligned (price &gt; daily EMA)</w:t>
      </w:r>
    </w:p>
    <w:p>
      <w:pPr>
        <w:pStyle w:val="ListParagraph"/>
        <w:numPr>
          <w:ilvl w:val="0"/>
          <w:numId w:val="2"/>
        </w:numPr>
        <w:spacing w:after="80"/>
      </w:pPr>
      <w:r>
        <w:rPr>
          <w:rFonts w:ascii="Arial" w:cs="Arial" w:eastAsia="Arial" w:hAnsi="Arial"/>
          <w:sz w:val="22"/>
          <w:szCs w:val="22"/>
        </w:rPr>
        <w:t xml:space="preserve">Squeeze detected (bandwidth below threshold)</w:t>
      </w:r>
    </w:p>
    <w:p>
      <w:pPr>
        <w:pStyle w:val="ListParagraph"/>
        <w:numPr>
          <w:ilvl w:val="0"/>
          <w:numId w:val="2"/>
        </w:numPr>
        <w:spacing w:after="80"/>
      </w:pPr>
      <w:r>
        <w:rPr>
          <w:rFonts w:ascii="Arial" w:cs="Arial" w:eastAsia="Arial" w:hAnsi="Arial"/>
          <w:sz w:val="22"/>
          <w:szCs w:val="22"/>
        </w:rPr>
        <w:t xml:space="preserve">Breakout confirmed (price &gt; upper BB)</w:t>
      </w:r>
    </w:p>
    <w:p>
      <w:pPr>
        <w:pStyle w:val="ListParagraph"/>
        <w:numPr>
          <w:ilvl w:val="0"/>
          <w:numId w:val="2"/>
        </w:numPr>
        <w:spacing w:after="80"/>
      </w:pPr>
      <w:r>
        <w:rPr>
          <w:rFonts w:ascii="Arial" w:cs="Arial" w:eastAsia="Arial" w:hAnsi="Arial"/>
          <w:sz w:val="22"/>
          <w:szCs w:val="22"/>
        </w:rPr>
        <w:t xml:space="preserve">Not overbought (RSI &lt; threshold)</w:t>
      </w:r>
    </w:p>
    <w:p>
      <w:pPr>
        <w:pStyle w:val="ListParagraph"/>
        <w:numPr>
          <w:ilvl w:val="0"/>
          <w:numId w:val="2"/>
        </w:numPr>
        <w:spacing w:after="80"/>
      </w:pPr>
      <w:r>
        <w:rPr>
          <w:rFonts w:ascii="Arial" w:cs="Arial" w:eastAsia="Arial" w:hAnsi="Arial"/>
          <w:sz w:val="22"/>
          <w:szCs w:val="22"/>
        </w:rPr>
        <w:t xml:space="preserve">Sufficient trend strength (ADX &gt; 15)</w:t>
      </w:r>
    </w:p>
    <w:p>
      <w:pPr>
        <w:pStyle w:val="ListParagraph"/>
        <w:numPr>
          <w:ilvl w:val="0"/>
          <w:numId w:val="2"/>
        </w:numPr>
        <w:spacing w:after="80"/>
      </w:pPr>
      <w:r>
        <w:rPr>
          <w:rFonts w:ascii="Arial" w:cs="Arial" w:eastAsia="Arial" w:hAnsi="Arial"/>
          <w:sz w:val="22"/>
          <w:szCs w:val="22"/>
        </w:rPr>
        <w:t xml:space="preserve">Position slot available</w:t>
      </w:r>
    </w:p>
    <w:p>
      <w:pPr>
        <w:pStyle w:val="ListParagraph"/>
        <w:numPr>
          <w:ilvl w:val="0"/>
          <w:numId w:val="2"/>
        </w:numPr>
        <w:spacing w:after="80"/>
      </w:pPr>
      <w:r>
        <w:rPr>
          <w:rFonts w:ascii="Arial" w:cs="Arial" w:eastAsia="Arial" w:hAnsi="Arial"/>
          <w:sz w:val="22"/>
          <w:szCs w:val="22"/>
        </w:rPr>
        <w:t xml:space="preserve">Circuit breakers not active</w:t>
      </w:r>
    </w:p>
    <w:p>
      <w:pPr>
        <w:pStyle w:val="ListParagraph"/>
        <w:numPr>
          <w:ilvl w:val="0"/>
          <w:numId w:val="2"/>
        </w:numPr>
        <w:spacing w:after="80"/>
      </w:pPr>
      <w:r>
        <w:rPr>
          <w:rFonts w:ascii="Arial" w:cs="Arial" w:eastAsia="Arial" w:hAnsi="Arial"/>
          <w:sz w:val="22"/>
          <w:szCs w:val="22"/>
        </w:rPr>
        <w:t xml:space="preserve">Regime multiplier not at zero</w:t>
      </w:r>
    </w:p>
    <w:p>
      <w:pPr>
        <w:pStyle w:val="ListParagraph"/>
        <w:numPr>
          <w:ilvl w:val="0"/>
          <w:numId w:val="2"/>
        </w:numPr>
        <w:spacing w:after="80"/>
      </w:pPr>
      <w:r>
        <w:rPr>
          <w:rFonts w:ascii="Arial" w:cs="Arial" w:eastAsia="Arial" w:hAnsi="Arial"/>
          <w:sz w:val="22"/>
          <w:szCs w:val="22"/>
        </w:rPr>
        <w:t xml:space="preserve">Position size calculated and leverage capped</w:t>
      </w:r>
    </w:p>
    <w:p>
      <w:pPr>
        <w:spacing w:after="100"/>
      </w:pPr>
    </w:p>
    <w:p>
      <w:pPr>
        <w:pStyle w:val="Heading2"/>
        <w:spacing w:before="280" w:after="160"/>
      </w:pPr>
      <w:r>
        <w:rPr>
          <w:rFonts w:ascii="Arial" w:cs="Arial" w:eastAsia="Arial" w:hAnsi="Arial"/>
          <w:b/>
          <w:bCs/>
          <w:sz w:val="28"/>
          <w:szCs w:val="28"/>
        </w:rPr>
        <w:t xml:space="preserve">Exit Checklist</w:t>
      </w:r>
    </w:p>
    <w:p>
      <w:pPr>
        <w:pStyle w:val="ListParagraph"/>
        <w:numPr>
          <w:ilvl w:val="0"/>
          <w:numId w:val="2"/>
        </w:numPr>
        <w:spacing w:after="80"/>
      </w:pPr>
      <w:r>
        <w:rPr>
          <w:rFonts w:ascii="Arial" w:cs="Arial" w:eastAsia="Arial" w:hAnsi="Arial"/>
          <w:sz w:val="22"/>
          <w:szCs w:val="22"/>
        </w:rPr>
        <w:t xml:space="preserve">Check circuit breakers first</w:t>
      </w:r>
    </w:p>
    <w:p>
      <w:pPr>
        <w:pStyle w:val="ListParagraph"/>
        <w:numPr>
          <w:ilvl w:val="0"/>
          <w:numId w:val="2"/>
        </w:numPr>
        <w:spacing w:after="80"/>
      </w:pPr>
      <w:r>
        <w:rPr>
          <w:rFonts w:ascii="Arial" w:cs="Arial" w:eastAsia="Arial" w:hAnsi="Arial"/>
          <w:sz w:val="22"/>
          <w:szCs w:val="22"/>
        </w:rPr>
        <w:t xml:space="preserve">Check minimum hold time (6h) — only emergency stop allowed</w:t>
      </w:r>
    </w:p>
    <w:p>
      <w:pPr>
        <w:pStyle w:val="ListParagraph"/>
        <w:numPr>
          <w:ilvl w:val="0"/>
          <w:numId w:val="2"/>
        </w:numPr>
        <w:spacing w:after="80"/>
      </w:pPr>
      <w:r>
        <w:rPr>
          <w:rFonts w:ascii="Arial" w:cs="Arial" w:eastAsia="Arial" w:hAnsi="Arial"/>
          <w:sz w:val="22"/>
          <w:szCs w:val="22"/>
        </w:rPr>
        <w:t xml:space="preserve">Check ATR trailing stop</w:t>
      </w:r>
    </w:p>
    <w:p>
      <w:pPr>
        <w:pStyle w:val="ListParagraph"/>
        <w:numPr>
          <w:ilvl w:val="0"/>
          <w:numId w:val="2"/>
        </w:numPr>
        <w:spacing w:after="80"/>
      </w:pPr>
      <w:r>
        <w:rPr>
          <w:rFonts w:ascii="Arial" w:cs="Arial" w:eastAsia="Arial" w:hAnsi="Arial"/>
          <w:sz w:val="22"/>
          <w:szCs w:val="22"/>
        </w:rPr>
        <w:t xml:space="preserve">Check EMA trend break (after 12h grace period)</w:t>
      </w:r>
    </w:p>
    <w:p>
      <w:pPr>
        <w:pStyle w:val="ListParagraph"/>
        <w:numPr>
          <w:ilvl w:val="0"/>
          <w:numId w:val="2"/>
        </w:numPr>
        <w:spacing w:after="80"/>
      </w:pPr>
      <w:r>
        <w:rPr>
          <w:rFonts w:ascii="Arial" w:cs="Arial" w:eastAsia="Arial" w:hAnsi="Arial"/>
          <w:sz w:val="22"/>
          <w:szCs w:val="22"/>
        </w:rPr>
        <w:t xml:space="preserve">Check stale trade timeout (72h)</w:t>
      </w:r>
    </w:p>
    <w:p>
      <w:pPr>
        <w:pStyle w:val="ListParagraph"/>
        <w:numPr>
          <w:ilvl w:val="0"/>
          <w:numId w:val="2"/>
        </w:numPr>
        <w:spacing w:after="80"/>
      </w:pPr>
      <w:r>
        <w:rPr>
          <w:rFonts w:ascii="Arial" w:cs="Arial" w:eastAsia="Arial" w:hAnsi="Arial"/>
          <w:sz w:val="22"/>
          <w:szCs w:val="22"/>
        </w:rPr>
        <w:t xml:space="preserve">Log exit reason</w:t>
      </w:r>
    </w:p>
    <w:p>
      <w:pPr>
        <w:pStyle w:val="ListParagraph"/>
        <w:numPr>
          <w:ilvl w:val="0"/>
          <w:numId w:val="2"/>
        </w:numPr>
        <w:spacing w:after="80"/>
      </w:pPr>
      <w:r>
        <w:rPr>
          <w:rFonts w:ascii="Arial" w:cs="Arial" w:eastAsia="Arial" w:hAnsi="Arial"/>
          <w:sz w:val="22"/>
          <w:szCs w:val="22"/>
        </w:rPr>
        <w:t xml:space="preserve">Update regime tracker</w:t>
      </w:r>
    </w:p>
    <w:p>
      <w:pPr>
        <w:pStyle w:val="ListParagraph"/>
        <w:numPr>
          <w:ilvl w:val="0"/>
          <w:numId w:val="2"/>
        </w:numPr>
        <w:spacing w:after="80"/>
      </w:pPr>
      <w:r>
        <w:rPr>
          <w:rFonts w:ascii="Arial" w:cs="Arial" w:eastAsia="Arial" w:hAnsi="Arial"/>
          <w:sz w:val="22"/>
          <w:szCs w:val="22"/>
        </w:rPr>
        <w:t xml:space="preserve">Update circuit breaker state</w:t>
      </w:r>
    </w:p>
    <w:p>
      <w:pPr>
        <w:pStyle w:val="ListParagraph"/>
        <w:numPr>
          <w:ilvl w:val="0"/>
          <w:numId w:val="2"/>
        </w:numPr>
        <w:spacing w:after="80"/>
      </w:pPr>
      <w:r>
        <w:rPr>
          <w:rFonts w:ascii="Arial" w:cs="Arial" w:eastAsia="Arial" w:hAnsi="Arial"/>
          <w:sz w:val="22"/>
          <w:szCs w:val="22"/>
        </w:rPr>
        <w:t xml:space="preserve">Record tax event (if applicable)</w:t>
      </w:r>
    </w:p>
    <w:p>
      <w:pPr>
        <w:spacing w:after="100"/>
      </w:pPr>
    </w:p>
    <w:p>
      <w:pPr>
        <w:pStyle w:val="Heading2"/>
        <w:spacing w:before="280" w:after="160"/>
      </w:pPr>
      <w:r>
        <w:rPr>
          <w:rFonts w:ascii="Arial" w:cs="Arial" w:eastAsia="Arial" w:hAnsi="Arial"/>
          <w:b/>
          <w:bCs/>
          <w:sz w:val="28"/>
          <w:szCs w:val="28"/>
        </w:rPr>
        <w:t xml:space="preserve">Position Sizing Formula</w:t>
      </w:r>
    </w:p>
    <w:p>
      <w:pPr>
        <w:spacing w:after="60"/>
        <w:ind w:left="360"/>
      </w:pPr>
      <w:r>
        <w:rPr>
          <w:rFonts w:ascii="Consolas" w:cs="Consolas" w:eastAsia="Consolas" w:hAnsi="Consolas"/>
          <w:color w:val="333333"/>
          <w:sz w:val="20"/>
          <w:szCs w:val="20"/>
        </w:rPr>
        <w:t xml:space="preserve">qty = (equity × risk%) / (ATR × 2.5)</w:t>
      </w:r>
    </w:p>
    <w:p>
      <w:pPr>
        <w:spacing w:after="60"/>
        <w:ind w:left="360"/>
      </w:pPr>
      <w:r>
        <w:rPr>
          <w:rFonts w:ascii="Consolas" w:cs="Consolas" w:eastAsia="Consolas" w:hAnsi="Consolas"/>
          <w:color w:val="333333"/>
          <w:sz w:val="20"/>
          <w:szCs w:val="20"/>
        </w:rPr>
        <w:t xml:space="preserve">ATR = max(current_ATR, ATR_100bar_avg × 0.5)</w:t>
      </w:r>
    </w:p>
    <w:p>
      <w:pPr>
        <w:spacing w:after="60"/>
        <w:ind w:left="360"/>
      </w:pPr>
      <w:r>
        <w:rPr>
          <w:rFonts w:ascii="Consolas" w:cs="Consolas" w:eastAsia="Consolas" w:hAnsi="Consolas"/>
          <w:color w:val="333333"/>
          <w:sz w:val="20"/>
          <w:szCs w:val="20"/>
        </w:rPr>
        <w:t xml:space="preserve">leverage = min(qty × price / equity, max_leverage)</w:t>
      </w:r>
    </w:p>
    <w:p>
      <w:pPr>
        <w:spacing w:after="100"/>
      </w:pPr>
    </w:p>
    <w:p>
      <w:pPr>
        <w:pStyle w:val="Heading2"/>
        <w:spacing w:before="280" w:after="160"/>
      </w:pPr>
      <w:r>
        <w:rPr>
          <w:rFonts w:ascii="Arial" w:cs="Arial" w:eastAsia="Arial" w:hAnsi="Arial"/>
          <w:b/>
          <w:bCs/>
          <w:sz w:val="28"/>
          <w:szCs w:val="28"/>
        </w:rPr>
        <w:t xml:space="preserve">Risk Limits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trade risk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 (conviction-based)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size formula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Leverage cap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gold, 10× SPX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Clamp quantity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loss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of equity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Halt all new trades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Consecutive losses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Halt trading 48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drawdown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half size, -20% halt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Progressive reduction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instrument loss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Halt that instrument for month</w:t>
            </w:r>
          </w:p>
        </w:tc>
      </w:tr>
    </w:tbl>
    <w:p>
      <w:r>
        <w:br w:type="page"/>
      </w:r>
    </w:p>
    <w:p>
      <w:pPr>
        <w:pStyle w:val="Heading1"/>
        <w:spacing w:before="360" w:after="200"/>
      </w:pPr>
      <w:r>
        <w:rPr>
          <w:rFonts w:ascii="Arial" w:cs="Arial" w:eastAsia="Arial" w:hAnsi="Arial"/>
          <w:b/>
          <w:bCs/>
          <w:sz w:val="32"/>
          <w:szCs w:val="32"/>
        </w:rPr>
        <w:t xml:space="preserve">Appendix B: QuantConnect Ticker Compatibility Matrix</w:t>
      </w:r>
    </w:p>
    <w:p>
      <w:pPr>
        <w:spacing w:after="120"/>
      </w:pPr>
      <w:r>
        <w:rPr>
          <w:rFonts w:ascii="Arial" w:cs="Arial" w:eastAsia="Arial" w:hAnsi="Arial"/>
          <w:sz w:val="22"/>
          <w:szCs w:val="22"/>
        </w:rPr>
        <w:t xml:space="preserve">This matrix documents which instruments work with which QuantConnect brokerage and data configurations, based on direct testing during Megatron development.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600"/>
        <w:gridCol w:w="1600"/>
        <w:gridCol w:w="22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Ticker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QC Backtest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IBKR Live</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UK Traders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XAUUSD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CFD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Oanda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SPX500USD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CFD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Oanda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WTICOUSD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CFD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Oanda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XAGUSD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CFD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Oanda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(KID)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(KID)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(KID)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(KID)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ES/MES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SPY CFD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CFD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IBKR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Untested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Possible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86C1" w:sz="6"/>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b/>
                <w:bCs/>
                <w:color w:val="1B4F72"/>
                <w:sz w:val="22"/>
                <w:szCs w:val="22"/>
              </w:rPr>
              <w:t xml:space="preserve">Deployment Configuration</w:t>
            </w:r>
          </w:p>
          <w:p>
            <w:pPr>
              <w:spacing w:before="60"/>
            </w:pPr>
            <w:r>
              <w:rPr>
                <w:rFonts w:ascii="Arial" w:cs="Arial" w:eastAsia="Arial" w:hAnsi="Arial"/>
                <w:sz w:val="20"/>
                <w:szCs w:val="20"/>
              </w:rPr>
              <w:t xml:space="preserve">For Oanda CFD symbols: Data Provider = QuantConnect, Brokerage = Interactive Brokers. IBKR cannot provide data for Oanda CFD symbols. If IBKR is selected as data provider, you will see “interactivebrokers Cfd QuoteBar data not supported” and zero trades.</w:t>
            </w:r>
          </w:p>
        </w:tc>
      </w:tr>
    </w:tbl>
    <w:p>
      <w:pPr>
        <w:spacing w:after="100"/>
      </w:pPr>
    </w:p>
    <w:p>
      <w:pPr>
        <w:pStyle w:val="Heading2"/>
        <w:spacing w:before="280" w:after="160"/>
      </w:pPr>
      <w:r>
        <w:rPr>
          <w:rFonts w:ascii="Arial" w:cs="Arial" w:eastAsia="Arial" w:hAnsi="Arial"/>
          <w:b/>
          <w:bCs/>
          <w:sz w:val="28"/>
          <w:szCs w:val="28"/>
        </w:rPr>
        <w:t xml:space="preserve">Common Ticker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"oanda Cfd QuoteBar data not supported"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IBKR selected as data provider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to QuantConnect data provider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security definition: SPX500USD"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IBKR trying to resolve Oanda ticker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 data provider to QuantConnect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mismatch: TradeBar vs QuoteBar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consolidator for security type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QuoteBarConsolidator for CFDs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exceeds 64000 characters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Main.py too large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classes to separate modules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KID not available in English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UK PRIIPs regulation blocks US ETF purchase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CFD or futures alternative</w:t>
            </w:r>
          </w:p>
        </w:tc>
      </w:tr>
    </w:tbl>
    <w:p>
      <w:r>
        <w:br w:type="page"/>
      </w:r>
    </w:p>
    <w:p>
      <w:pPr>
        <w:pStyle w:val="Heading1"/>
        <w:spacing w:before="360" w:after="200"/>
      </w:pPr>
      <w:r>
        <w:rPr>
          <w:rFonts w:ascii="Arial" w:cs="Arial" w:eastAsia="Arial" w:hAnsi="Arial"/>
          <w:b/>
          <w:bCs/>
          <w:sz w:val="32"/>
          <w:szCs w:val="32"/>
        </w:rPr>
        <w:t xml:space="preserve">Appendix C: Glossary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True Range — volatility measure used for stop placement and position sizing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Bandwidth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Bollinger Band width as a percentage of the middle band; measures volatility compression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 Breaker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trading halt triggered by loss thresholds (daily, weekly, consecutive)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Compounding Engine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exponential growth mechanism driven by aggressive sizing on a winning strategy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Consolidator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 component that aggregates lower-resolution bars into higher-resolution (e.g., hourly to daily)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Conviction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level in a trade signal, determining position size tier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Death Zone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Trades exiting in under 6 hours; 0% historical win rate in Megatron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Drawdown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Peak-to-trough decline in equity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Moving Average — trend-following indicator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Grace Period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time before EMA-break exits are allowed (prevents premature exits)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Kelly Criterion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Optimal bet sizing formula based on edge and probability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KID/PRIIPs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Information Document requirement that prevents UK traders buying US ETFs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state (bull/bear/sideways) that affects strategy performance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Sharpe Ratio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Risk-adjusted return measure: (return - risk-free) / standard deviation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Slippage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Difference between expected and actual fill price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Sortino Ratio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Sharpe variant focusing only on downside risk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Squeeze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 of low Bollinger Band bandwidth indicating volatility compression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Trailing Stop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 loss that follows price upward, locking in profits</w:t>
            </w:r>
          </w:p>
        </w:tc>
      </w:tr>
    </w:tbl>
    <w:p>
      <w:pPr>
        <w:spacing w:after="100"/>
      </w:pPr>
    </w:p>
    <w:p>
      <w:pPr>
        <w:spacing w:after="100"/>
      </w:pPr>
    </w:p>
    <w:p>
      <w:pPr>
        <w:jc w:val="center"/>
      </w:pPr>
      <w:r>
        <w:rPr>
          <w:rFonts w:ascii="Arial" w:cs="Arial" w:eastAsia="Arial" w:hAnsi="Arial"/>
          <w:i/>
          <w:iCs/>
          <w:color w:val="999999"/>
          <w:sz w:val="18"/>
          <w:szCs w:val="18"/>
        </w:rPr>
        <w:t xml:space="preserve">Document Version: 2.0  |  Last Updated: February 2026  |  Based on: Goldbug v2.120 + Megatron v1.000–v2.013 development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Trading Algorithm Design Patterns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2026-02-11T13:35:09.231Z</dcterms:created>
  <dcterms:modified xsi:type="dcterms:W3CDTF">2026-02-11T13:35:09.232Z</dcterms:modified>
</cp:coreProperties>
</file>

<file path=docProps/custom.xml><?xml version="1.0" encoding="utf-8"?>
<Properties xmlns="http://schemas.openxmlformats.org/officeDocument/2006/custom-properties" xmlns:vt="http://schemas.openxmlformats.org/officeDocument/2006/docPropsVTypes"/>
</file>