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2024 年度经营分析报告</w:t>
      </w:r>
    </w:p>
    <w:p>
      <w:r>
        <w:t xml:space="preserve">本报告由财务部编制，涵盖全年营收、毛利率、用户数与市场规模等核心指标。</w:t>
      </w:r>
    </w:p>
    <w:p>
      <w:pPr>
        <w:pStyle w:val="Heading2"/>
      </w:pPr>
      <w:r>
        <w:t xml:space="preserve">一、营收概况</w:t>
      </w:r>
    </w:p>
    <w:p>
      <w:r>
        <w:t xml:space="preserve">2024 年公司营收达到 12.8 亿元，同比增长 23.5%。增长主要来自华东与华南区域。</w:t>
      </w:r>
    </w:p>
    <w:p>
      <w:pPr>
        <w:numPr>
          <w:ilvl w:val="0"/>
          <w:numId w:val="1"/>
        </w:numPr>
      </w:pPr>
      <w:r>
        <w:t xml:space="preserve">营收结构优化，毛利率提升至 42.1%</w:t>
      </w:r>
    </w:p>
    <w:p>
      <w:pPr>
        <w:numPr>
          <w:ilvl w:val="0"/>
          <w:numId w:val="1"/>
        </w:numPr>
      </w:pPr>
      <w:r>
        <w:t xml:space="preserve">用户数突破 860 万，同比新增 190 万</w:t>
      </w:r>
    </w:p>
    <w:p>
      <w:pPr>
        <w:numPr>
          <w:ilvl w:val="0"/>
          <w:numId w:val="1"/>
        </w:numPr>
      </w:pPr>
      <w:r>
        <w:t xml:space="preserve">市场规模扩大至 320 亿元</w:t>
      </w:r>
    </w:p>
    <w:p>
      <w:pPr>
        <w:numPr>
          <w:ilvl w:val="1"/>
          <w:numId w:val="1"/>
        </w:numPr>
      </w:pPr>
      <w:r>
        <w:t xml:space="preserve">其中企业客户占比 61%</w:t>
      </w:r>
    </w:p>
    <w:p>
      <w:pPr>
        <w:numPr>
          <w:ilvl w:val="1"/>
          <w:numId w:val="1"/>
        </w:numPr>
      </w:pPr>
      <w:r>
        <w:t xml:space="preserve">个人客户占比 39%</w:t>
      </w:r>
    </w:p>
    <w:p>
      <w:pPr>
        <w:pStyle w:val="Heading2"/>
      </w:pPr>
      <w:r>
        <w:t xml:space="preserve">二、区域明细</w:t>
      </w:r>
    </w:p>
    <w:tbl>
      <w:tr>
        <w:tc>
          <w:tcPr>
            <w:gridSpan w:val="2"/>
          </w:tcPr>
          <w:p>
            <w:r>
              <w:t xml:space="preserve">区域</w:t>
            </w:r>
          </w:p>
        </w:tc>
        <w:tc>
          <w:p>
            <w:r>
              <w:t xml:space="preserve">上半年</w:t>
            </w:r>
          </w:p>
        </w:tc>
        <w:tc>
          <w:p>
            <w:r>
              <w:t xml:space="preserve">下半年</w:t>
            </w:r>
          </w:p>
        </w:tc>
        <w:tc>
          <w:p>
            <w:r>
              <w:t xml:space="preserve">全年合计</w:t>
            </w:r>
          </w:p>
        </w:tc>
      </w:tr>
      <w:tr>
        <w:tc>
          <w:tcPr>
            <w:vMerge w:val="restart"/>
          </w:tcPr>
          <w:p>
            <w:r>
              <w:t xml:space="preserve">华东区</w:t>
            </w:r>
          </w:p>
        </w:tc>
        <w:tc>
          <w:p>
            <w:r>
              <w:t xml:space="preserve">3.2</w:t>
            </w:r>
          </w:p>
        </w:tc>
        <w:tc>
          <w:p>
            <w:r>
              <w:t xml:space="preserve">4.1</w:t>
            </w:r>
          </w:p>
        </w:tc>
        <w:tc>
          <w:p>
            <w:r>
              <w:t xml:space="preserve">7.3</w:t>
            </w:r>
          </w:p>
        </w:tc>
      </w:tr>
      <w:tr>
        <w:tc>
          <w:tcPr>
            <w:vMerge/>
          </w:tcPr>
          <w:p>
            <w:r>
              <w:t xml:space="preserve"/>
            </w:r>
          </w:p>
        </w:tc>
        <w:tc>
          <w:p>
            <w:r>
              <w:t xml:space="preserve">2.1</w:t>
            </w:r>
          </w:p>
        </w:tc>
        <w:tc>
          <w:p>
            <w:r>
              <w:t xml:space="preserve">2.8</w:t>
            </w:r>
          </w:p>
        </w:tc>
        <w:tc>
          <w:p>
            <w:r>
              <w:t xml:space="preserve">4.9</w:t>
            </w:r>
          </w:p>
        </w:tc>
      </w:tr>
      <w:tr>
        <w:tc>
          <w:p>
            <w:r>
              <w:t xml:space="preserve">合计</w:t>
            </w:r>
          </w:p>
        </w:tc>
        <w:tc>
          <w:p>
            <w:r>
              <w:t xml:space="preserve">5.3</w:t>
            </w:r>
          </w:p>
        </w:tc>
        <w:tc>
          <w:p>
            <w:r>
              <w:t xml:space="preserve">6.9</w:t>
            </w:r>
          </w:p>
        </w:tc>
        <w:tc>
          <w:p>
            <w:r>
              <w:t xml:space="preserve">12.2</w:t>
            </w:r>
          </w:p>
        </w:tc>
      </w:tr>
    </w:tbl>
    <w:p>
      <w:r>
        <w:t xml:space="preserve">上表华东区为两行合并；表头"区域"横向跨两列。</w:t>
      </w:r>
    </w:p>
    <w:p>
      <w:pPr>
        <w:pStyle w:val="Heading2"/>
      </w:pPr>
      <w:r>
        <w:t xml:space="preserve">三、成本结构（含嵌套表格）</w:t>
      </w:r>
    </w:p>
    <w:tbl>
      <w:tr>
        <w:tc>
          <w:p>
            <w:r>
              <w:t xml:space="preserve">项目</w:t>
            </w:r>
          </w:p>
        </w:tc>
        <w:tc>
          <w:p>
            <w:r>
              <w:t xml:space="preserve">金额（亿元）</w:t>
            </w:r>
          </w:p>
        </w:tc>
        <w:tc>
          <w:p>
            <w:r>
              <w:t xml:space="preserve">说明</w:t>
            </w:r>
          </w:p>
        </w:tc>
      </w:tr>
      <w:tr>
        <w:tc>
          <w:p>
            <w:r>
              <w:t xml:space="preserve">主营业务成本</w:t>
            </w:r>
          </w:p>
        </w:tc>
        <w:tc>
          <w:p>
            <w:r>
              <w:t xml:space="preserve">7.4</w:t>
            </w:r>
          </w:p>
        </w:tc>
        <w:tc>
          <w:p>
            <w:r>
              <w:t xml:space="preserve">明细见下表</w:t>
            </w:r>
          </w:p>
          <w:tbl>
            <w:tr>
              <w:tc>
                <w:p>
                  <w:r>
                    <w:t xml:space="preserve">子项A</w:t>
                  </w:r>
                </w:p>
              </w:tc>
              <w:tc>
                <w:p>
                  <w:r>
                    <w:t xml:space="preserve">子值 41</w:t>
                  </w:r>
                </w:p>
              </w:tc>
            </w:tr>
            <w:tr>
              <w:tc>
                <w:p>
                  <w:r>
                    <w:t xml:space="preserve">子项B</w:t>
                  </w:r>
                </w:p>
              </w:tc>
              <w:tc>
                <w:p>
                  <w:r>
                    <w:t xml:space="preserve">子值 58</w:t>
                  </w:r>
                </w:p>
              </w:tc>
            </w:tr>
          </w:tbl>
        </w:tc>
      </w:tr>
      <w:tr>
        <w:tc>
          <w:p>
            <w:r>
              <w:t xml:space="preserve">期间费用</w:t>
            </w:r>
          </w:p>
        </w:tc>
        <w:tc>
          <w:p>
            <w:r>
              <w:t xml:space="preserve">1.9</w:t>
            </w:r>
          </w:p>
        </w:tc>
        <w:tc>
          <w:p>
            <w:r>
              <w:t xml:space="preserve">含研发与销售</w:t>
            </w:r>
          </w:p>
        </w:tc>
      </w:tr>
    </w:tbl>
    <w:p>
      <w:pPr>
        <w:pStyle w:val="Heading2"/>
      </w:pPr>
      <w:r>
        <w:t xml:space="preserve">四、附注与符号</w:t>
      </w:r>
    </w:p>
    <w:p>
      <w:r>
        <w:t xml:space="preserve">毛利率口径见脚注</w:t>
      </w:r>
      <w:r>
        <w:footnoteReference w:id="2"/>
      </w:r>
      <w:r>
        <w:t xml:space="preserve">，历史数据来源见尾注</w:t>
      </w:r>
      <w:r>
        <w:endnoteReference w:id="1"/>
      </w:r>
      <w:r>
        <w:t xml:space="preserve">。</w:t>
      </w:r>
    </w:p>
    <w:p>
      <w:r>
        <w:t xml:space="preserve">此处口径需与去年保持一致</w:t>
      </w:r>
      <w:r>
        <w:commentReference w:id="1"/>
      </w:r>
      <w:r>
        <w:t xml:space="preserve">。</w:t>
      </w:r>
    </w:p>
    <w:p>
      <w:r>
        <w:r>
          <w:t xml:space="preserve">符号测试：勾选 </w:t>
        </w:r>
        <w:sym w:font="Wingdings" w:char="F0FC"/>
        <w:r>
          <w:t xml:space="preserve"> 方框 </w:t>
        </w:r>
        <w:sym w:font="Wingdings" w:char="F0A8"/>
        <w:r>
          <w:t xml:space="preserve"> 普通字符 </w:t>
        </w:r>
        <w:sym w:font="Arial" w:char="0041"/>
        <w:r>
          <w:t xml:space="preserve"> 结束</w:t>
        </w:r>
      </w:r>
    </w:p>
    <w:p>
      <w:r>
        <w:r>
          <w:t xml:space="preserve">连字符测试：不可断 </w:t>
        </w:r>
        <w:noBreakHyphen/>
        <w:r>
          <w:t xml:space="preserve"> 与软 </w:t>
        </w:r>
        <w:softHyphen/>
        <w:r>
          <w:t xml:space="preserve">连字符</w:t>
        </w:r>
      </w:r>
    </w:p>
    <w:p>
      <w:pPr>
        <w:pStyle w:val="Heading2"/>
      </w:pPr>
      <w:r>
        <w:t xml:space="preserve">五、噪声段（用于验证 过滤 指令）</w:t>
      </w:r>
    </w:p>
    <w:p>
      <w:r>
        <w:t xml:space="preserve">本页底部含广告位、免责声明、版权所有、订阅推送等导航性内容，与主题无关。</w:t>
      </w:r>
    </w:p>
    <w:p>
      <w:r>
        <w:t xml:space="preserve">相关推荐：点击这里立即优惠，下载APP 查看更多。</w:t>
      </w:r>
    </w:p>
    <w:sectPr>
      <w:headerReference w:type="default" r:id="rIdH1"/>
      <w:footerReference w:type="default" r:id="rIdF1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1" w:author="张三" w:date="2025-01-10T09:00:00Z">
    <w:p>
      <w:r>
        <w:t xml:space="preserve">这里的统计口径要和去年年报对齐后再定稿。</w:t>
      </w:r>
    </w:p>
  </w:comment>
</w:comments>
</file>

<file path=word/endnotes.xml><?xml version="1.0" encoding="utf-8"?>
<w:endnotes xmlns:w="http://schemas.openxmlformats.org/wordprocessingml/2006/main" xmlns:r="http://schemas.openxmlformats.org/officeDocument/2006/relationships">
  <w:endnote w:id="-1">
    <w:p>
      <w:r>
        <w:t xml:space="preserve">分隔符</w:t>
      </w:r>
    </w:p>
  </w:endnote>
  <w:endnote w:id="0">
    <w:p>
      <w:r>
        <w:t xml:space="preserve">分隔符</w:t>
      </w:r>
    </w:p>
  </w:endnote>
  <w:endnote w:id="1">
    <w:p>
      <w:r>
        <w:t xml:space="preserve">数据来源：国家统计局 2024 年国民经济公报。</w:t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页脚：财务部编制 · 请勿外传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id="-1">
    <w:p>
      <w:r>
        <w:t xml:space="preserve">分隔符</w:t>
      </w:r>
    </w:p>
  </w:footnote>
  <w:footnote w:id="0">
    <w:p>
      <w:r>
        <w:t xml:space="preserve">分隔符</w:t>
      </w:r>
    </w:p>
  </w:footnote>
  <w:footnote w:id="2">
    <w:p>
      <w:r>
        <w:t xml:space="preserve">毛利率 =（营收 − 成本）÷ 营收，已经外部审计确认。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页眉：年度经营分析报告（内部资料）</w:t>
    </w: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<Relationships xmlns="http://schemas.openxmlformats.org/package/2006/relationships"><Relationship Id="rIdH1" Type="http://schemas.openxmlformats.org/officeDocument/2006/relationships/header" Target="header1.xml"/><Relationship Id="rIdF1" Type="http://schemas.openxmlformats.org/officeDocument/2006/relationships/footer" Target="footer1.xml"/></Relationships>
</file>