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0AD9" w14:textId="77777777" w:rsidR="00F8376D" w:rsidRDefault="00000000">
      <w:pPr>
        <w:pStyle w:val="aa"/>
      </w:pPr>
      <w:r>
        <w:t>Критерии оценки</w:t>
      </w:r>
    </w:p>
    <w:p w14:paraId="36A3D8CF" w14:textId="77777777" w:rsidR="00F8376D" w:rsidRDefault="00000000">
      <w:pPr>
        <w:pStyle w:val="ac"/>
      </w:pPr>
      <w:r>
        <w:t>Проектирование устойчивой спутниковой группировки</w:t>
      </w:r>
    </w:p>
    <w:p w14:paraId="46C15CF5" w14:textId="77777777" w:rsidR="00F8376D" w:rsidRDefault="00000000">
      <w:pPr>
        <w:pStyle w:val="1"/>
      </w:pPr>
      <w:r>
        <w:t>Отраслевые эксперты — до 50 баллов</w:t>
      </w:r>
    </w:p>
    <w:p w14:paraId="03180218" w14:textId="77777777" w:rsidR="00F8376D" w:rsidRDefault="00000000">
      <w:r>
        <w:t>Оцениваются прикладная ценность решения, выполнение пользовательских сценариев и обоснованность выводов команды.</w:t>
      </w:r>
    </w:p>
    <w:tbl>
      <w:tblPr>
        <w:tblStyle w:val="aff0"/>
        <w:tblW w:w="0" w:type="auto"/>
        <w:jc w:val="center"/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6236"/>
        <w:gridCol w:w="1247"/>
      </w:tblGrid>
      <w:tr w:rsidR="00F8376D" w14:paraId="6811FF3E" w14:textId="77777777">
        <w:trPr>
          <w:cantSplit/>
          <w:tblHeader/>
          <w:jc w:val="center"/>
        </w:trPr>
        <w:tc>
          <w:tcPr>
            <w:tcW w:w="2041" w:type="dxa"/>
            <w:shd w:val="clear" w:color="auto" w:fill="EFEFEF"/>
            <w:vAlign w:val="center"/>
          </w:tcPr>
          <w:p w14:paraId="4B14F316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Название критерия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7DBE7ED0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Описание критерия</w:t>
            </w:r>
          </w:p>
        </w:tc>
        <w:tc>
          <w:tcPr>
            <w:tcW w:w="1247" w:type="dxa"/>
            <w:shd w:val="clear" w:color="auto" w:fill="EFEFEF"/>
            <w:vAlign w:val="center"/>
          </w:tcPr>
          <w:p w14:paraId="1013F105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Баллы</w:t>
            </w:r>
          </w:p>
        </w:tc>
      </w:tr>
      <w:tr w:rsidR="00F8376D" w14:paraId="7D495C4A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FCE5CD"/>
            <w:vAlign w:val="center"/>
          </w:tcPr>
          <w:p w14:paraId="1579D0BB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1. Проектирование и анализ группировки</w:t>
            </w:r>
          </w:p>
        </w:tc>
      </w:tr>
      <w:tr w:rsidR="00F8376D" w14:paraId="0233683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266723B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Проектирование и сравнение конфигураций</w:t>
            </w:r>
          </w:p>
        </w:tc>
        <w:tc>
          <w:tcPr>
            <w:tcW w:w="6236" w:type="dxa"/>
            <w:vAlign w:val="center"/>
          </w:tcPr>
          <w:p w14:paraId="2F38F1EA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Оценивается возможность выбирать этап развёртывания, изменять параметры плоскостей и сравнивать варианты группировки. Результат сравнения должен помогать выбрать конфигурацию для заданных наземных пунктов.</w:t>
            </w:r>
          </w:p>
        </w:tc>
        <w:tc>
          <w:tcPr>
            <w:tcW w:w="1247" w:type="dxa"/>
            <w:vAlign w:val="center"/>
          </w:tcPr>
          <w:p w14:paraId="36A5657E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15</w:t>
            </w:r>
          </w:p>
        </w:tc>
      </w:tr>
      <w:tr w:rsidR="00F8376D" w14:paraId="33839F6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930FC57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Анализ устойчивости</w:t>
            </w:r>
          </w:p>
        </w:tc>
        <w:tc>
          <w:tcPr>
            <w:tcW w:w="6236" w:type="dxa"/>
            <w:vAlign w:val="center"/>
          </w:tcPr>
          <w:p w14:paraId="374D5599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Оценивается полнота анализа отказов: какие направления связи затронуты, где сохраняется маршрут и как меняются перерывы. Команда объясняет выявленные уязвимости и предлагает способы повышения устойчивости.</w:t>
            </w:r>
          </w:p>
        </w:tc>
        <w:tc>
          <w:tcPr>
            <w:tcW w:w="1247" w:type="dxa"/>
            <w:vAlign w:val="center"/>
          </w:tcPr>
          <w:p w14:paraId="2CD99DB3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10</w:t>
            </w:r>
          </w:p>
        </w:tc>
      </w:tr>
      <w:tr w:rsidR="00F8376D" w14:paraId="634BB83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B867E1E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Обоснованность рекомендаций</w:t>
            </w:r>
          </w:p>
        </w:tc>
        <w:tc>
          <w:tcPr>
            <w:tcW w:w="6236" w:type="dxa"/>
            <w:vAlign w:val="center"/>
          </w:tcPr>
          <w:p w14:paraId="51A126FB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Оценивается связь рекомендаций с выполненными расчётами. В выводах должны быть отражены преимущества выбранного проекта, условия достижения целевой доступности и ограничения его применения.</w:t>
            </w:r>
          </w:p>
        </w:tc>
        <w:tc>
          <w:tcPr>
            <w:tcW w:w="1247" w:type="dxa"/>
            <w:vAlign w:val="center"/>
          </w:tcPr>
          <w:p w14:paraId="2E613C1C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10</w:t>
            </w:r>
          </w:p>
        </w:tc>
      </w:tr>
      <w:tr w:rsidR="00F8376D" w14:paraId="5F78FC96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FCE5CD"/>
            <w:vAlign w:val="center"/>
          </w:tcPr>
          <w:p w14:paraId="6AE7F398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2. Удобство использования</w:t>
            </w:r>
          </w:p>
        </w:tc>
      </w:tr>
      <w:tr w:rsidR="00F8376D" w14:paraId="443A9F4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7EF5C3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Удобство использования</w:t>
            </w:r>
          </w:p>
        </w:tc>
        <w:tc>
          <w:tcPr>
            <w:tcW w:w="6236" w:type="dxa"/>
            <w:vAlign w:val="center"/>
          </w:tcPr>
          <w:p w14:paraId="04A70991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Оцениваются понятность настройки проекта, работа с временной шкалой, наглядность покрытия и маршрутов, удобство сравнения. Эксперт должен суметь пройти основные сценарии в интерфейсе.</w:t>
            </w:r>
          </w:p>
        </w:tc>
        <w:tc>
          <w:tcPr>
            <w:tcW w:w="1247" w:type="dxa"/>
            <w:vAlign w:val="center"/>
          </w:tcPr>
          <w:p w14:paraId="1726BD58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10</w:t>
            </w:r>
          </w:p>
        </w:tc>
      </w:tr>
      <w:tr w:rsidR="00F8376D" w14:paraId="4394CEF0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FCE5CD"/>
            <w:vAlign w:val="center"/>
          </w:tcPr>
          <w:p w14:paraId="17FC42A1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3. Презентация решения</w:t>
            </w:r>
          </w:p>
        </w:tc>
      </w:tr>
      <w:tr w:rsidR="00F8376D" w14:paraId="6439C62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D3ACB9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Презентация решения</w:t>
            </w:r>
          </w:p>
        </w:tc>
        <w:tc>
          <w:tcPr>
            <w:tcW w:w="6236" w:type="dxa"/>
            <w:vAlign w:val="center"/>
          </w:tcPr>
          <w:p w14:paraId="5995FF63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Оцениваются ясность объяснения подхода, демонстрация работающего сервиса и содержательность ответов на вопросы о проектных решениях.</w:t>
            </w:r>
          </w:p>
        </w:tc>
        <w:tc>
          <w:tcPr>
            <w:tcW w:w="1247" w:type="dxa"/>
            <w:vAlign w:val="center"/>
          </w:tcPr>
          <w:p w14:paraId="6A734C0F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5</w:t>
            </w:r>
          </w:p>
        </w:tc>
      </w:tr>
    </w:tbl>
    <w:p w14:paraId="17736C76" w14:textId="77777777" w:rsidR="00F8376D" w:rsidRDefault="00F8376D">
      <w:pPr>
        <w:spacing w:after="0" w:line="60" w:lineRule="exact"/>
      </w:pPr>
    </w:p>
    <w:p w14:paraId="42149760" w14:textId="77777777" w:rsidR="00F8376D" w:rsidRDefault="00000000">
      <w:r>
        <w:br w:type="page"/>
      </w:r>
    </w:p>
    <w:p w14:paraId="2B0013AB" w14:textId="77777777" w:rsidR="00F8376D" w:rsidRDefault="00000000">
      <w:pPr>
        <w:pStyle w:val="1"/>
      </w:pPr>
      <w:r>
        <w:lastRenderedPageBreak/>
        <w:t>Технические эксперты — до 50 баллов</w:t>
      </w:r>
    </w:p>
    <w:p w14:paraId="3CFF6023" w14:textId="77777777" w:rsidR="00F8376D" w:rsidRDefault="00000000">
      <w:r>
        <w:t>Оцениваются корректность расчётов, алгоритмы, работа с данными и качество реализации.</w:t>
      </w:r>
    </w:p>
    <w:tbl>
      <w:tblPr>
        <w:tblStyle w:val="aff0"/>
        <w:tblW w:w="0" w:type="auto"/>
        <w:jc w:val="center"/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6236"/>
        <w:gridCol w:w="1247"/>
      </w:tblGrid>
      <w:tr w:rsidR="00F8376D" w14:paraId="0DAC307A" w14:textId="77777777">
        <w:trPr>
          <w:cantSplit/>
          <w:tblHeader/>
          <w:jc w:val="center"/>
        </w:trPr>
        <w:tc>
          <w:tcPr>
            <w:tcW w:w="2041" w:type="dxa"/>
            <w:shd w:val="clear" w:color="auto" w:fill="EFEFEF"/>
            <w:vAlign w:val="center"/>
          </w:tcPr>
          <w:p w14:paraId="2C17F077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Название критерия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2D70BF3A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Описание критерия</w:t>
            </w:r>
          </w:p>
        </w:tc>
        <w:tc>
          <w:tcPr>
            <w:tcW w:w="1247" w:type="dxa"/>
            <w:shd w:val="clear" w:color="auto" w:fill="EFEFEF"/>
            <w:vAlign w:val="center"/>
          </w:tcPr>
          <w:p w14:paraId="5964DE2C" w14:textId="77777777" w:rsidR="00F8376D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Баллы</w:t>
            </w:r>
          </w:p>
        </w:tc>
      </w:tr>
      <w:tr w:rsidR="00F8376D" w14:paraId="3D751E92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C9DAF8"/>
            <w:vAlign w:val="center"/>
          </w:tcPr>
          <w:p w14:paraId="21CC80C7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4. Расчётная модель и маршрутизация</w:t>
            </w:r>
          </w:p>
        </w:tc>
      </w:tr>
      <w:tr w:rsidR="00F8376D" w14:paraId="0746BEA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1229D6E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Корректность расчётов</w:t>
            </w:r>
          </w:p>
        </w:tc>
        <w:tc>
          <w:tcPr>
            <w:tcW w:w="6236" w:type="dxa"/>
            <w:vAlign w:val="center"/>
          </w:tcPr>
          <w:p w14:paraId="37FE6F5C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Оценивается соблюдение правил расчёта координат, видимости, состава активных аппаратов и доступности связей. Показатели покрытия и перерывов должны соответствовать состояниям сети на расчётной сетке.</w:t>
            </w:r>
          </w:p>
        </w:tc>
        <w:tc>
          <w:tcPr>
            <w:tcW w:w="1247" w:type="dxa"/>
            <w:vAlign w:val="center"/>
          </w:tcPr>
          <w:p w14:paraId="3702F390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15</w:t>
            </w:r>
          </w:p>
        </w:tc>
      </w:tr>
      <w:tr w:rsidR="00F8376D" w14:paraId="2E1BBC6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00D7A6A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Алгоритмы маршрутизации</w:t>
            </w:r>
          </w:p>
        </w:tc>
        <w:tc>
          <w:tcPr>
            <w:tcW w:w="6236" w:type="dxa"/>
            <w:vAlign w:val="center"/>
          </w:tcPr>
          <w:p w14:paraId="601E1B9C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Оцениваются поиск и обновление допустимых маршрутов, обработка разрывов и отказов, обоснованность выбранного подхода. Команда объясняет алгоритм и показывает его работу при изменении сети.</w:t>
            </w:r>
          </w:p>
        </w:tc>
        <w:tc>
          <w:tcPr>
            <w:tcW w:w="1247" w:type="dxa"/>
            <w:vAlign w:val="center"/>
          </w:tcPr>
          <w:p w14:paraId="7E16071C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15</w:t>
            </w:r>
          </w:p>
        </w:tc>
      </w:tr>
      <w:tr w:rsidR="00F8376D" w14:paraId="157E7C6A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C9DAF8"/>
            <w:vAlign w:val="center"/>
          </w:tcPr>
          <w:p w14:paraId="79177F60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5. Работа с данными</w:t>
            </w:r>
          </w:p>
        </w:tc>
      </w:tr>
      <w:tr w:rsidR="00F8376D" w14:paraId="709DEAE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077AFC6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Работа с входными данными</w:t>
            </w:r>
          </w:p>
        </w:tc>
        <w:tc>
          <w:tcPr>
            <w:tcW w:w="6236" w:type="dxa"/>
            <w:vAlign w:val="center"/>
          </w:tcPr>
          <w:p w14:paraId="7A9EFA6B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Оценивается загрузка дополнительных сценариев, применение изменений из интерфейса и корректный повторный расчёт. Проверяются сохранение параметров, выгрузка результата и понятные сообщения об ошибках.</w:t>
            </w:r>
          </w:p>
        </w:tc>
        <w:tc>
          <w:tcPr>
            <w:tcW w:w="1247" w:type="dxa"/>
            <w:vAlign w:val="center"/>
          </w:tcPr>
          <w:p w14:paraId="3FF9E39E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10</w:t>
            </w:r>
          </w:p>
        </w:tc>
      </w:tr>
      <w:tr w:rsidR="00F8376D" w14:paraId="24207BFB" w14:textId="77777777">
        <w:trPr>
          <w:cantSplit/>
          <w:jc w:val="center"/>
        </w:trPr>
        <w:tc>
          <w:tcPr>
            <w:tcW w:w="9524" w:type="dxa"/>
            <w:gridSpan w:val="3"/>
            <w:shd w:val="clear" w:color="auto" w:fill="C9DAF8"/>
            <w:vAlign w:val="center"/>
          </w:tcPr>
          <w:p w14:paraId="75499D32" w14:textId="77777777" w:rsidR="00F8376D" w:rsidRDefault="00000000">
            <w:pPr>
              <w:keepNext/>
              <w:keepLines/>
              <w:spacing w:before="20" w:after="20"/>
              <w:jc w:val="center"/>
            </w:pPr>
            <w:r>
              <w:rPr>
                <w:b/>
                <w:sz w:val="21"/>
              </w:rPr>
              <w:t>Раздел 6. Качество кода и документация</w:t>
            </w:r>
          </w:p>
        </w:tc>
      </w:tr>
      <w:tr w:rsidR="00F8376D" w14:paraId="33E6148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D41068E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Качество кода</w:t>
            </w:r>
          </w:p>
        </w:tc>
        <w:tc>
          <w:tcPr>
            <w:tcW w:w="6236" w:type="dxa"/>
            <w:vAlign w:val="center"/>
          </w:tcPr>
          <w:p w14:paraId="12A53C2C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Оцениваются структура проекта, читаемость кода, разделение расчётной логики и интерфейса, возможность проверить ключевые функции.</w:t>
            </w:r>
          </w:p>
        </w:tc>
        <w:tc>
          <w:tcPr>
            <w:tcW w:w="1247" w:type="dxa"/>
            <w:vAlign w:val="center"/>
          </w:tcPr>
          <w:p w14:paraId="68021B81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5</w:t>
            </w:r>
          </w:p>
        </w:tc>
      </w:tr>
      <w:tr w:rsidR="00F8376D" w14:paraId="5E4C723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CAF6C9F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Документация и запуск</w:t>
            </w:r>
          </w:p>
        </w:tc>
        <w:tc>
          <w:tcPr>
            <w:tcW w:w="6236" w:type="dxa"/>
            <w:vAlign w:val="center"/>
          </w:tcPr>
          <w:p w14:paraId="10E6CBDB" w14:textId="77777777" w:rsidR="00F8376D" w:rsidRDefault="00000000">
            <w:pPr>
              <w:spacing w:after="0" w:line="252" w:lineRule="auto"/>
            </w:pPr>
            <w:r>
              <w:rPr>
                <w:sz w:val="21"/>
              </w:rPr>
              <w:t>Оцениваются полнота исходного кода, инструкция запуска и доступность компонентов решения. По документации можно развернуть сервис и повторить демонстрационный сценарий.</w:t>
            </w:r>
          </w:p>
        </w:tc>
        <w:tc>
          <w:tcPr>
            <w:tcW w:w="1247" w:type="dxa"/>
            <w:vAlign w:val="center"/>
          </w:tcPr>
          <w:p w14:paraId="01275DF7" w14:textId="77777777" w:rsidR="00F8376D" w:rsidRDefault="00000000">
            <w:pPr>
              <w:spacing w:after="0" w:line="252" w:lineRule="auto"/>
              <w:jc w:val="center"/>
            </w:pPr>
            <w:r>
              <w:rPr>
                <w:sz w:val="21"/>
              </w:rPr>
              <w:t>от 0 до 5</w:t>
            </w:r>
          </w:p>
        </w:tc>
      </w:tr>
    </w:tbl>
    <w:p w14:paraId="35C5BB1D" w14:textId="77777777" w:rsidR="00F8376D" w:rsidRDefault="00F8376D">
      <w:pPr>
        <w:spacing w:after="0" w:line="60" w:lineRule="exact"/>
      </w:pPr>
    </w:p>
    <w:p w14:paraId="7DA80965" w14:textId="77777777" w:rsidR="00F8376D" w:rsidRDefault="00000000">
      <w:pPr>
        <w:pStyle w:val="21"/>
      </w:pPr>
      <w:r>
        <w:t>Порядок выставления оценок</w:t>
      </w:r>
    </w:p>
    <w:p w14:paraId="327D5AEF" w14:textId="493FB141" w:rsidR="00F8376D" w:rsidRDefault="00000000">
      <w:r>
        <w:t>Максимальный балл соответствует полному и устойчивому выполнению описанного критерия; частичный — реализованной части с указанными замечаниями; ноль — отсутствию результата по критерию.</w:t>
      </w:r>
    </w:p>
    <w:sectPr w:rsidR="00F8376D" w:rsidSect="00034616">
      <w:footerReference w:type="default" r:id="rId8"/>
      <w:pgSz w:w="11906" w:h="16838"/>
      <w:pgMar w:top="1077" w:right="1191" w:bottom="1077" w:left="1191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6381" w14:textId="77777777" w:rsidR="006C213B" w:rsidRDefault="006C213B">
      <w:pPr>
        <w:spacing w:after="0" w:line="240" w:lineRule="auto"/>
      </w:pPr>
      <w:r>
        <w:separator/>
      </w:r>
    </w:p>
  </w:endnote>
  <w:endnote w:type="continuationSeparator" w:id="0">
    <w:p w14:paraId="29B04FE9" w14:textId="77777777" w:rsidR="006C213B" w:rsidRDefault="006C2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B9BA" w14:textId="77777777" w:rsidR="00F8376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74D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F894" w14:textId="77777777" w:rsidR="006C213B" w:rsidRDefault="006C213B">
      <w:pPr>
        <w:spacing w:after="0" w:line="240" w:lineRule="auto"/>
      </w:pPr>
      <w:r>
        <w:separator/>
      </w:r>
    </w:p>
  </w:footnote>
  <w:footnote w:type="continuationSeparator" w:id="0">
    <w:p w14:paraId="357C80A4" w14:textId="77777777" w:rsidR="006C213B" w:rsidRDefault="006C2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141749">
    <w:abstractNumId w:val="8"/>
  </w:num>
  <w:num w:numId="2" w16cid:durableId="1707876647">
    <w:abstractNumId w:val="6"/>
  </w:num>
  <w:num w:numId="3" w16cid:durableId="650644047">
    <w:abstractNumId w:val="5"/>
  </w:num>
  <w:num w:numId="4" w16cid:durableId="351998036">
    <w:abstractNumId w:val="4"/>
  </w:num>
  <w:num w:numId="5" w16cid:durableId="20858663">
    <w:abstractNumId w:val="7"/>
  </w:num>
  <w:num w:numId="6" w16cid:durableId="954604135">
    <w:abstractNumId w:val="3"/>
  </w:num>
  <w:num w:numId="7" w16cid:durableId="1588462902">
    <w:abstractNumId w:val="2"/>
  </w:num>
  <w:num w:numId="8" w16cid:durableId="1957760369">
    <w:abstractNumId w:val="1"/>
  </w:num>
  <w:num w:numId="9" w16cid:durableId="206583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D2A"/>
    <w:rsid w:val="0029639D"/>
    <w:rsid w:val="00326F90"/>
    <w:rsid w:val="006C213B"/>
    <w:rsid w:val="00AA1D8D"/>
    <w:rsid w:val="00B47730"/>
    <w:rsid w:val="00CB0664"/>
    <w:rsid w:val="00D80667"/>
    <w:rsid w:val="00F83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B40B0"/>
  <w14:defaultImageDpi w14:val="300"/>
  <w15:docId w15:val="{555F871B-C710-4784-9C45-2D305AD0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160" w:line="240" w:lineRule="auto"/>
      <w:contextualSpacing/>
    </w:pPr>
    <w:rPr>
      <w:rFonts w:asciiTheme="majorHAnsi" w:eastAsiaTheme="majorEastAsia" w:hAnsiTheme="majorHAnsi" w:cstheme="majorBidi"/>
      <w:b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spacing w:after="160"/>
    </w:pPr>
    <w:rPr>
      <w:rFonts w:asciiTheme="majorHAnsi" w:eastAsiaTheme="majorEastAsia" w:hAnsiTheme="majorHAnsi" w:cstheme="majorBidi"/>
      <w:b/>
      <w:iCs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60" w:after="140" w:line="240" w:lineRule="auto"/>
    </w:pPr>
    <w:rPr>
      <w:rFonts w:ascii="DejaVu Sans Mono" w:eastAsia="DejaVu Sans Mono" w:hAnsi="DejaVu Sans Mono"/>
      <w:color w:val="000000"/>
      <w:sz w:val="18"/>
      <w:lang w:val="ru-RU"/>
    </w:rPr>
  </w:style>
  <w:style w:type="paragraph" w:customStyle="1" w:styleId="Formula">
    <w:name w:val="Formula"/>
    <w:pPr>
      <w:keepLines/>
      <w:spacing w:before="60" w:after="140" w:line="254" w:lineRule="auto"/>
    </w:pPr>
    <w:rPr>
      <w:rFonts w:ascii="DejaVu Sans" w:eastAsia="DejaVu Sans" w:hAnsi="DejaVu Sans"/>
      <w:color w:val="000000"/>
      <w:sz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оценки — Проектирование устойчивой спутниковой группировки</dc:title>
  <dc:subject/>
  <dc:creator/>
  <cp:keywords/>
  <dc:description/>
  <cp:lastModifiedBy>Dmitry Semenov</cp:lastModifiedBy>
  <cp:revision>2</cp:revision>
  <dcterms:created xsi:type="dcterms:W3CDTF">2013-12-23T23:15:00Z</dcterms:created>
  <dcterms:modified xsi:type="dcterms:W3CDTF">2026-09-10T07:56:00Z</dcterms:modified>
  <cp:category/>
</cp:coreProperties>
</file>