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Описание данных</w:t>
      </w:r>
    </w:p>
    <w:p>
      <w:pPr>
        <w:pStyle w:val="Subtitle"/>
      </w:pPr>
      <w:r>
        <w:t>Проектирование устойчивой спутниковой группировки</w:t>
      </w:r>
    </w:p>
    <w:p>
      <w:pPr>
        <w:pStyle w:val="Heading1"/>
      </w:pPr>
      <w:r>
        <w:t>Состав данных и начало работы</w:t>
      </w:r>
    </w:p>
    <w:p>
      <w:r>
        <w:t>Один файл JSON содержит один проект группировки и условия его расчёта. Для начала работы используйте 01_full_constellation.json. Сервис загружает файл, отображает параметры и рассчитывает состояние сети на заданном периоде. Изменение настроек в интерфейсе создаёт новый вариант проекта.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bottom w:w="75" w:type="dxa"/>
          <w:left w:w="90" w:type="dxa"/>
          <w:right w:w="90" w:type="dxa"/>
        </w:tblCellMar>
      </w:tblPr>
      <w:tblGrid>
        <w:gridCol w:w="3402"/>
        <w:gridCol w:w="6123"/>
      </w:tblGrid>
      <w:tr>
        <w:trPr>
          <w:cantSplit/>
          <w:tblHeader/>
        </w:trPr>
        <w:tc>
          <w:tcPr>
            <w:tcW w:type="dxa" w:w="3402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Файл</w:t>
            </w:r>
          </w:p>
        </w:tc>
        <w:tc>
          <w:tcPr>
            <w:tcW w:type="dxa" w:w="6123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01_full_constellation.json</w:t>
            </w:r>
          </w:p>
        </w:tc>
        <w:tc>
          <w:tcPr>
            <w:tcW w:type="dxa" w:w="6123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48 аппаратов, три плоскости, три наземных пункта и один шлюз. Расчёт на сутки.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02_first_launch.json</w:t>
            </w:r>
          </w:p>
        </w:tc>
        <w:tc>
          <w:tcPr>
            <w:tcW w:type="dxa" w:w="6123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Тот же проект на первой очереди запуска: активны 16 аппаратов.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03_satellite_outages.json</w:t>
            </w:r>
          </w:p>
        </w:tc>
        <w:tc>
          <w:tcPr>
            <w:tcW w:type="dxa" w:w="6123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Десять аппаратов недоступны с шестого часа до конца расчёта.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04_link_range.json</w:t>
            </w:r>
          </w:p>
        </w:tc>
        <w:tc>
          <w:tcPr>
            <w:tcW w:type="dxa" w:w="6123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Полная группировка при дальности межспутниковой связи 2000 км.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Формат файлов — JSON, кодировка UTF-8. Время отсчитывается от начала расчёта в секундах. Идентификаторы связывают объекты внутри файла. Сценарий может содержать другие названия и идентификаторы при сохранении структуры данных.</w:t>
      </w:r>
    </w:p>
    <w:p>
      <w:pPr>
        <w:pStyle w:val="Heading1"/>
      </w:pPr>
      <w:r>
        <w:t>Структура сценария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Раздел</w:t>
            </w:r>
          </w:p>
        </w:tc>
        <w:tc>
          <w:tcPr>
            <w:tcW w:type="dxa" w:w="6690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schema_version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Версия структуры: cosmo-A-1.0.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meta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Поля id и title: идентификатор и название сценария.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environment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Орбита, параметры связи и сетка времени.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design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Плоскости, спутники и выбранная очередь запуска.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ground_sites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Наземные пункты и шлюзы.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failures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Периоды недоступности спутников. Пустой список означает отсутствие заданных отказов.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gateway_outages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Периоды недоступности наземных шлюзов.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Параметры расчёта: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bottom w:w="75" w:type="dxa"/>
          <w:left w:w="90" w:type="dxa"/>
          <w:right w:w="90" w:type="dxa"/>
        </w:tblCellMar>
      </w:tblPr>
      <w:tblGrid>
        <w:gridCol w:w="2835"/>
        <w:gridCol w:w="6690"/>
      </w:tblGrid>
      <w:tr>
        <w:trPr>
          <w:cantSplit/>
          <w:tblHeader/>
        </w:trPr>
        <w:tc>
          <w:tcPr>
            <w:tcW w:type="dxa" w:w="2835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Поле</w:t>
            </w:r>
          </w:p>
        </w:tc>
        <w:tc>
          <w:tcPr>
            <w:tcW w:type="dxa" w:w="6690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Значение и назначение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altitude_km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Высота круговой орбиты в километрах; в наборе 550.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inclination_deg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Наклонение орбиты в градусах; в наборе 87.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earth_angle0_deg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Угол поворота Земли относительно координатных осей в начале расчёта, градусы.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horizon_s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Продолжительность расчёта, секунды; в наборе 86 400.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step_s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Шаг расчёта, секунды; в наборе 120.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min_elevation_deg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Минимальный угол возвышения для связи с наземным пунктом, градусы; в наборе 10.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isl_range_km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Предельная дальность межспутниковой линии, километры. Значение берётся из выбранного файла: 3000 или 2000.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target_availability</w:t>
            </w:r>
          </w:p>
        </w:tc>
        <w:tc>
          <w:tcPr>
            <w:tcW w:type="dxa" w:w="6690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Целевой уровень доступности в долях единицы; 0,9 соответствует 90%.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Расчёт выполняется в моменты 0, 120, 240, …, 86 280 секунд. Каждый отсчёт представляет интервал длиной step_s; правый конец расчётного периода в список отсчётов не включается. Для сопоставления вариантов используется одинаковая сетка времени.</w:t>
      </w:r>
    </w:p>
    <w:p>
      <w:pPr>
        <w:pStyle w:val="Heading2"/>
      </w:pPr>
      <w:r>
        <w:t>Конфигурация: design</w:t>
      </w:r>
    </w:p>
    <w:p>
      <w:r>
        <w:t>launch_stage — номер выбранной очереди запуска: 1, 2 или 3. В расчёте участвуют спутники, у которых launch_batch не превышает launch_stage, с учётом периодов их недоступности.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5" w:type="dxa"/>
          <w:bottom w:w="75" w:type="dxa"/>
          <w:left w:w="90" w:type="dxa"/>
          <w:right w:w="90" w:type="dxa"/>
        </w:tblCellMar>
      </w:tblPr>
      <w:tblGrid>
        <w:gridCol w:w="2948"/>
        <w:gridCol w:w="6576"/>
      </w:tblGrid>
      <w:tr>
        <w:trPr>
          <w:cantSplit/>
          <w:tblHeader/>
        </w:trPr>
        <w:tc>
          <w:tcPr>
            <w:tcW w:type="dxa" w:w="2948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Объект и поле</w:t>
            </w:r>
          </w:p>
        </w:tc>
        <w:tc>
          <w:tcPr>
            <w:tcW w:type="dxa" w:w="6576"/>
            <w:vAlign w:val="center"/>
            <w:shd w:fill="EFEFEF"/>
          </w:tcPr>
          <w:p>
            <w:pPr>
              <w:keepNext/>
              <w:widowControl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planes[].id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Уникальный идентификатор орбитальной плоскости.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planes[].raan_deg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Ориентация плоскости: прямое восхождение восходящего узла, градусы от 0 включительно до 360 исключительно.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planes[].phase_deg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Общий сдвиг положения аппаратов вдоль орбиты этой плоскости, градусы в том же диапазоне.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satellites[].id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Уникальный идентификатор спутника.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satellites[].plane_id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Идентификатор плоскости из planes.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satellites[].slot_deg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Начальное угловое положение спутника внутри плоскости, градусы. К нему прибавляется phase_deg.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satellites[].launch_batch</w:t>
            </w:r>
          </w:p>
        </w:tc>
        <w:tc>
          <w:tcPr>
            <w:tcW w:type="dxa" w:w="6576"/>
            <w:vAlign w:val="center"/>
          </w:tcPr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Arial" w:hAnsi="Arial"/>
                <w:b w:val="0"/>
                <w:sz w:val="20"/>
              </w:rPr>
              <w:t>Очередь запуска спутника: 1, 2 или 3.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В полной конфигурации заданы три плоскости по 16 аппаратов. RAAN определяет ориентацию плоскости, phase_deg — положение спутников вдоль неё. При сравнении проектов пользователь меняет эти параметры и выбранную очередь запуска; состав файлов позволяет сохранять весь вариант целиком.</w:t>
      </w:r>
    </w:p>
    <w:p>
      <w:pPr>
        <w:pStyle w:val="Heading2"/>
      </w:pPr>
      <w:r>
        <w:t>Наземные пункты и периоды недоступности</w:t>
      </w:r>
    </w:p>
    <w:p>
      <w:r>
        <w:t>Каждый элемент ground_sites содержит id, name, role, lat_deg и lon_deg. role принимает значение client для обслуживаемого пункта или gateway для шлюза. Широта задаётся в диапазоне от −90 до 90°, долгота — от −180 до 180°. Идентификаторы наземных пунктов и спутников должны различаться.</w:t>
      </w:r>
    </w:p>
    <w:p>
      <w:r>
        <w:t>Событие failures задаётся полями satellite_id, start_s, end_s. Для gateway_outages используются gateway_id, start_s, end_s. Начало интервала включается, конец исключается. Пересекающиеся интервалы объединяются по смыслу недоступности. Например, период [21 600; 43 200) действует с шестого до двенадцатого часа.</w:t>
      </w:r>
    </w:p>
    <w:p>
      <w:pPr>
        <w:pStyle w:val="Heading1"/>
      </w:pPr>
      <w:r>
        <w:t>Правила расчёта</w:t>
      </w:r>
    </w:p>
    <w:p>
      <w:r>
        <w:t>Модель использует круговые орбиты и сферическую Землю. Положение спутников рассчитывается непрерывно, состояние связей проверяется на заданной сетке времени. Для наземной линии применяется единый порог угла возвышения. Межспутниковый контакт определяется дальностью и отсутствием пересечения линии связи с Землёй.</w:t>
      </w:r>
    </w:p>
    <w:p>
      <w:pPr>
        <w:pStyle w:val="Heading2"/>
      </w:pPr>
      <w:r>
        <w:t>Координаты спутников</w:t>
      </w:r>
    </w:p>
    <w:p>
      <w:r>
        <w:t>Константы: радиус Земли R = 6371 км; гравитационный параметр μ = 398600,435507 км³/с²; период вращения Земли T = 86164,09054 с. Для высоты h радиус орбиты r = R + h, угловая скорость n = √(μ/r³). Перед расчётом углы переводятся из градусов в радианы.</w:t>
      </w:r>
    </w:p>
    <w:p>
      <w:r>
        <w:t>Пусть Ω — raan_deg плоскости, i — inclination_deg, u(t) = slot_deg + phase_deg + n·t, где оба угла в сумме переведены в радианы. Координаты спутника в инерциальной системе:</w:t>
      </w:r>
    </w:p>
    <w:p>
      <w:pPr>
        <w:pStyle w:val="Formula"/>
      </w:pPr>
      <w:r>
        <w:t>x = r·(cos Ω·cos u − sin Ω·sin u·cos i)</w:t>
        <w:br/>
        <w:t>y = r·(sin Ω·cos u + cos Ω·sin u·cos i)</w:t>
        <w:br/>
        <w:t>z = r·sin u·sin i</w:t>
      </w:r>
    </w:p>
    <w:p>
      <w:r>
        <w:t>Для перехода к системе координат, связанной с Землёй, используется θ = earth_angle0_deg·π/180 + 2πt/T:</w:t>
      </w:r>
    </w:p>
    <w:p>
      <w:pPr>
        <w:pStyle w:val="Formula"/>
      </w:pPr>
      <w:r>
        <w:t>xₑ = cos θ·x + sin θ·y</w:t>
        <w:br/>
        <w:t>yₑ = −sin θ·x + cos θ·y</w:t>
        <w:br/>
        <w:t>zₑ = z</w:t>
      </w:r>
    </w:p>
    <w:p>
      <w:pPr>
        <w:pStyle w:val="Heading2"/>
      </w:pPr>
      <w:r>
        <w:t>Наземные и межспутниковые контакты</w:t>
      </w:r>
    </w:p>
    <w:p>
      <w:r>
        <w:t>Координаты наземного пункта широты φ и долготы λ: g = R·(cos φ·cos λ, cos φ·sin λ, sin φ). Для спутника с земными координатами s угол возвышения равен arcsin(((s − g)·g)/(‖s − g‖·R)). Результат arcsin переводится в градусы. Наземный контакт доступен при угле не меньше min_elevation_deg и активном спутнике. Для линии со шлюзом дополнительно учитывается его доступность.</w:t>
      </w:r>
    </w:p>
    <w:p>
      <w:r>
        <w:t>Для двух активных спутников с координатами a и b контакт доступен при ‖b − a‖ &lt; isl_range_km и расстоянии от центра Земли до отрезка [a; b] больше R. Для проверки отрезка положите d = b − a, q = clip(−a·d/(d·d), 0, 1); ближайшая точка равна a + qd. При совпадении координат используется расстояние ‖a‖.</w:t>
      </w:r>
    </w:p>
    <w:p>
      <w:r>
        <w:t>Контакты двунаправленные. Маршрут начинается в выбранном client, проходит через один или несколько активных спутников и заканчивается в доступном gateway. Промежуточные узлы маршрута — спутники. Недоступный аппарат сохраняет расчётное положение и исключается из состава связей на период отказа.</w:t>
      </w:r>
    </w:p>
    <w:p>
      <w:r>
        <w:t>Каждый маршрут рассматривается для текущего отсчёта времени. Основные показатели характеризуют геометрическую доступность пути. Расчёт пропускной способности, очередей передачи и задержки ожидания контакта команда может добавить отдельным функционалом.</w:t>
      </w:r>
    </w:p>
    <w:p>
      <w:pPr>
        <w:pStyle w:val="Heading1"/>
      </w:pPr>
      <w:r>
        <w:t>Показатели результата</w:t>
      </w:r>
    </w:p>
    <w:p>
      <w:r>
        <w:t>Для каждого наземного пункта необходимо рассчитывать долю времени видимости хотя бы одного активного спутника, долю времени наличия пути до шлюза и максимальную длительность перерыва. Доли равны числу соответствующих отсчётов, делённому на общее число отсчётов. В интерфейсе они отображаются в процентах.</w:t>
      </w:r>
    </w:p>
    <w:p>
      <w:r>
        <w:t>Максимальный перерыв — самая длинная последовательность отсчётов без пути, умноженная на step_s. Перерывы в начале и конце периода учитываются отдельно. Число переходов маршрута равно числу его рёбер и включает две наземные линии. При отсутствии пути значение числа переходов отсутствует.</w:t>
      </w:r>
    </w:p>
    <w:p>
      <w:r>
        <w:t>Показатели выводятся по каждому пункту. Сравнение показывает одинаковый период и принятые изменения конфигурации. Параметры высоты, дальности и угла возвышения сохраняются для сопоставления проектных вариантов; исследование других значений оформляется отдельным запуском с отображением новых условий.</w:t>
      </w:r>
    </w:p>
    <w:p>
      <w:pPr>
        <w:pStyle w:val="Heading1"/>
      </w:pPr>
      <w:r>
        <w:t>Работа с расчётным модулем</w:t>
      </w:r>
    </w:p>
    <w:p>
      <w:r>
        <w:t>geometry.py содержит функции для расчёта положения аппаратов и контактов. Для его использования нужны Python 3.10 или новее и NumPy. Установка зависимости: python -m pip install numpy. Подключение модуля в собственный проект выполняется обычным импортом.</w:t>
      </w:r>
    </w:p>
    <w:p>
      <w:pPr>
        <w:pStyle w:val="CodeBlock"/>
      </w:pPr>
      <w:r>
        <w:t>python "Расчетный модуль/geometry.py" "Данные/01_full_constellation.json" 0</w:t>
      </w:r>
    </w:p>
    <w:p>
      <w:r>
        <w:t>Команда выводит состояние сети в нулевой момент. В коде доступны load(path) для чтения файла, validate(scenario) для проверки входа и snapshot(scenario, t_s) для получения состояния. Результат snapshot содержит satellites с координатами x_km, y_km, z_km и флагом active; edges со связями [id_1, id_2, distance_km]; elevation_deg с углами возвышения по наземным пунктам.</w:t>
      </w:r>
    </w:p>
    <w:p>
      <w:r>
        <w:t>Формулы этого документа позволяют реализовать те же расчёты на любом языке. Алгоритмы маршрутизации, подбор конфигурации, сравнение проектов и пользовательский интерфейс входят в решение команды.</w:t>
      </w:r>
    </w:p>
    <w:p>
      <w:pPr>
        <w:pStyle w:val="Heading1"/>
      </w:pPr>
      <w:r>
        <w:t>Сохранение и выгрузка</w:t>
      </w:r>
    </w:p>
    <w:p>
      <w:r>
        <w:t>Выгружаемый результат содержит schema_version со значением cosmo-A-result-1.0, effective_scenario с полным использованным сценарием и routes со списком маршрутов. Для каждой пары «момент расчёта — наземный пункт» должна присутствовать одна запись с полями t_s, client_id и path.</w:t>
      </w:r>
    </w:p>
    <w:p>
      <w:pPr>
        <w:pStyle w:val="CodeBlock"/>
      </w:pPr>
      <w:r>
        <w:t>{"t_s": 120, "client_id": "C65", "path": []}</w:t>
      </w:r>
    </w:p>
    <w:p>
      <w:r>
        <w:t>path содержит последовательность идентификаторов от наземного пункта до шлюза; пустой список означает отсутствие построенного маршрута. К результату можно добавить сводные показатели и пояснения. Сохранённые настройки должны включать изменения, выполненные пользователем перед запуском.</w:t>
      </w:r>
    </w:p>
    <w:p>
      <w:pPr>
        <w:pStyle w:val="Heading1"/>
      </w:pPr>
      <w:r>
        <w:t>Проверка входа</w:t>
      </w:r>
    </w:p>
    <w:p>
      <w:r>
        <w:t>Числовые значения должны быть конечными, идентификаторы — уникальными в соответствующих списках. Ссылки на плоскости и аппараты должны разрешаться. Продолжительность и шаг задаются целыми положительными секундами, продолжительность кратна шагу. Все интервалы недоступности расположены внутри периода расчёта и имеют положительную длительность. При ошибке сервис указывает проблемное поле или объект.</w:t>
      </w:r>
    </w:p>
    <w:sectPr w:rsidR="00FC693F" w:rsidRPr="0006063C" w:rsidSect="00034616">
      <w:footerReference w:type="default" r:id="rId9"/>
      <w:pgSz w:w="11906" w:h="16838"/>
      <w:pgMar w:top="1077" w:right="1191" w:bottom="1077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eastAsia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5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kern w:val="28"/>
      <w:sz w:val="32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spacing w:before="0" w:after="160"/>
    </w:pPr>
    <w:rPr>
      <w:rFonts w:asciiTheme="majorHAnsi" w:eastAsiaTheme="majorEastAsia" w:hAnsiTheme="majorHAnsi" w:cstheme="majorBidi" w:ascii="Arial" w:hAnsi="Arial" w:eastAsia="Arial"/>
      <w:b/>
      <w:i w:val="0"/>
      <w:iCs/>
      <w:color w:val="000000"/>
      <w:sz w:val="26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ru-RU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ru-RU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ru-RU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ru-RU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ru-RU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contextualSpacing/>
    </w:pPr>
    <w:rPr>
      <w:rFonts w:ascii="Arial" w:hAnsi="Arial" w:eastAsia="Arial"/>
      <w:color w:val="000000"/>
      <w:sz w:val="22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ru-RU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ru-RU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contextualSpacing/>
    </w:pPr>
    <w:rPr>
      <w:rFonts w:ascii="Arial" w:hAnsi="Arial" w:eastAsia="Arial"/>
      <w:color w:val="000000"/>
      <w:sz w:val="22"/>
      <w:lang w:val="ru-RU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ru-RU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ru-RU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ru-RU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ru-RU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ru-RU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ru-RU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ru-RU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60" w:after="140" w:line="240" w:lineRule="auto"/>
    </w:pPr>
    <w:rPr>
      <w:rFonts w:ascii="DejaVu Sans Mono" w:hAnsi="DejaVu Sans Mono" w:eastAsia="DejaVu Sans Mono"/>
      <w:color w:val="000000"/>
      <w:sz w:val="18"/>
      <w:lang w:val="ru-RU"/>
    </w:rPr>
  </w:style>
  <w:style w:type="paragraph" w:customStyle="1" w:styleId="Formula">
    <w:name w:val="Formula"/>
    <w:pPr>
      <w:keepLines/>
      <w:spacing w:before="60" w:after="140" w:line="254" w:lineRule="auto"/>
    </w:pPr>
    <w:rPr>
      <w:rFonts w:ascii="DejaVu Sans" w:hAnsi="DejaVu Sans" w:eastAsia="DejaVu Sans"/>
      <w:color w:val="000000"/>
      <w:sz w:val="20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данных — Проектирование устойчивой спутниковой группировки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