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Постановка задачи</w:t>
      </w:r>
    </w:p>
    <w:p>
      <w:pPr>
        <w:pStyle w:val="Subtitle"/>
      </w:pPr>
      <w:r>
        <w:t>Проектирование устойчивой спутниковой группировки</w:t>
      </w:r>
    </w:p>
    <w:p>
      <w:pPr>
        <w:spacing w:after="180"/>
      </w:pPr>
      <w:r>
        <w:rPr>
          <w:sz w:val="21"/>
        </w:rPr>
        <w:t>Нижний Новгород | 11–13 сентября 2026 года</w:t>
        <w:br/>
        <w:t>Постановщик: ИНТЦ «АКИД»</w:t>
        <w:br/>
        <w:t>Представитель постановщика: Андрей Цветков</w:t>
      </w:r>
    </w:p>
    <w:p>
      <w:pPr>
        <w:pStyle w:val="Heading1"/>
      </w:pPr>
      <w:r>
        <w:t>Краткое описание задачи</w:t>
      </w:r>
    </w:p>
    <w:p>
      <w:r>
        <w:t>Участникам необходимо разработать веб-сервис для проектирования спутниковой группировки и оценки доступности связи в северных районах. Пользователь загружает параметры группировки, выбирает этап развёртывания, изменяет конфигурацию и проверяет работу сети при отказах аппаратов. Сервис рассчитывает покрытие наземных пунктов, строит маршруты передачи данных и позволяет сравнить результаты нескольких вариантов.</w:t>
      </w:r>
    </w:p>
    <w:p>
      <w:pPr>
        <w:pStyle w:val="Heading1"/>
      </w:pPr>
      <w:r>
        <w:t>Полное описание задачи</w:t>
      </w:r>
    </w:p>
    <w:p>
      <w:r>
        <w:t>Планируется развёртывание группировки из 48 спутников на орбитах высотой 550 км. Запуск выполняется в три очереди по 16 аппаратов с интервалом в три месяца. Группировка должна обеспечивать связь между северными наземными пунктами и шлюзом выхода в наземную сеть. В течение полёта меняются взаимное расположение спутников и доступность наземных пунктов; отдельные аппараты могут временно выходить из строя.</w:t>
      </w:r>
    </w:p>
    <w:p>
      <w:pPr>
        <w:pStyle w:val="Heading2"/>
      </w:pPr>
      <w:r>
        <w:t>Проблематика</w:t>
      </w:r>
    </w:p>
    <w:p>
      <w:r>
        <w:t>При выборе конфигурации необходимо учитывать одновременно покрытие территории и возможность доставить данные до наземного шлюза. Наличие спутника над пунктом ещё не обеспечивает сквозной маршрут. Состав доступных связей меняется во времени, а отказ одного аппарата может затронуть сразу несколько направлений передачи. На ранних этапах развёртывания эти ограничения особенно заметны.</w:t>
      </w:r>
    </w:p>
    <w:p>
      <w:r>
        <w:t>Для принятия проектных решений требуется сопоставлять варианты на одном периоде расчёта: определять продолжительность перерывов, находить уязвимые участки сети и оценивать, как изменения конфигурации сказываются на доступности связи.</w:t>
      </w:r>
    </w:p>
    <w:p>
      <w:pPr>
        <w:pStyle w:val="Heading2"/>
      </w:pPr>
      <w:r>
        <w:t>Цель и пользователь решения</w:t>
      </w:r>
    </w:p>
    <w:p>
      <w:r>
        <w:t>Разработать сервис, с помощью которого инженер-проектировщик сможет выбрать конфигурацию группировки, оценить её устойчивость и обосновать рекомендации по развёртыванию. Целевой ориентир — доступность связи не менее 90% расчётного времени для каждого наземного пункта. Результаты должны показывать фактическую достижимость этого уровня в выбранных условиях.</w:t>
      </w:r>
    </w:p>
    <w:p>
      <w:pPr>
        <w:pStyle w:val="Heading1"/>
      </w:pPr>
      <w:r>
        <w:t>Функциональные требования</w:t>
      </w:r>
    </w:p>
    <w:p>
      <w:pPr>
        <w:pStyle w:val="Heading2"/>
      </w:pPr>
      <w:r>
        <w:t>1. Подготовка и изменение конфигурации</w:t>
      </w:r>
    </w:p>
    <w:p>
      <w:r>
        <w:t>Сервис должен загружать сценарий из предоставленного набора и отображать состав группировки, орбитальные плоскости, наземные пункты и параметры расчёта. В интерфейсе необходимо предусмотреть выбор очереди запуска, изменение ориентации плоскостей и фазирования аппаратов, а также добавление периодов недоступности выбранных спутников. Пользователь должен иметь возможность сохранить вариант и вернуться к нему для сравнения.</w:t>
      </w:r>
    </w:p>
    <w:p>
      <w:pPr>
        <w:pStyle w:val="Heading2"/>
      </w:pPr>
      <w:r>
        <w:t>2. Моделирование покрытия и сети</w:t>
      </w:r>
    </w:p>
    <w:p>
      <w:r>
        <w:t>На каждом шаге расчёта сервис определяет положения активных спутников, видимость наземных пунктов и доступные межспутниковые связи. Пользователь может просмотреть состояние сети в выбранный момент времени, определить спутники, обслуживающие наземный пункт, и увидеть периоды отсутствия связи.</w:t>
      </w:r>
    </w:p>
    <w:p>
      <w:pPr>
        <w:pStyle w:val="Heading2"/>
      </w:pPr>
      <w:r>
        <w:t>3. Маршрутизация и реакция на отказы</w:t>
      </w:r>
    </w:p>
    <w:p>
      <w:r>
        <w:t>Для выбранного наземного пункта необходимо построить маршрут до доступного шлюза через спутниковую сеть. Маршрут должен пересчитываться при изменении положения аппаратов и их доступности. Для периода без маршрута сервис показывает причину: отсутствие видимого спутника, разрыв межспутниковой сети, отсутствие контакта со шлюзом или его недоступность. Команда самостоятельно выбирает способ поиска и обновления маршрутов.</w:t>
      </w:r>
    </w:p>
    <w:p>
      <w:pPr>
        <w:pStyle w:val="Heading2"/>
      </w:pPr>
      <w:r>
        <w:t>4. Сравнение вариантов и рекомендации</w:t>
      </w:r>
    </w:p>
    <w:p>
      <w:r>
        <w:t>Сервис должен сопоставлять как минимум два сохранённых варианта по доступности связи, продолжительности перерывов и характеристикам маршрутов. На основе сравнения команда предлагает конфигурацию и объясняет её преимущества для заданных наземных пунктов. В расчётах необходимо рассмотреть полную группировку, промежуточный этап развёртывания и сценарий отказов.</w:t>
      </w:r>
    </w:p>
    <w:p>
      <w:r>
        <w:t>Дополнительно могут быть реализованы автоматический подбор конфигурации, поиск наиболее уязвимых аппаратов, анализ резервных путей, сравнение стратегий маршрутизации и дополнительные средства сценарного анализа.</w:t>
      </w:r>
    </w:p>
    <w:p>
      <w:pPr>
        <w:pStyle w:val="Heading1"/>
      </w:pPr>
      <w:r>
        <w:t>Данные</w:t>
      </w:r>
    </w:p>
    <w:p>
      <w:r>
        <w:t>В комплект входят четыре сценария: полная группировка, первая очередь запуска, недоступность десяти аппаратов и ограничение дальности межспутниковой связи до 2000 км. Каждый файл содержит параметры орбит, состав группировки, координаты наземных пунктов и события недоступности. Продолжительность расчёта — сутки, шаг — 120 секунд.</w:t>
      </w:r>
    </w:p>
    <w:p>
      <w:r>
        <w:t>Структура файлов, расчётные зависимости и формат выгрузки приведены в документе «Описание данных». В папке «Расчетный модуль» находится geometry.py: функции определения координат и доступных контактов. Команда может использовать эти функции или реализовать расчёты по приведённым формулам на выбранном стеке.</w:t>
      </w:r>
    </w:p>
    <w:p>
      <w:pPr>
        <w:pStyle w:val="Heading1"/>
      </w:pPr>
      <w:r>
        <w:t>Требования к интерфейсу</w:t>
      </w:r>
    </w:p>
    <w:p>
      <w:r>
        <w:t>Основной пользовательский сценарий: выбрать или загрузить проект, настроить конфигурацию, запустить расчёт, просмотреть состояние сети и сравнить результаты. Параметры группировки и периоды отказов должны редактироваться в экранных формах.</w:t>
      </w:r>
    </w:p>
    <w:p>
      <w:pPr>
        <w:pStyle w:val="ListBullet"/>
      </w:pPr>
      <w:r>
        <w:t>На схеме или карте отображаются спутники, наземные пункты, доступные связи и выбранный маршрут. Подписи позволяют определить аппарат и его состояние.</w:t>
      </w:r>
    </w:p>
    <w:p>
      <w:pPr>
        <w:pStyle w:val="ListBullet"/>
      </w:pPr>
      <w:r>
        <w:t>Временная шкала позволяет перейти к нужному моменту расчёта. Диаграмма доступности показывает интервалы связи и перерывы по каждому наземному пункту.</w:t>
      </w:r>
    </w:p>
    <w:p>
      <w:pPr>
        <w:pStyle w:val="ListBullet"/>
      </w:pPr>
      <w:r>
        <w:t>В сравнении вариантов видны изменённые параметры, итоговые показатели и различия между результатами.</w:t>
      </w:r>
    </w:p>
    <w:p>
      <w:pPr>
        <w:pStyle w:val="ListBullet"/>
      </w:pPr>
      <w:r>
        <w:t>После загрузки некорректного файла сервис сообщает, какие данные необходимо исправить. Для повторного эксперимента предусмотрены сброс изменений и новый запуск.</w:t>
      </w:r>
    </w:p>
    <w:p>
      <w:pPr>
        <w:pStyle w:val="Heading1"/>
      </w:pPr>
      <w:r>
        <w:t>Базовые сценарии проверки</w:t>
      </w:r>
    </w:p>
    <w:p>
      <w:r>
        <w:t>Полная группировка. Пользователь загружает 01_full_constellation.json, выполняет расчёт, выбирает наземный пункт и просматривает маршрут в нескольких моментах времени.</w:t>
      </w:r>
    </w:p>
    <w:p>
      <w:r>
        <w:t>Этап развёртывания. Пользователь переключает очередь запуска с третьей на первую и сравнивает доступность связи и продолжительность перерывов.</w:t>
      </w:r>
    </w:p>
    <w:p>
      <w:r>
        <w:t>Отказ аппарата. Пользователь выбирает спутник текущего маршрута, задаёт период его недоступности и повторяет расчёт. Сервис показывает изменение маршрута или возникший перерыв.</w:t>
      </w:r>
    </w:p>
    <w:p>
      <w:r>
        <w:t>Изменение проекта. Пользователь меняет ориентацию или фазирование одной плоскости, сохраняет вариант и сопоставляет его с предыдущим результатом. Изменённый сценарий можно выгрузить и повторно загрузить.</w:t>
      </w:r>
    </w:p>
    <w:p>
      <w:pPr>
        <w:pStyle w:val="Heading1"/>
      </w:pPr>
      <w:r>
        <w:t>Ожидаемый результат</w:t>
      </w:r>
    </w:p>
    <w:p>
      <w:r>
        <w:t>Развёрнутый веб-сервис с работающим расчётом, маршрутизацией и сравнением конфигураций. Команда предоставляет ссылку и необходимые доступы, исходный код в репозитории, инструкцию запуска и презентацию решения. Результаты расчёта и использованные параметры должны выгружаться из сервиса.</w:t>
      </w:r>
    </w:p>
    <w:p>
      <w:r>
        <w:t>В презентации необходимо показать выбранный подход, сравнение конфигураций, работу при отказах и рекомендации по проекту. Продолжительность защиты — до пяти минут. Во время проверки жюри сможет загрузить дополнительный сценарий того же формата и изменить параметры через интерфейс.</w:t>
      </w:r>
    </w:p>
    <w:p>
      <w:pPr>
        <w:pStyle w:val="Heading1"/>
      </w:pPr>
      <w:r>
        <w:t>Технические требования и оценка</w:t>
      </w:r>
    </w:p>
    <w:p>
      <w:r>
        <w:t>Технологии frontend, backend и хранения данных команда выбирает самостоятельно. Веб-сервис должен быть доступен жюри через браузер до завершения проверки. Инструкция в репозитории должна содержать команды запуска, зависимости и порядок работы с сервисом.</w:t>
      </w:r>
    </w:p>
    <w:p>
      <w:r>
        <w:t>Оценка проводится по документу «Критерии оценки». Отраслевые эксперты рассматривают проектные решения, анализ устойчивости и удобство сервиса. Технические эксперты проверяют расчёты, маршрутизацию, работу с новыми входными данными и качество реализации.</w:t>
      </w:r>
    </w:p>
    <w:sectPr w:rsidR="00FC693F" w:rsidRPr="0006063C" w:rsidSect="00034616">
      <w:footerReference w:type="default" r:id="rId9"/>
      <w:pgSz w:w="11906" w:h="16838"/>
      <w:pgMar w:top="1077" w:right="1191" w:bottom="1077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eastAsia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ru-RU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ru-RU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5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3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i w:val="0"/>
      <w:color w:val="000000"/>
      <w:kern w:val="28"/>
      <w:sz w:val="32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spacing w:before="0" w:after="160"/>
    </w:pPr>
    <w:rPr>
      <w:rFonts w:asciiTheme="majorHAnsi" w:eastAsiaTheme="majorEastAsia" w:hAnsiTheme="majorHAnsi" w:cstheme="majorBidi" w:ascii="Arial" w:hAnsi="Arial" w:eastAsia="Arial"/>
      <w:b/>
      <w:i w:val="0"/>
      <w:iCs/>
      <w:color w:val="000000"/>
      <w:sz w:val="26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ru-RU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ru-RU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ru-RU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ru-RU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ru-RU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ru-RU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ru-RU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  <w:rPr>
      <w:rFonts w:ascii="Arial" w:hAnsi="Arial" w:eastAsia="Arial"/>
      <w:color w:val="000000"/>
      <w:sz w:val="22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ru-RU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ru-RU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  <w:rPr>
      <w:rFonts w:ascii="Arial" w:hAnsi="Arial" w:eastAsia="Arial"/>
      <w:color w:val="000000"/>
      <w:sz w:val="22"/>
      <w:lang w:val="ru-RU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ru-RU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ru-RU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ru-RU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ru-RU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ru-RU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ru-RU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ru-RU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Lines/>
      <w:spacing w:before="60" w:after="140" w:line="240" w:lineRule="auto"/>
    </w:pPr>
    <w:rPr>
      <w:rFonts w:ascii="DejaVu Sans Mono" w:hAnsi="DejaVu Sans Mono" w:eastAsia="DejaVu Sans Mono"/>
      <w:color w:val="000000"/>
      <w:sz w:val="18"/>
      <w:lang w:val="ru-RU"/>
    </w:rPr>
  </w:style>
  <w:style w:type="paragraph" w:customStyle="1" w:styleId="Formula">
    <w:name w:val="Formula"/>
    <w:pPr>
      <w:keepLines/>
      <w:spacing w:before="60" w:after="140" w:line="254" w:lineRule="auto"/>
    </w:pPr>
    <w:rPr>
      <w:rFonts w:ascii="DejaVu Sans" w:hAnsi="DejaVu Sans" w:eastAsia="DejaVu Sans"/>
      <w:color w:val="000000"/>
      <w:sz w:val="20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Постановка задачи — Проектирование устойчивой спутниковой группировки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