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SmartPLS 4 Analysis Report</w:t>
      </w:r>
    </w:p>
    <w:p>
      <w:r>
        <w:br/>
        <w:t>[START OF CLEANED VERSION]</w:t>
        <w:br/>
        <w:br/>
        <w:t>Comprehensive SmartPLS 4 Analysis Report</w:t>
        <w:br/>
        <w:t>Reducing the Bullwhip Effect in Supply Chains: A Practical Interpretation</w:t>
        <w:br/>
        <w:br/>
        <w:t>Executive Summary:</w:t>
        <w:br/>
        <w:t>This report provides insights into how SmartPLS 4 was applied to investigate the influence of various supply chain factors and artificial intelligence (AI) on the Bullwhip Effect (BWE) and overall supply chain performance (SCP). Key findings include a strong negative impact of BWE on SCP and a limited role of AI in moderating that relationship. The insights emphasize practical, context-aware strategies to manage demand variability.</w:t>
        <w:br/>
        <w:br/>
        <w:t>[...]</w:t>
        <w:br/>
        <w:br/>
        <w:t>Conclusion:</w:t>
        <w:br/>
        <w:t>The findings reaffirm that minimizing the Bullwhip Effect is critical for enhancing supply chain performance. While AI presents promise, its direct moderating impact on this relationship was limited in the studied context. Practical interventions—like improving inventory management and communication—remain essential.</w:t>
        <w:br/>
        <w:br/>
        <w:t>[END OF CLEANED VERSION]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