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A1" w:rsidRDefault="00697FA1" w:rsidP="00697FA1">
      <w:pPr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Abstract:</w:t>
      </w:r>
    </w:p>
    <w:p w:rsidR="00697FA1" w:rsidRDefault="00697FA1" w:rsidP="00697FA1">
      <w:pPr>
        <w:rPr>
          <w:rFonts w:ascii="Times New Roman" w:hAnsi="Times New Roman" w:cs="Times New Roman"/>
          <w:b/>
          <w:color w:val="002060"/>
          <w:sz w:val="36"/>
          <w:szCs w:val="36"/>
        </w:rPr>
      </w:pPr>
    </w:p>
    <w:p w:rsidR="00697FA1" w:rsidRDefault="00697FA1" w:rsidP="00697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90E">
        <w:rPr>
          <w:rFonts w:ascii="Times New Roman" w:hAnsi="Times New Roman" w:cs="Times New Roman"/>
          <w:sz w:val="28"/>
          <w:szCs w:val="28"/>
        </w:rPr>
        <w:t>The cloud database as a service is a novel paradigm that can support several Internet-based applications, but its adoption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requires the solution of information confidentiality problems. We propose a novel architecture for adaptive encryption of public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databases that offers an interesting alternative to the trade-off between the required data confidentiality level and the flexibility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cloud database structures at design time. We demonstrate the feasibility and performance of the proposed solution through a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prototype. Moreover, we propose an original cost model that is oriented to the evaluation of cloud database services in plain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90E">
        <w:rPr>
          <w:rFonts w:ascii="Times New Roman" w:hAnsi="Times New Roman" w:cs="Times New Roman"/>
          <w:sz w:val="28"/>
          <w:szCs w:val="28"/>
        </w:rPr>
        <w:t>encrypted instances and that takes into account the variability of cloud prices and tenant workload during a medium-term period.</w:t>
      </w:r>
    </w:p>
    <w:p w:rsidR="00F17ACA" w:rsidRDefault="00F17ACA"/>
    <w:sectPr w:rsidR="00F1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7FA1"/>
    <w:rsid w:val="00697FA1"/>
    <w:rsid w:val="00F1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2014-08-09T06:01:00Z</dcterms:created>
  <dcterms:modified xsi:type="dcterms:W3CDTF">2014-08-09T06:01:00Z</dcterms:modified>
</cp:coreProperties>
</file>