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336" w:lineRule="auto"/>
        <w:jc w:val="center"/>
      </w:pPr>
      <w:r>
        <w:rPr>
          <w:rFonts w:ascii="黑体" w:hAnsi="黑体" w:eastAsia="黑体"/>
          <w:b/>
          <w:sz w:val="28"/>
        </w:rPr>
        <w:t>工程管理部通知单</w:t>
      </w:r>
    </w:p>
    <w:p>
      <w:pPr>
        <w:spacing w:after="160"/>
      </w:pPr>
      <w:r>
        <w:rPr>
          <w:rFonts w:ascii="黑体" w:hAnsi="黑体" w:eastAsia="黑体"/>
          <w:b w:val="0"/>
          <w:sz w:val="24"/>
        </w:rPr>
        <w:t xml:space="preserve">编号：  XAHYYX-26038          </w:t>
        <w:tab/>
        <w:tab/>
        <w:tab/>
        <w:t>填写日期：     2026 年 9 月 7 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248"/>
        <w:gridCol w:w="2248"/>
        <w:gridCol w:w="2248"/>
        <w:gridCol w:w="2248"/>
      </w:tblGrid>
      <w:tr>
        <w:trPr>
          <w:trHeight w:val="654" w:hRule="atLeast"/>
        </w:trPr>
        <w:tc>
          <w:tcPr>
            <w:tcW w:type="dxa" w:w="1396"/>
            <w:vAlign w:val="center"/>
          </w:tcPr>
          <w:p>
            <w:pPr>
              <w:spacing w:after="40" w:line="312" w:lineRule="auto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工程名称</w:t>
            </w:r>
          </w:p>
        </w:tc>
        <w:tc>
          <w:tcPr>
            <w:tcW w:type="dxa" w:w="7963"/>
            <w:gridSpan w:val="3"/>
            <w:vAlign w:val="center"/>
          </w:tcPr>
          <w:p>
            <w:pPr>
              <w:spacing w:after="40" w:line="312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梧桐苑项目</w:t>
            </w:r>
          </w:p>
        </w:tc>
      </w:tr>
      <w:tr>
        <w:trPr>
          <w:trHeight w:val="636" w:hRule="atLeast"/>
        </w:trPr>
        <w:tc>
          <w:tcPr>
            <w:tcW w:type="dxa" w:w="1396"/>
            <w:vAlign w:val="center"/>
          </w:tcPr>
          <w:p>
            <w:pPr>
              <w:spacing w:after="40" w:line="312" w:lineRule="auto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摘由</w:t>
            </w:r>
          </w:p>
        </w:tc>
        <w:tc>
          <w:tcPr>
            <w:tcW w:type="dxa" w:w="7963"/>
            <w:gridSpan w:val="3"/>
            <w:vAlign w:val="center"/>
          </w:tcPr>
          <w:p>
            <w:pPr>
              <w:spacing w:after="40" w:line="312" w:lineRule="auto"/>
            </w:pPr>
            <w:r>
              <w:rPr>
                <w:rFonts w:ascii="宋体" w:hAnsi="宋体" w:eastAsia="宋体"/>
                <w:b w:val="0"/>
                <w:sz w:val="24"/>
              </w:rPr>
              <w:t>1#楼西侧肥槽回填质量整改</w:t>
            </w:r>
          </w:p>
        </w:tc>
      </w:tr>
      <w:tr>
        <w:trPr>
          <w:trHeight w:val="636" w:hRule="atLeast"/>
        </w:trPr>
        <w:tc>
          <w:tcPr>
            <w:tcW w:type="dxa" w:w="1396"/>
            <w:vAlign w:val="center"/>
          </w:tcPr>
          <w:p>
            <w:pPr>
              <w:spacing w:after="40" w:line="312" w:lineRule="auto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主送</w:t>
            </w:r>
          </w:p>
        </w:tc>
        <w:tc>
          <w:tcPr>
            <w:tcW w:type="dxa" w:w="3589"/>
            <w:vAlign w:val="center"/>
          </w:tcPr>
          <w:p>
            <w:pPr>
              <w:spacing w:after="40" w:line="312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陕西建工集团股份有限公司</w:t>
            </w:r>
          </w:p>
        </w:tc>
        <w:tc>
          <w:tcPr>
            <w:tcW w:type="dxa" w:w="1522"/>
            <w:vAlign w:val="center"/>
          </w:tcPr>
          <w:p>
            <w:pPr>
              <w:spacing w:after="40" w:line="312" w:lineRule="auto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抄送</w:t>
            </w:r>
          </w:p>
        </w:tc>
        <w:tc>
          <w:tcPr>
            <w:tcW w:type="dxa" w:w="2852"/>
            <w:vAlign w:val="center"/>
          </w:tcPr>
          <w:p>
            <w:pPr>
              <w:spacing w:after="40" w:line="312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西安恒泰建设项目管理有限公司</w:t>
            </w:r>
          </w:p>
        </w:tc>
      </w:tr>
      <w:tr>
        <w:trPr>
          <w:trHeight w:val="636" w:hRule="atLeast"/>
        </w:trPr>
        <w:tc>
          <w:tcPr>
            <w:tcW w:type="dxa" w:w="1396"/>
            <w:vAlign w:val="center"/>
          </w:tcPr>
          <w:p>
            <w:pPr>
              <w:spacing w:after="40" w:line="312" w:lineRule="auto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回复要求</w:t>
            </w:r>
          </w:p>
        </w:tc>
        <w:tc>
          <w:tcPr>
            <w:tcW w:type="dxa" w:w="7963"/>
            <w:gridSpan w:val="3"/>
            <w:vAlign w:val="center"/>
          </w:tcPr>
          <w:p>
            <w:pPr>
              <w:spacing w:after="40" w:line="312" w:lineRule="auto"/>
            </w:pPr>
            <w:r>
              <w:rPr>
                <w:rFonts w:ascii="宋体" w:hAnsi="宋体" w:eastAsia="宋体"/>
                <w:b w:val="0"/>
                <w:sz w:val="24"/>
              </w:rPr>
              <w:t>☑请在 3 日内处理完毕，并书面回复。  □仅作通知，不需回复。</w:t>
            </w:r>
          </w:p>
        </w:tc>
      </w:tr>
      <w:tr>
        <w:trPr>
          <w:trHeight w:val="5152" w:hRule="atLeast"/>
        </w:trPr>
        <w:tc>
          <w:tcPr>
            <w:tcW w:type="dxa" w:w="9359"/>
            <w:gridSpan w:val="4"/>
          </w:tcPr>
          <w:p>
            <w:pPr>
              <w:spacing w:after="40" w:line="312" w:lineRule="auto"/>
            </w:pPr>
            <w:r>
              <w:rPr>
                <w:rFonts w:ascii="宋体" w:hAnsi="宋体" w:eastAsia="宋体"/>
                <w:b/>
                <w:sz w:val="24"/>
              </w:rPr>
              <w:t>通知内容：</w:t>
            </w:r>
          </w:p>
          <w:p>
            <w:pPr>
              <w:spacing w:after="40" w:line="312" w:lineRule="auto"/>
            </w:pPr>
            <w:r>
              <w:rPr>
                <w:rFonts w:ascii="宋体" w:hAnsi="宋体" w:eastAsia="宋体"/>
                <w:b w:val="0"/>
                <w:sz w:val="24"/>
              </w:rPr>
              <w:t>2026年9月7日项目工程管理部对1#楼西侧基槽回填工程进行质量检查，发现以下问题：</w:t>
            </w:r>
          </w:p>
          <w:p>
            <w:pPr>
              <w:spacing w:after="40" w:line="312" w:lineRule="auto"/>
            </w:pPr>
            <w:r>
              <w:rPr>
                <w:rFonts w:ascii="宋体" w:hAnsi="宋体" w:eastAsia="宋体"/>
                <w:b w:val="0"/>
                <w:sz w:val="24"/>
              </w:rPr>
              <w:t>1#楼西侧肥槽回填一次性回填至设计标高，未分层回填、未分层压实；回填作业前未向监理单位报验，未履行报验程序，无法保证回填施工质量，存在回填土后期下沉、室外管线及地面开裂等质量风险。</w:t>
            </w:r>
          </w:p>
          <w:p>
            <w:pPr>
              <w:spacing w:after="40" w:line="312" w:lineRule="auto"/>
            </w:pPr>
            <w:r>
              <w:rPr>
                <w:rFonts w:ascii="宋体" w:hAnsi="宋体" w:eastAsia="宋体"/>
                <w:b w:val="0"/>
                <w:sz w:val="24"/>
              </w:rPr>
              <w:t>整改要求：</w:t>
            </w:r>
          </w:p>
          <w:p>
            <w:pPr>
              <w:spacing w:after="40" w:line="312" w:lineRule="auto"/>
            </w:pPr>
            <w:r>
              <w:rPr>
                <w:rFonts w:ascii="宋体" w:hAnsi="宋体" w:eastAsia="宋体"/>
                <w:b w:val="0"/>
                <w:sz w:val="24"/>
              </w:rPr>
              <w:t>1.立即停工整改。1#楼西侧肥槽回填作业立即停止，对已回填部位进行返工处理。</w:t>
            </w:r>
          </w:p>
          <w:p>
            <w:pPr>
              <w:spacing w:after="40" w:line="312" w:lineRule="auto"/>
            </w:pPr>
            <w:r>
              <w:rPr>
                <w:rFonts w:ascii="宋体" w:hAnsi="宋体" w:eastAsia="宋体"/>
                <w:b w:val="0"/>
                <w:sz w:val="24"/>
              </w:rPr>
              <w:t>2.先试验、后回填。回填前先行组织地库外墙防水质量检查及淋水试验，确认外墙防水层施工质量合格、地库无渗漏后，方可进行回填作业，防止回填后出现渗漏、返工处理。</w:t>
            </w:r>
          </w:p>
          <w:p>
            <w:pPr>
              <w:spacing w:after="40" w:line="312" w:lineRule="auto"/>
            </w:pPr>
            <w:r>
              <w:rPr>
                <w:rFonts w:ascii="宋体" w:hAnsi="宋体" w:eastAsia="宋体"/>
                <w:b w:val="0"/>
                <w:sz w:val="24"/>
              </w:rPr>
              <w:t>3.分层回填、分层压实。严格按规范要求分层回填、分层压实，控制每层虚铺厚度，逐层进行压实度检测，压实度合格后方可进行上层回填，规避后期下沉风险。</w:t>
            </w:r>
          </w:p>
          <w:p>
            <w:pPr>
              <w:spacing w:after="40" w:line="312" w:lineRule="auto"/>
            </w:pPr>
            <w:r>
              <w:rPr>
                <w:rFonts w:ascii="宋体" w:hAnsi="宋体" w:eastAsia="宋体"/>
                <w:b w:val="0"/>
                <w:sz w:val="24"/>
              </w:rPr>
              <w:t>4.严格履行报验程序。回填施工前须向监理单位报验，经验收合格后方可施工；整改完成后于3日内书面回复本项目工程管理部，并附整改后照片。</w:t>
            </w:r>
          </w:p>
        </w:tc>
      </w:tr>
      <w:tr>
        <w:trPr>
          <w:trHeight w:val="3229" w:hRule="atLeast"/>
        </w:trPr>
        <w:tc>
          <w:tcPr>
            <w:tcW w:type="dxa" w:w="9359"/>
            <w:gridSpan w:val="4"/>
          </w:tcPr>
          <w:p>
            <w:pPr>
              <w:spacing w:after="40" w:line="312" w:lineRule="auto"/>
            </w:pPr>
            <w:r>
              <w:rPr>
                <w:rFonts w:ascii="宋体" w:hAnsi="宋体" w:eastAsia="宋体"/>
                <w:b w:val="0"/>
                <w:sz w:val="24"/>
              </w:rPr>
              <w:t>处理结果验证：</w:t>
            </w:r>
          </w:p>
          <w:p>
            <w:pPr>
              <w:spacing w:after="40" w:line="312" w:lineRule="auto"/>
            </w:pPr>
            <w:r>
              <w:rPr>
                <w:rFonts w:ascii="宋体" w:hAnsi="宋体" w:eastAsia="宋体"/>
                <w:b w:val="0"/>
                <w:sz w:val="24"/>
              </w:rPr>
            </w:r>
          </w:p>
          <w:p>
            <w:pPr>
              <w:spacing w:after="40" w:line="312" w:lineRule="auto"/>
            </w:pPr>
            <w:r>
              <w:rPr>
                <w:rFonts w:ascii="宋体" w:hAnsi="宋体" w:eastAsia="宋体"/>
                <w:b w:val="0"/>
                <w:sz w:val="24"/>
              </w:rPr>
            </w:r>
          </w:p>
          <w:p>
            <w:pPr>
              <w:spacing w:after="40" w:line="312" w:lineRule="auto"/>
            </w:pPr>
            <w:r>
              <w:rPr>
                <w:rFonts w:ascii="宋体" w:hAnsi="宋体" w:eastAsia="宋体"/>
                <w:b w:val="0"/>
                <w:sz w:val="24"/>
              </w:rPr>
            </w:r>
          </w:p>
          <w:p>
            <w:pPr>
              <w:spacing w:after="40" w:line="312" w:lineRule="auto"/>
            </w:pPr>
            <w:r>
              <w:rPr>
                <w:rFonts w:ascii="宋体" w:hAnsi="宋体" w:eastAsia="宋体"/>
                <w:b w:val="0"/>
                <w:sz w:val="24"/>
              </w:rPr>
            </w:r>
          </w:p>
          <w:p>
            <w:pPr>
              <w:spacing w:after="40" w:line="312" w:lineRule="auto"/>
            </w:pPr>
            <w:r>
              <w:rPr>
                <w:rFonts w:ascii="宋体" w:hAnsi="宋体" w:eastAsia="宋体"/>
                <w:b w:val="0"/>
                <w:sz w:val="24"/>
              </w:rPr>
            </w:r>
          </w:p>
          <w:p>
            <w:pPr>
              <w:spacing w:after="40" w:line="312" w:lineRule="auto"/>
            </w:pPr>
            <w:r>
              <w:rPr>
                <w:rFonts w:ascii="宋体" w:hAnsi="宋体" w:eastAsia="宋体"/>
                <w:b w:val="0"/>
                <w:sz w:val="24"/>
              </w:rPr>
            </w:r>
          </w:p>
          <w:p>
            <w:pPr>
              <w:spacing w:after="40" w:line="312" w:lineRule="auto"/>
            </w:pPr>
            <w:r>
              <w:rPr>
                <w:rFonts w:ascii="宋体" w:hAnsi="宋体" w:eastAsia="宋体"/>
                <w:b w:val="0"/>
                <w:sz w:val="24"/>
              </w:rPr>
              <w:t>验证人：         日期：     年   月   日</w:t>
            </w:r>
          </w:p>
        </w:tc>
      </w:tr>
    </w:tbl>
    <w:p>
      <w:pPr>
        <w:spacing w:before="120" w:after="0"/>
      </w:pPr>
      <w:r>
        <w:rPr>
          <w:rFonts w:ascii="黑体" w:hAnsi="黑体" w:eastAsia="黑体"/>
          <w:b/>
          <w:sz w:val="24"/>
        </w:rPr>
        <w:t>填报说明：</w:t>
      </w:r>
      <w:r>
        <w:rPr>
          <w:rFonts w:ascii="黑体" w:hAnsi="黑体" w:eastAsia="黑体"/>
          <w:b w:val="0"/>
          <w:sz w:val="24"/>
        </w:rPr>
        <w:t>本表一式三份，项目工程管理部、监理单位、施工单位各执一份。</w:t>
      </w:r>
    </w:p>
    <w:p>
      <w:r>
        <w:br w:type="page"/>
      </w:r>
    </w:p>
    <w:p>
      <w:pPr>
        <w:spacing w:after="160" w:line="336" w:lineRule="auto"/>
      </w:pPr>
      <w:r>
        <w:rPr>
          <w:rFonts w:ascii="黑体" w:hAnsi="黑体" w:eastAsia="黑体"/>
          <w:b w:val="0"/>
          <w:sz w:val="24"/>
        </w:rPr>
        <w:t>附件：现场质量检查照片（共 3 张，1#楼西侧肥槽回填）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97"/>
        <w:gridCol w:w="2997"/>
        <w:gridCol w:w="2997"/>
      </w:tblGrid>
      <w:tr>
        <w:tc>
          <w:tcPr>
            <w:tcW w:type="dxa" w:w="2948"/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4000" cy="235291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微信图片_20260907160340_1_532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00" cy="23529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4000" cy="235291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微信图片_20260907160344_2_532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00" cy="23529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4000" cy="235291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微信图片_20260907162044_9_149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00" cy="23529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图1：1#楼西侧肥槽一次性回填现状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图2：回填至设计标高，表面未压实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图3：回填土倒入肥槽堆积未碾压</w:t>
            </w:r>
          </w:p>
        </w:tc>
      </w:tr>
    </w:tbl>
    <w:sectPr w:rsidR="00FC693F" w:rsidRPr="0006063C" w:rsidSect="00034616">
      <w:pgSz w:w="11906" w:h="16838"/>
      <w:pgMar w:top="1440" w:right="1457" w:bottom="1440" w:left="145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