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algun Gothic" w:hAnsi="Malgun Gothic" w:eastAsia="Malgun Gothic"/>
          <w:b/>
          <w:i w:val="0"/>
          <w:color w:val="2E74B5"/>
          <w:sz w:val="18"/>
        </w:rPr>
        <w:t>MODEL &amp; DATA BRIEF</w:t>
      </w:r>
    </w:p>
    <w:p>
      <w:pPr>
        <w:spacing w:after="60"/>
      </w:pPr>
      <w:r>
        <w:rPr>
          <w:rFonts w:ascii="Malgun Gothic" w:hAnsi="Malgun Gothic" w:eastAsia="Malgun Gothic"/>
          <w:b/>
          <w:i w:val="0"/>
          <w:color w:val="0B2545"/>
          <w:sz w:val="40"/>
        </w:rPr>
        <w:t>제구 성공 확률 예측: 인사이트 및 성능 요약</w:t>
      </w:r>
    </w:p>
    <w:p>
      <w:pPr>
        <w:spacing w:after="100"/>
      </w:pPr>
      <w:r>
        <w:rPr>
          <w:rFonts w:ascii="Malgun Gothic" w:hAnsi="Malgun Gothic" w:eastAsia="Malgun Gothic"/>
          <w:b w:val="0"/>
          <w:i w:val="0"/>
          <w:color w:val="667085"/>
          <w:sz w:val="18"/>
        </w:rPr>
        <w:t>EDA · 시간 검증 · 파생 피처 · Optuna · 신규 제출 007/008 반영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9F4EE"/>
          <w:left w:val="single" w:sz="0" w:space="0" w:color="E9F4EE"/>
          <w:bottom w:val="single" w:sz="0" w:space="0" w:color="E9F4EE"/>
          <w:right w:val="single" w:sz="0" w:space="0" w:color="E9F4EE"/>
          <w:insideH w:val="single" w:sz="0" w:space="0" w:color="E9F4EE"/>
          <w:insideV w:val="single" w:sz="0" w:space="0" w:color="E9F4E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E9F4EE"/>
          </w:tcPr>
          <w:p>
            <w:pPr>
              <w:spacing w:before="20" w:after="20" w:line="259" w:lineRule="auto"/>
            </w:pPr>
            <w:r>
              <w:rPr>
                <w:rFonts w:ascii="Malgun Gothic" w:hAnsi="Malgun Gothic" w:eastAsia="Malgun Gothic"/>
                <w:b/>
                <w:i w:val="0"/>
                <w:color w:val="1F4D78"/>
                <w:sz w:val="18"/>
              </w:rPr>
              <w:t xml:space="preserve">핵심 결론  </w:t>
            </w: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8"/>
              </w:rPr>
              <w:t>성능 상승의 중심은 투수·타자 과거 성공률을 직전 시즌 실제 성공률에 맞춰 보정한 피처다. 역방향 실패는 독립 문제로 다뤄야 하지만 단순 시즌 집계 prior만으로는 효과가 작았다.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1. 데이터와 검증에서 확인한 사실</w:t>
      </w:r>
    </w:p>
    <w:p>
      <w:pPr>
        <w:keepLines/>
        <w:numPr>
          <w:ilvl w:val="0"/>
          <w:numId w:val="10"/>
        </w:numPr>
        <w:spacing w:after="40" w:line="254" w:lineRule="auto"/>
        <w:ind w:left="540" w:hanging="271"/>
      </w:pPr>
      <w:r>
        <w:rPr>
          <w:rFonts w:ascii="Malgun Gothic" w:hAnsi="Malgun Gothic" w:eastAsia="Malgun Gothic"/>
          <w:b/>
          <w:i w:val="0"/>
          <w:color w:val="1F4D78"/>
          <w:sz w:val="18"/>
        </w:rPr>
        <w:t xml:space="preserve">시즌 drift — </w:t>
      </w:r>
      <w:r>
        <w:rPr>
          <w:rFonts w:ascii="Malgun Gothic" w:hAnsi="Malgun Gothic" w:eastAsia="Malgun Gothic"/>
          <w:b w:val="0"/>
          <w:i w:val="0"/>
          <w:color w:val="222222"/>
          <w:sz w:val="18"/>
        </w:rPr>
        <w:t>전체 제구 성공률은 2019년 56.47%에서 2024년 48.61%로 하락했다. 무작위 검증보다 연도 순방향 검증과 최근 시즌 가중치가 중요하다.</w:t>
      </w:r>
    </w:p>
    <w:p>
      <w:pPr>
        <w:keepLines/>
        <w:numPr>
          <w:ilvl w:val="0"/>
          <w:numId w:val="10"/>
        </w:numPr>
        <w:spacing w:after="40" w:line="254" w:lineRule="auto"/>
        <w:ind w:left="540" w:hanging="271"/>
      </w:pPr>
      <w:r>
        <w:rPr>
          <w:rFonts w:ascii="Malgun Gothic" w:hAnsi="Malgun Gothic" w:eastAsia="Malgun Gothic"/>
          <w:b/>
          <w:i w:val="0"/>
          <w:color w:val="1F4D78"/>
          <w:sz w:val="18"/>
        </w:rPr>
        <w:t xml:space="preserve">실패 유형 분리 — </w:t>
      </w:r>
      <w:r>
        <w:rPr>
          <w:rFonts w:ascii="Malgun Gothic" w:hAnsi="Malgun Gothic" w:eastAsia="Malgun Gothic"/>
          <w:b w:val="0"/>
          <w:i w:val="0"/>
          <w:color w:val="222222"/>
          <w:sz w:val="18"/>
        </w:rPr>
        <w:t>실패는 가운데·크게 벗어남·포수 요구 방향 반대가 섞여 있다. 특히 역방향은 결과 분포가 달라 별도 위험 모델 후보로 유지한다.</w:t>
      </w:r>
    </w:p>
    <w:p>
      <w:pPr>
        <w:keepLines/>
        <w:numPr>
          <w:ilvl w:val="0"/>
          <w:numId w:val="10"/>
        </w:numPr>
        <w:spacing w:after="40" w:line="254" w:lineRule="auto"/>
        <w:ind w:left="540" w:hanging="271"/>
      </w:pPr>
      <w:r>
        <w:rPr>
          <w:rFonts w:ascii="Malgun Gothic" w:hAnsi="Malgun Gothic" w:eastAsia="Malgun Gothic"/>
          <w:b/>
          <w:i w:val="0"/>
          <w:color w:val="1F4D78"/>
          <w:sz w:val="18"/>
        </w:rPr>
        <w:t xml:space="preserve">시간 누수 통제 — </w:t>
      </w:r>
      <w:r>
        <w:rPr>
          <w:rFonts w:ascii="Malgun Gothic" w:hAnsi="Malgun Gothic" w:eastAsia="Malgun Gothic"/>
          <w:b w:val="0"/>
          <w:i w:val="0"/>
          <w:color w:val="222222"/>
          <w:sz w:val="18"/>
        </w:rPr>
        <w:t>2024 검증은 2023년 이하 train/TrackMan만 사용했다. TrackMan은 투수-시즌 500구 이상만 허용했으며 최종 2025 모델에서만 2024를 포함했다.</w:t>
      </w:r>
    </w:p>
    <w:p>
      <w:pPr>
        <w:keepLines/>
        <w:numPr>
          <w:ilvl w:val="0"/>
          <w:numId w:val="10"/>
        </w:numPr>
        <w:spacing w:after="40" w:line="254" w:lineRule="auto"/>
        <w:ind w:left="540" w:hanging="271"/>
      </w:pPr>
      <w:r>
        <w:rPr>
          <w:rFonts w:ascii="Malgun Gothic" w:hAnsi="Malgun Gothic" w:eastAsia="Malgun Gothic"/>
          <w:b/>
          <w:i w:val="0"/>
          <w:color w:val="1F4D78"/>
          <w:sz w:val="18"/>
        </w:rPr>
        <w:t xml:space="preserve">보정 필요성 — </w:t>
      </w:r>
      <w:r>
        <w:rPr>
          <w:rFonts w:ascii="Malgun Gothic" w:hAnsi="Malgun Gothic" w:eastAsia="Malgun Gothic"/>
          <w:b w:val="0"/>
          <w:i w:val="0"/>
          <w:color w:val="222222"/>
          <w:sz w:val="18"/>
        </w:rPr>
        <w:t>기준 XGB의 2024 예측 평균은 실제보다 0.00726 높았다. 성공률 adjusted 피처 적용 후 격차가 0.00511로 감소했다.</w:t>
      </w:r>
    </w:p>
    <w:p>
      <w:pPr>
        <w:pStyle w:val="Heading1"/>
      </w:pPr>
      <w:r>
        <w:t>2. 파생 피처 ablation 결과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4100"/>
        <w:gridCol w:w="1050"/>
        <w:gridCol w:w="1550"/>
        <w:gridCol w:w="2660"/>
      </w:tblGrid>
      <w:tr>
        <w:trPr>
          <w:tblHeader w:val="true"/>
          <w:cantSplit/>
        </w:trPr>
        <w:tc>
          <w:tcPr>
            <w:tcW w:type="dxa" w:w="4100"/>
            <w:shd w:fill="E8EEF5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B2545"/>
                <w:sz w:val="16"/>
              </w:rPr>
              <w:t>방법</w:t>
            </w:r>
          </w:p>
        </w:tc>
        <w:tc>
          <w:tcPr>
            <w:tcW w:type="dxa" w:w="1050"/>
            <w:shd w:fill="E8EEF5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B2545"/>
                <w:sz w:val="16"/>
              </w:rPr>
              <w:t>피처 수</w:t>
            </w:r>
          </w:p>
        </w:tc>
        <w:tc>
          <w:tcPr>
            <w:tcW w:type="dxa" w:w="1550"/>
            <w:shd w:fill="E8EEF5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B2545"/>
                <w:sz w:val="16"/>
              </w:rPr>
              <w:t>2024 BSS</w:t>
            </w:r>
          </w:p>
        </w:tc>
        <w:tc>
          <w:tcPr>
            <w:tcW w:type="dxa" w:w="2660"/>
            <w:shd w:fill="E8EEF5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B2545"/>
                <w:sz w:val="16"/>
              </w:rPr>
              <w:t>판단</w:t>
            </w:r>
          </w:p>
        </w:tc>
      </w:tr>
      <w:tr>
        <w:trPr>
          <w:cantSplit/>
        </w:trPr>
        <w:tc>
          <w:tcPr>
            <w:tcW w:type="dxa" w:w="410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222222"/>
                <w:sz w:val="16"/>
              </w:rPr>
              <w:t>XGB V2R200 + TM500 기준</w:t>
            </w:r>
          </w:p>
        </w:tc>
        <w:tc>
          <w:tcPr>
            <w:tcW w:type="dxa" w:w="105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209</w:t>
            </w:r>
          </w:p>
        </w:tc>
        <w:tc>
          <w:tcPr>
            <w:tcW w:type="dxa" w:w="155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774.484</w:t>
            </w:r>
          </w:p>
        </w:tc>
        <w:tc>
          <w:tcPr>
            <w:tcW w:type="dxa" w:w="266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재현 기준선</w:t>
            </w:r>
          </w:p>
        </w:tc>
      </w:tr>
      <w:tr>
        <w:trPr>
          <w:cantSplit/>
        </w:trPr>
        <w:tc>
          <w:tcPr>
            <w:tcW w:type="dxa" w:w="4100"/>
            <w:shd w:fill="FFF4D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222222"/>
                <w:sz w:val="16"/>
              </w:rPr>
              <w:t>전체 동적 prior</w:t>
            </w:r>
          </w:p>
        </w:tc>
        <w:tc>
          <w:tcPr>
            <w:tcW w:type="dxa" w:w="1050"/>
            <w:shd w:fill="FFF4D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251</w:t>
            </w:r>
          </w:p>
        </w:tc>
        <w:tc>
          <w:tcPr>
            <w:tcW w:type="dxa" w:w="1550"/>
            <w:shd w:fill="FFF4D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778.507</w:t>
            </w:r>
          </w:p>
        </w:tc>
        <w:tc>
          <w:tcPr>
            <w:tcW w:type="dxa" w:w="2660"/>
            <w:shd w:fill="FFF4D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+4.023</w:t>
            </w:r>
          </w:p>
        </w:tc>
      </w:tr>
      <w:tr>
        <w:trPr>
          <w:cantSplit/>
        </w:trPr>
        <w:tc>
          <w:tcPr>
            <w:tcW w:type="dxa" w:w="4100"/>
            <w:shd w:fill="E9F4E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222222"/>
                <w:sz w:val="16"/>
              </w:rPr>
              <w:t>성공률 prior 12개</w:t>
            </w:r>
          </w:p>
        </w:tc>
        <w:tc>
          <w:tcPr>
            <w:tcW w:type="dxa" w:w="1050"/>
            <w:shd w:fill="E9F4E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221</w:t>
            </w:r>
          </w:p>
        </w:tc>
        <w:tc>
          <w:tcPr>
            <w:tcW w:type="dxa" w:w="1550"/>
            <w:shd w:fill="E9F4E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783.523</w:t>
            </w:r>
          </w:p>
        </w:tc>
        <w:tc>
          <w:tcPr>
            <w:tcW w:type="dxa" w:w="2660"/>
            <w:shd w:fill="E9F4E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+9.040</w:t>
            </w:r>
          </w:p>
        </w:tc>
      </w:tr>
      <w:tr>
        <w:trPr>
          <w:cantSplit/>
        </w:trPr>
        <w:tc>
          <w:tcPr>
            <w:tcW w:type="dxa" w:w="4100"/>
            <w:shd w:fill="E9F4E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222222"/>
                <w:sz w:val="16"/>
              </w:rPr>
              <w:t>성공률 adjusted 2개</w:t>
            </w:r>
          </w:p>
        </w:tc>
        <w:tc>
          <w:tcPr>
            <w:tcW w:type="dxa" w:w="1050"/>
            <w:shd w:fill="E9F4E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211</w:t>
            </w:r>
          </w:p>
        </w:tc>
        <w:tc>
          <w:tcPr>
            <w:tcW w:type="dxa" w:w="1550"/>
            <w:shd w:fill="E9F4E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784.557</w:t>
            </w:r>
          </w:p>
        </w:tc>
        <w:tc>
          <w:tcPr>
            <w:tcW w:type="dxa" w:w="2660"/>
            <w:shd w:fill="E9F4E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단일 최고</w:t>
            </w:r>
          </w:p>
        </w:tc>
      </w:tr>
      <w:tr>
        <w:trPr>
          <w:cantSplit/>
        </w:trPr>
        <w:tc>
          <w:tcPr>
            <w:tcW w:type="dxa" w:w="4100"/>
            <w:shd w:fill="FFF4D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222222"/>
                <w:sz w:val="16"/>
              </w:rPr>
              <w:t>역방향 prior 단독</w:t>
            </w:r>
          </w:p>
        </w:tc>
        <w:tc>
          <w:tcPr>
            <w:tcW w:type="dxa" w:w="1050"/>
            <w:shd w:fill="FFF4D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215</w:t>
            </w:r>
          </w:p>
        </w:tc>
        <w:tc>
          <w:tcPr>
            <w:tcW w:type="dxa" w:w="1550"/>
            <w:shd w:fill="FFF4D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774.644</w:t>
            </w:r>
          </w:p>
        </w:tc>
        <w:tc>
          <w:tcPr>
            <w:tcW w:type="dxa" w:w="2660"/>
            <w:shd w:fill="FFF4D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+0.160, 미약</w:t>
            </w:r>
          </w:p>
        </w:tc>
      </w:tr>
      <w:tr>
        <w:trPr>
          <w:cantSplit/>
        </w:trPr>
        <w:tc>
          <w:tcPr>
            <w:tcW w:type="dxa" w:w="4100"/>
            <w:shd w:fill="FDECEC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222222"/>
                <w:sz w:val="16"/>
              </w:rPr>
              <w:t>가운데 prior 단독</w:t>
            </w:r>
          </w:p>
        </w:tc>
        <w:tc>
          <w:tcPr>
            <w:tcW w:type="dxa" w:w="1050"/>
            <w:shd w:fill="FDECEC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215</w:t>
            </w:r>
          </w:p>
        </w:tc>
        <w:tc>
          <w:tcPr>
            <w:tcW w:type="dxa" w:w="1550"/>
            <w:shd w:fill="FDECEC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768.806</w:t>
            </w:r>
          </w:p>
        </w:tc>
        <w:tc>
          <w:tcPr>
            <w:tcW w:type="dxa" w:w="2660"/>
            <w:shd w:fill="FDECEC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악화, 제외</w:t>
            </w:r>
          </w:p>
        </w:tc>
      </w:tr>
      <w:tr>
        <w:trPr>
          <w:cantSplit/>
        </w:trPr>
        <w:tc>
          <w:tcPr>
            <w:tcW w:type="dxa" w:w="4100"/>
            <w:shd w:fill="FDECEC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222222"/>
                <w:sz w:val="16"/>
              </w:rPr>
              <w:t>CatBoost + 전체 prior</w:t>
            </w:r>
          </w:p>
        </w:tc>
        <w:tc>
          <w:tcPr>
            <w:tcW w:type="dxa" w:w="1050"/>
            <w:shd w:fill="FDECEC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251</w:t>
            </w:r>
          </w:p>
        </w:tc>
        <w:tc>
          <w:tcPr>
            <w:tcW w:type="dxa" w:w="1550"/>
            <w:shd w:fill="FDECEC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766.533</w:t>
            </w:r>
          </w:p>
        </w:tc>
        <w:tc>
          <w:tcPr>
            <w:tcW w:type="dxa" w:w="2660"/>
            <w:shd w:fill="FDECEC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모델 계열 불일치</w:t>
            </w:r>
          </w:p>
        </w:tc>
      </w:tr>
    </w:tbl>
    <w:p>
      <w:pPr>
        <w:spacing w:before="60" w:after="0"/>
      </w:pPr>
      <w:r>
        <w:rPr>
          <w:rFonts w:ascii="Malgun Gothic" w:hAnsi="Malgun Gothic" w:eastAsia="Malgun Gothic"/>
          <w:b/>
          <w:i w:val="0"/>
          <w:color w:val="2E74B5"/>
          <w:sz w:val="17"/>
        </w:rPr>
        <w:t xml:space="preserve">해석  </w:t>
      </w:r>
      <w:r>
        <w:rPr>
          <w:rFonts w:ascii="Malgun Gothic" w:hAnsi="Malgun Gothic" w:eastAsia="Malgun Gothic"/>
          <w:b w:val="0"/>
          <w:i w:val="0"/>
          <w:color w:val="667085"/>
          <w:sz w:val="17"/>
        </w:rPr>
        <w:t>12개 success prior보다 adjusted 2개가 더 높았다. 투수·타자 양쪽을 함께 쓰되, 중복된 last/EWM 변형을 줄이는 편이 2024 일반화에 유리했다.</w:t>
      </w:r>
    </w:p>
    <w:p>
      <w:r>
        <w:br w:type="page"/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2E74B5"/>
          <w:sz w:val="18"/>
        </w:rPr>
        <w:t>PERFORMANCE &amp; NEXT MOVE</w:t>
      </w:r>
    </w:p>
    <w:p>
      <w:pPr>
        <w:spacing w:after="60"/>
      </w:pPr>
      <w:r>
        <w:rPr>
          <w:rFonts w:ascii="Malgun Gothic" w:hAnsi="Malgun Gothic" w:eastAsia="Malgun Gothic"/>
          <w:b/>
          <w:i w:val="0"/>
          <w:color w:val="0B2545"/>
          <w:sz w:val="38"/>
        </w:rPr>
        <w:t>성능 조합·제출안·다음 실험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EEF5"/>
          <w:left w:val="single" w:sz="0" w:space="0" w:color="E8EEF5"/>
          <w:bottom w:val="single" w:sz="0" w:space="0" w:color="E8EEF5"/>
          <w:right w:val="single" w:sz="0" w:space="0" w:color="E8EEF5"/>
          <w:insideH w:val="single" w:sz="0" w:space="0" w:color="E8EEF5"/>
          <w:insideV w:val="single" w:sz="0" w:space="0" w:color="E8EEF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E8EEF5"/>
          </w:tcPr>
          <w:p>
            <w:pPr>
              <w:spacing w:before="20" w:after="20" w:line="259" w:lineRule="auto"/>
            </w:pPr>
            <w:r>
              <w:rPr>
                <w:rFonts w:ascii="Malgun Gothic" w:hAnsi="Malgun Gothic" w:eastAsia="Malgun Gothic"/>
                <w:b/>
                <w:i w:val="0"/>
                <w:color w:val="1F4D78"/>
                <w:sz w:val="18"/>
              </w:rPr>
              <w:t xml:space="preserve">현재 최고  </w:t>
            </w: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8"/>
              </w:rPr>
              <w:t>adjusted 2피처 XGB와 기존 performance 앙상블의 2024 BSS는 801.147이다. 기존 V1 OOF 최고 789.673보다 +11.474 높다. Public LB 최고 기록은 아직 XGBoost V1의 873.075이다.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3. 성능 조합과 Optuna 결론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4050"/>
        <w:gridCol w:w="1450"/>
        <w:gridCol w:w="1450"/>
        <w:gridCol w:w="2410"/>
      </w:tblGrid>
      <w:tr>
        <w:trPr>
          <w:tblHeader w:val="true"/>
          <w:cantSplit/>
        </w:trPr>
        <w:tc>
          <w:tcPr>
            <w:tcW w:type="dxa" w:w="4050"/>
            <w:shd w:fill="E8EEF5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B2545"/>
                <w:sz w:val="16"/>
              </w:rPr>
              <w:t>조합</w:t>
            </w:r>
          </w:p>
        </w:tc>
        <w:tc>
          <w:tcPr>
            <w:tcW w:type="dxa" w:w="1450"/>
            <w:shd w:fill="E8EEF5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B2545"/>
                <w:sz w:val="16"/>
              </w:rPr>
              <w:t>기준</w:t>
            </w:r>
          </w:p>
        </w:tc>
        <w:tc>
          <w:tcPr>
            <w:tcW w:type="dxa" w:w="1450"/>
            <w:shd w:fill="E8EEF5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B2545"/>
                <w:sz w:val="16"/>
              </w:rPr>
              <w:t>점수</w:t>
            </w:r>
          </w:p>
        </w:tc>
        <w:tc>
          <w:tcPr>
            <w:tcW w:type="dxa" w:w="2410"/>
            <w:shd w:fill="E8EEF5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B2545"/>
                <w:sz w:val="16"/>
              </w:rPr>
              <w:t>상태</w:t>
            </w:r>
          </w:p>
        </w:tc>
      </w:tr>
      <w:tr>
        <w:trPr>
          <w:cantSplit/>
        </w:trPr>
        <w:tc>
          <w:tcPr>
            <w:tcW w:type="dxa" w:w="405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222222"/>
                <w:sz w:val="16"/>
              </w:rPr>
              <w:t>CatBoost V1</w:t>
            </w:r>
          </w:p>
        </w:tc>
        <w:tc>
          <w:tcPr>
            <w:tcW w:type="dxa" w:w="145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Public LB</w:t>
            </w:r>
          </w:p>
        </w:tc>
        <w:tc>
          <w:tcPr>
            <w:tcW w:type="dxa" w:w="145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838.492</w:t>
            </w:r>
          </w:p>
        </w:tc>
        <w:tc>
          <w:tcPr>
            <w:tcW w:type="dxa" w:w="241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기제출</w:t>
            </w:r>
          </w:p>
        </w:tc>
      </w:tr>
      <w:tr>
        <w:trPr>
          <w:cantSplit/>
        </w:trPr>
        <w:tc>
          <w:tcPr>
            <w:tcW w:type="dxa" w:w="405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222222"/>
                <w:sz w:val="16"/>
              </w:rPr>
              <w:t>XGBoost V1</w:t>
            </w:r>
          </w:p>
        </w:tc>
        <w:tc>
          <w:tcPr>
            <w:tcW w:type="dxa" w:w="145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Public LB</w:t>
            </w:r>
          </w:p>
        </w:tc>
        <w:tc>
          <w:tcPr>
            <w:tcW w:type="dxa" w:w="145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873.075</w:t>
            </w:r>
          </w:p>
        </w:tc>
        <w:tc>
          <w:tcPr>
            <w:tcW w:type="dxa" w:w="241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현재 LB 최고</w:t>
            </w:r>
          </w:p>
        </w:tc>
      </w:tr>
      <w:tr>
        <w:trPr>
          <w:cantSplit/>
        </w:trPr>
        <w:tc>
          <w:tcPr>
            <w:tcW w:type="dxa" w:w="4050"/>
            <w:shd w:fill="FFF4D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222222"/>
                <w:sz w:val="16"/>
              </w:rPr>
              <w:t>V1 OOF 앙상블</w:t>
            </w:r>
          </w:p>
        </w:tc>
        <w:tc>
          <w:tcPr>
            <w:tcW w:type="dxa" w:w="1450"/>
            <w:shd w:fill="FFF4D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2024 Val</w:t>
            </w:r>
          </w:p>
        </w:tc>
        <w:tc>
          <w:tcPr>
            <w:tcW w:type="dxa" w:w="1450"/>
            <w:shd w:fill="FFF4D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789.673</w:t>
            </w:r>
          </w:p>
        </w:tc>
        <w:tc>
          <w:tcPr>
            <w:tcW w:type="dxa" w:w="2410"/>
            <w:shd w:fill="FFF4D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기존 내부 최고</w:t>
            </w:r>
          </w:p>
        </w:tc>
      </w:tr>
      <w:tr>
        <w:trPr>
          <w:cantSplit/>
        </w:trPr>
        <w:tc>
          <w:tcPr>
            <w:tcW w:type="dxa" w:w="405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222222"/>
                <w:sz w:val="16"/>
              </w:rPr>
              <w:t>Enhanced performance</w:t>
            </w:r>
          </w:p>
        </w:tc>
        <w:tc>
          <w:tcPr>
            <w:tcW w:type="dxa" w:w="145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2024 Val</w:t>
            </w:r>
          </w:p>
        </w:tc>
        <w:tc>
          <w:tcPr>
            <w:tcW w:type="dxa" w:w="145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780.318</w:t>
            </w:r>
          </w:p>
        </w:tc>
        <w:tc>
          <w:tcPr>
            <w:tcW w:type="dxa" w:w="241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기존 기반 앙상블</w:t>
            </w:r>
          </w:p>
        </w:tc>
      </w:tr>
      <w:tr>
        <w:trPr>
          <w:cantSplit/>
        </w:trPr>
        <w:tc>
          <w:tcPr>
            <w:tcW w:type="dxa" w:w="4050"/>
            <w:shd w:fill="E9F4E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222222"/>
                <w:sz w:val="16"/>
              </w:rPr>
              <w:t>Success 12 + performance</w:t>
            </w:r>
          </w:p>
        </w:tc>
        <w:tc>
          <w:tcPr>
            <w:tcW w:type="dxa" w:w="1450"/>
            <w:shd w:fill="E9F4E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2024 Val</w:t>
            </w:r>
          </w:p>
        </w:tc>
        <w:tc>
          <w:tcPr>
            <w:tcW w:type="dxa" w:w="1450"/>
            <w:shd w:fill="E9F4E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800.539</w:t>
            </w:r>
          </w:p>
        </w:tc>
        <w:tc>
          <w:tcPr>
            <w:tcW w:type="dxa" w:w="2410"/>
            <w:shd w:fill="E9F4E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안정형 후보</w:t>
            </w:r>
          </w:p>
        </w:tc>
      </w:tr>
      <w:tr>
        <w:trPr>
          <w:cantSplit/>
        </w:trPr>
        <w:tc>
          <w:tcPr>
            <w:tcW w:type="dxa" w:w="4050"/>
            <w:shd w:fill="E9F4E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222222"/>
                <w:sz w:val="16"/>
              </w:rPr>
              <w:t>Adjusted 2 + performance</w:t>
            </w:r>
          </w:p>
        </w:tc>
        <w:tc>
          <w:tcPr>
            <w:tcW w:type="dxa" w:w="1450"/>
            <w:shd w:fill="E9F4E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2024 Val</w:t>
            </w:r>
          </w:p>
        </w:tc>
        <w:tc>
          <w:tcPr>
            <w:tcW w:type="dxa" w:w="1450"/>
            <w:shd w:fill="E9F4E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801.147</w:t>
            </w:r>
          </w:p>
        </w:tc>
        <w:tc>
          <w:tcPr>
            <w:tcW w:type="dxa" w:w="2410"/>
            <w:shd w:fill="E9F4E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성능형 최고</w:t>
            </w:r>
          </w:p>
        </w:tc>
      </w:tr>
    </w:tbl>
    <w:p>
      <w:pPr>
        <w:spacing w:before="60" w:after="20"/>
      </w:pPr>
      <w:r>
        <w:rPr>
          <w:rFonts w:ascii="Malgun Gothic" w:hAnsi="Malgun Gothic" w:eastAsia="Malgun Gothic"/>
          <w:b/>
          <w:i w:val="0"/>
          <w:color w:val="2E74B5"/>
          <w:sz w:val="17"/>
        </w:rPr>
        <w:t xml:space="preserve">Optuna 25회  </w:t>
      </w:r>
      <w:r>
        <w:rPr>
          <w:rFonts w:ascii="Malgun Gothic" w:hAnsi="Malgun Gothic" w:eastAsia="Malgun Gothic"/>
          <w:b w:val="0"/>
          <w:i w:val="0"/>
          <w:color w:val="667085"/>
          <w:sz w:val="17"/>
        </w:rPr>
        <w:t>성공률 prior 전용 탐색에서도 기존 trial93 파라미터가 783.523으로 계속 1위였다. 현재 개선의 주된 원인은 하이퍼파라미터가 아니라 피처 설계다.</w:t>
      </w:r>
    </w:p>
    <w:p>
      <w:pPr>
        <w:pStyle w:val="Heading1"/>
      </w:pPr>
      <w:r>
        <w:t>4. 신규 제출 2개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200"/>
        <w:gridCol w:w="1150"/>
        <w:gridCol w:w="1400"/>
        <w:gridCol w:w="1700"/>
        <w:gridCol w:w="2910"/>
      </w:tblGrid>
      <w:tr>
        <w:trPr>
          <w:tblHeader w:val="true"/>
          <w:cantSplit/>
        </w:trPr>
        <w:tc>
          <w:tcPr>
            <w:tcW w:type="dxa" w:w="2200"/>
            <w:shd w:fill="E8EEF5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B2545"/>
                <w:sz w:val="16"/>
              </w:rPr>
              <w:t>파일</w:t>
            </w:r>
          </w:p>
        </w:tc>
        <w:tc>
          <w:tcPr>
            <w:tcW w:type="dxa" w:w="1150"/>
            <w:shd w:fill="E8EEF5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B2545"/>
                <w:sz w:val="16"/>
              </w:rPr>
              <w:t>목적</w:t>
            </w:r>
          </w:p>
        </w:tc>
        <w:tc>
          <w:tcPr>
            <w:tcW w:type="dxa" w:w="1400"/>
            <w:shd w:fill="E8EEF5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B2545"/>
                <w:sz w:val="16"/>
              </w:rPr>
              <w:t>2024 BSS</w:t>
            </w:r>
          </w:p>
        </w:tc>
        <w:tc>
          <w:tcPr>
            <w:tcW w:type="dxa" w:w="1700"/>
            <w:shd w:fill="E8EEF5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B2545"/>
                <w:sz w:val="16"/>
              </w:rPr>
              <w:t>새 XGB 비중</w:t>
            </w:r>
          </w:p>
        </w:tc>
        <w:tc>
          <w:tcPr>
            <w:tcW w:type="dxa" w:w="2910"/>
            <w:shd w:fill="E8EEF5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B2545"/>
                <w:sz w:val="16"/>
              </w:rPr>
              <w:t>전체 추론 / 크기</w:t>
            </w:r>
          </w:p>
        </w:tc>
      </w:tr>
      <w:tr>
        <w:trPr>
          <w:cantSplit/>
        </w:trPr>
        <w:tc>
          <w:tcPr>
            <w:tcW w:type="dxa" w:w="2200"/>
            <w:shd w:fill="E9F4E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222222"/>
                <w:sz w:val="16"/>
              </w:rPr>
              <w:t>submit_007.zip</w:t>
            </w:r>
          </w:p>
        </w:tc>
        <w:tc>
          <w:tcPr>
            <w:tcW w:type="dxa" w:w="1150"/>
            <w:shd w:fill="E9F4E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성능형</w:t>
            </w:r>
          </w:p>
        </w:tc>
        <w:tc>
          <w:tcPr>
            <w:tcW w:type="dxa" w:w="1400"/>
            <w:shd w:fill="E9F4E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801.147</w:t>
            </w:r>
          </w:p>
        </w:tc>
        <w:tc>
          <w:tcPr>
            <w:tcW w:type="dxa" w:w="1700"/>
            <w:shd w:fill="E9F4E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0.5284</w:t>
            </w:r>
          </w:p>
        </w:tc>
        <w:tc>
          <w:tcPr>
            <w:tcW w:type="dxa" w:w="2910"/>
            <w:shd w:fill="E9F4E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16.35초 / 109.6MB</w:t>
            </w:r>
          </w:p>
        </w:tc>
      </w:tr>
      <w:tr>
        <w:trPr>
          <w:cantSplit/>
        </w:trPr>
        <w:tc>
          <w:tcPr>
            <w:tcW w:type="dxa" w:w="2200"/>
            <w:shd w:fill="FFF4D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222222"/>
                <w:sz w:val="16"/>
              </w:rPr>
              <w:t>submit_008.zip</w:t>
            </w:r>
          </w:p>
        </w:tc>
        <w:tc>
          <w:tcPr>
            <w:tcW w:type="dxa" w:w="1150"/>
            <w:shd w:fill="FFF4D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안정형</w:t>
            </w:r>
          </w:p>
        </w:tc>
        <w:tc>
          <w:tcPr>
            <w:tcW w:type="dxa" w:w="1400"/>
            <w:shd w:fill="FFF4D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799.630</w:t>
            </w:r>
          </w:p>
        </w:tc>
        <w:tc>
          <w:tcPr>
            <w:tcW w:type="dxa" w:w="1700"/>
            <w:shd w:fill="FFF4D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0.6090</w:t>
            </w:r>
          </w:p>
        </w:tc>
        <w:tc>
          <w:tcPr>
            <w:tcW w:type="dxa" w:w="2910"/>
            <w:shd w:fill="FFF4D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16.01초 / 109.6MB</w:t>
            </w:r>
          </w:p>
        </w:tc>
      </w:tr>
    </w:tbl>
    <w:p>
      <w:pPr>
        <w:spacing w:before="60" w:after="0"/>
      </w:pPr>
      <w:r>
        <w:rPr>
          <w:rFonts w:ascii="Malgun Gothic" w:hAnsi="Malgun Gothic" w:eastAsia="Malgun Gothic"/>
          <w:b/>
          <w:i w:val="0"/>
          <w:color w:val="2E74B5"/>
          <w:sz w:val="16"/>
        </w:rPr>
        <w:t xml:space="preserve">검증 완료  </w:t>
      </w:r>
      <w:r>
        <w:rPr>
          <w:rFonts w:ascii="Malgun Gothic" w:hAnsi="Malgun Gothic" w:eastAsia="Malgun Gothic"/>
          <w:b w:val="0"/>
          <w:i w:val="0"/>
          <w:color w:val="667085"/>
          <w:sz w:val="16"/>
        </w:rPr>
        <w:t>두 ZIP 모두 2024까지 전체 재학습, 상대경로, CRC, 모델 파일, 30자 미만 파일명, 245,789행 로컬 추론을 통과했다.</w:t>
      </w:r>
    </w:p>
    <w:p>
      <w:pPr>
        <w:pStyle w:val="Heading1"/>
      </w:pPr>
      <w:r>
        <w:t>5. 다음 실험 우선순위</w:t>
      </w:r>
    </w:p>
    <w:p>
      <w:pPr>
        <w:keepLines/>
        <w:numPr>
          <w:ilvl w:val="0"/>
          <w:numId w:val="11"/>
        </w:numPr>
        <w:spacing w:after="40" w:line="254" w:lineRule="auto"/>
        <w:ind w:left="540" w:hanging="271"/>
      </w:pPr>
      <w:r>
        <w:rPr>
          <w:rFonts w:ascii="Malgun Gothic" w:hAnsi="Malgun Gothic" w:eastAsia="Malgun Gothic"/>
          <w:b/>
          <w:i w:val="0"/>
          <w:color w:val="1F4D78"/>
          <w:sz w:val="18"/>
        </w:rPr>
        <w:t xml:space="preserve">LB 확인 — </w:t>
      </w:r>
      <w:r>
        <w:rPr>
          <w:rFonts w:ascii="Malgun Gothic" w:hAnsi="Malgun Gothic" w:eastAsia="Malgun Gothic"/>
          <w:b w:val="0"/>
          <w:i w:val="0"/>
          <w:color w:val="222222"/>
          <w:sz w:val="18"/>
        </w:rPr>
        <w:t>007 → 008 순으로 제출하고 내부 검증과 LB 방향이 일치하는지 기록한다.</w:t>
      </w:r>
    </w:p>
    <w:p>
      <w:pPr>
        <w:keepLines/>
        <w:numPr>
          <w:ilvl w:val="0"/>
          <w:numId w:val="11"/>
        </w:numPr>
        <w:spacing w:after="40" w:line="254" w:lineRule="auto"/>
        <w:ind w:left="540" w:hanging="271"/>
      </w:pPr>
      <w:r>
        <w:rPr>
          <w:rFonts w:ascii="Malgun Gothic" w:hAnsi="Malgun Gothic" w:eastAsia="Malgun Gothic"/>
          <w:b/>
          <w:i w:val="0"/>
          <w:color w:val="1F4D78"/>
          <w:sz w:val="18"/>
        </w:rPr>
        <w:t xml:space="preserve">보정 강도 미세 탐색 — </w:t>
      </w:r>
      <w:r>
        <w:rPr>
          <w:rFonts w:ascii="Malgun Gothic" w:hAnsi="Malgun Gothic" w:eastAsia="Malgun Gothic"/>
          <w:b w:val="0"/>
          <w:i w:val="0"/>
          <w:color w:val="222222"/>
          <w:sz w:val="18"/>
        </w:rPr>
        <w:t>adjusted gap 축소계수와 smoothing 100·150·200·250·300을 좁게 비교한다.</w:t>
      </w:r>
    </w:p>
    <w:p>
      <w:pPr>
        <w:keepLines/>
        <w:numPr>
          <w:ilvl w:val="0"/>
          <w:numId w:val="11"/>
        </w:numPr>
        <w:spacing w:after="40" w:line="254" w:lineRule="auto"/>
        <w:ind w:left="540" w:hanging="271"/>
      </w:pPr>
      <w:r>
        <w:rPr>
          <w:rFonts w:ascii="Malgun Gothic" w:hAnsi="Malgun Gothic" w:eastAsia="Malgun Gothic"/>
          <w:b/>
          <w:i w:val="0"/>
          <w:color w:val="1F4D78"/>
          <w:sz w:val="18"/>
        </w:rPr>
        <w:t xml:space="preserve">역방향 전용 OOF — </w:t>
      </w:r>
      <w:r>
        <w:rPr>
          <w:rFonts w:ascii="Malgun Gothic" w:hAnsi="Malgun Gothic" w:eastAsia="Malgun Gothic"/>
          <w:b w:val="0"/>
          <w:i w:val="0"/>
          <w:color w:val="222222"/>
          <w:sz w:val="18"/>
        </w:rPr>
        <w:t>단순 시즌 prior 대신 볼카운트·타자/투수 특성·요구 방향 대리변수로 별도 위험 점수를 만든다.</w:t>
      </w:r>
    </w:p>
    <w:p>
      <w:pPr>
        <w:keepLines/>
        <w:numPr>
          <w:ilvl w:val="0"/>
          <w:numId w:val="11"/>
        </w:numPr>
        <w:spacing w:after="40" w:line="254" w:lineRule="auto"/>
        <w:ind w:left="540" w:hanging="271"/>
      </w:pPr>
      <w:r>
        <w:rPr>
          <w:rFonts w:ascii="Malgun Gothic" w:hAnsi="Malgun Gothic" w:eastAsia="Malgun Gothic"/>
          <w:b/>
          <w:i w:val="0"/>
          <w:color w:val="1F4D78"/>
          <w:sz w:val="18"/>
        </w:rPr>
        <w:t xml:space="preserve">가중치 재조정 — </w:t>
      </w:r>
      <w:r>
        <w:rPr>
          <w:rFonts w:ascii="Malgun Gothic" w:hAnsi="Malgun Gothic" w:eastAsia="Malgun Gothic"/>
          <w:b w:val="0"/>
          <w:i w:val="0"/>
          <w:color w:val="222222"/>
          <w:sz w:val="18"/>
        </w:rPr>
        <w:t>두 LB 결과를 이용해 성능형/안정형 외부 혼합 비중을 조정하되 시간 순서와 TrackMan 500구 규칙을 유지한다.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left"/>
      </w:tabs>
      <w:spacing w:after="0"/>
    </w:pPr>
    <w:r>
      <w:rPr>
        <w:rFonts w:ascii="Malgun Gothic" w:hAnsi="Malgun Gothic" w:eastAsia="Malgun Gothic"/>
        <w:b w:val="0"/>
        <w:i w:val="0"/>
        <w:color w:val="667085"/>
        <w:sz w:val="16"/>
      </w:rPr>
      <w:t>Internal working brief</w:t>
    </w:r>
    <w:r>
      <w:rPr>
        <w:rFonts w:ascii="Malgun Gothic" w:hAnsi="Malgun Gothic" w:eastAsia="Malgun Gothic"/>
        <w:b w:val="0"/>
        <w:i w:val="0"/>
        <w:color w:val="667085"/>
        <w:sz w:val="16"/>
      </w:rPr>
      <w:tab/>
      <w:t>2-page brief | 2026-08-12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Malgun Gothic" w:hAnsi="Malgun Gothic" w:eastAsia="Malgun Gothic"/>
        <w:b/>
        <w:i w:val="0"/>
        <w:color w:val="667085"/>
        <w:sz w:val="16"/>
      </w:rPr>
      <w:t>LG Aimers | 제구 성공 확률 예측</w:t>
    </w:r>
    <w:r>
      <w:rPr>
        <w:rFonts w:ascii="Malgun Gothic" w:hAnsi="Malgun Gothic" w:eastAsia="Malgun Gothic"/>
        <w:b w:val="0"/>
        <w:i w:val="0"/>
        <w:color w:val="667085"/>
        <w:sz w:val="16"/>
      </w:rPr>
      <w:tab/>
      <w:t>2026-08-12 업데이트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9" w:lineRule="auto"/>
    </w:pPr>
    <w:rPr>
      <w:rFonts w:ascii="Malgun Gothic" w:hAnsi="Malgun Gothic" w:eastAsia="Malgun Gothic"/>
      <w:color w:val="22222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LG Aimers 제구 성공 확률 예측 - 인사이트 및 성능 요약</dc:title>
  <dc:subject>2026-08-12 실험 및 제출 결과를 반영한 2페이지 요약</dc:subject>
  <dc:creator>LG Aimers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