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MLB 투구 전 CSW 예측 모델 — 결과 요약</w:t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Statcast 2017–2019 · 투구 단위 · train 2017–18 / test 2019 · 2026-07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7E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before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결론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모델은 LogLoss 0.5721 / ROC-AUC 0.6378로 기준선(count-only 0.5790)을 명확히 이기며 확률 보정이 거의 완벽하다.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그러나 개별 투구를 ‘CSW다/아니다’로 판정하는 용도로는 무의미하다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(정확도 0.714 vs ‘항상 아니다’ 0.717). </w:t>
            </w:r>
          </w:p>
          <w:p>
            <w:pPr>
              <w:spacing w:after="0" w:before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원인 진단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CSW 신호의 대부분은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‘그 공이 어디로 갔는가’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 있고 이는 정의상 투구 전에 알 수 없다. 현재 투구 위치를 넣으면 AUC가 0.613→0.739로 뛰지만,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투구 전 피처 311개 전부로는 0.613→0.638에 그친다. 즉 남은 격차는 모델이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정보의 부재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다.</w:t>
            </w:r>
          </w:p>
        </w:tc>
      </w:tr>
    </w:tbl>
    <w:p>
      <w:pPr>
        <w:spacing w:after="70" w:before="0" w:line="232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Bdr>
          <w:bottom w:val="single" w:color="1F3864" w:sz="8"/>
        </w:pBdr>
        <w:spacing w:after="55" w:before="105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과제와 데이터</w:t>
      </w:r>
    </w:p>
    <w:p>
      <w:pPr>
        <w:spacing w:after="62" w:before="0" w:line="232"/>
      </w:pPr>
      <w:r>
        <w:rPr>
          <w:rFonts w:ascii="Malgun Gothic" w:cs="Malgun Gothic" w:eastAsia="Malgun Gothic" w:hAnsi="Malgun Gothic"/>
          <w:sz w:val="19"/>
          <w:szCs w:val="19"/>
        </w:rPr>
        <w:t xml:space="preserve">CSW(Called Strike + Whiff)는 소표본에서 ERA·WHIP보다 안정적인 투수 지배력 지표다. 본 과제는 투구 전에 알 수 있는 정보만으로 그 투구의 CSW 확률을 예측한다.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600"/>
      </w:tblGrid>
      <w:tr>
        <w:tc>
          <w:tcPr>
            <w:tcW w:type="dxa" w:w="190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60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원천 데이터</w:t>
            </w:r>
          </w:p>
        </w:tc>
        <w:tc>
          <w:tcPr>
            <w:tcW w:type="dxa" w:w="7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MLB Statcast 2017–2019 정규시즌 (pybaseball), 2,201,095투구 × 122열</w:t>
            </w:r>
          </w:p>
        </w:tc>
      </w:tr>
      <w:tr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라벨</w:t>
            </w:r>
          </w:p>
        </w:tc>
        <w:tc>
          <w:tcPr>
            <w:tcW w:type="dxa" w:w="7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is_csw = called_strike + swinging_strike(+blocked), 기저 비율 28.3%(2019)</w:t>
            </w:r>
          </w:p>
        </w:tc>
      </w:tr>
      <w:tr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분할</w:t>
            </w:r>
          </w:p>
        </w:tc>
        <w:tc>
          <w:tcPr>
            <w:tcW w:type="dxa" w:w="7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train 2017–2018 (238,054) / test 2019 (94,150) — 미래 시즌 외삽</w:t>
            </w:r>
          </w:p>
        </w:tc>
      </w:tr>
      <w:tr>
        <w:tc>
          <w:tcPr>
            <w:tcW w:type="dxa" w:w="19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분석 표본</w:t>
            </w:r>
          </w:p>
        </w:tc>
        <w:tc>
          <w:tcPr>
            <w:tcW w:type="dxa" w:w="76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상위 40투수 (계산 자원 제약)</w:t>
            </w:r>
          </w:p>
        </w:tc>
      </w:tr>
    </w:tbl>
    <w:p>
      <w:pPr>
        <w:spacing w:after="50" w:before="0" w:line="232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Bdr>
          <w:bottom w:val="single" w:color="1F3864" w:sz="8"/>
        </w:pBdr>
        <w:spacing w:after="55" w:before="105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방법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00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설계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예측 시점</w:t>
            </w:r>
          </w:p>
        </w:tc>
        <w:tc>
          <w:tcPr>
            <w:tcW w:type="dxa" w:w="8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엄격한 투구 전 — 예측 대상 투구의 물리값·위치·릴리스각·구종·결과를 전부 입력에서 제외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누수 차단·평가</w:t>
            </w:r>
          </w:p>
        </w:tc>
        <w:tc>
          <w:tcPr>
            <w:tcW w:type="dxa" w:w="8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모든 이력·인코딩을 시간 정렬 후 shift(1)로 계산(금지 열은 assert 검증). prequential — 2019 진행 중 이력 피처만 갱신하고 파라미터는 2017–18에 고정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피처 311개</w:t>
            </w:r>
          </w:p>
        </w:tc>
        <w:tc>
          <w:tcPr>
            <w:tcW w:type="dxa" w:w="8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투수 이력 6지표×7창 · 구종별 아스널 · 릴리스 반복성 · 타자 73개 · 워크로드 12개 · 시퀀싱·직전타석·타순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모델</w:t>
            </w:r>
          </w:p>
        </w:tc>
        <w:tc>
          <w:tcPr>
            <w:tcW w:type="dxa" w:w="8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로지스틱 / RF / ExtraTrees / HistGB / LightGBM / XGBoost — 계열별 Optuna 독립 튜닝</w:t>
            </w:r>
          </w:p>
        </w:tc>
      </w:tr>
      <w:tr>
        <w:tc>
          <w:tcPr>
            <w:tcW w:type="dxa" w:w="1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구조 개선</w:t>
            </w:r>
          </w:p>
        </w:tc>
        <w:tc>
          <w:tcPr>
            <w:tcW w:type="dxa" w:w="8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CS/W 분해:  P(CSW) = P(swing)·P(whiff|swing) + P(take)·P(called|take)</w:t>
            </w:r>
          </w:p>
        </w:tc>
      </w:tr>
    </w:tbl>
    <w:p>
      <w:pPr>
        <w:spacing w:after="50" w:before="0" w:line="232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Bdr>
          <w:bottom w:val="single" w:color="1F3864" w:sz="8"/>
        </w:pBdr>
        <w:spacing w:after="55" w:before="105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결과 (TEST 2019, 94,150투구)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50"/>
        <w:gridCol w:w="1450"/>
        <w:gridCol w:w="1450"/>
        <w:gridCol w:w="1450"/>
      </w:tblGrid>
      <w:tr>
        <w:tc>
          <w:tcPr>
            <w:tcW w:type="dxa" w:w="370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모델</w:t>
            </w:r>
          </w:p>
        </w:tc>
        <w:tc>
          <w:tcPr>
            <w:tcW w:type="dxa" w:w="145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LogLoss ↓</w:t>
            </w:r>
          </w:p>
        </w:tc>
        <w:tc>
          <w:tcPr>
            <w:tcW w:type="dxa" w:w="145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ROC-AUC ↑</w:t>
            </w:r>
          </w:p>
        </w:tc>
        <w:tc>
          <w:tcPr>
            <w:tcW w:type="dxa" w:w="145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F1</w:t>
            </w:r>
          </w:p>
        </w:tc>
        <w:tc>
          <w:tcPr>
            <w:tcW w:type="dxa" w:w="145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정확도</w:t>
            </w:r>
          </w:p>
        </w:tc>
      </w:tr>
      <w:tr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기준: 리그평균 상수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0.5957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0.500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0.441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0.717</w:t>
            </w:r>
          </w:p>
        </w:tc>
      </w:tr>
      <w:tr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기준: count-only (카운트+좌우)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0.5790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0.614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0.458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0.717</w:t>
            </w:r>
          </w:p>
        </w:tc>
      </w:tr>
      <w:tr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E  +PitchPredict 피처 +Optuna 40회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0.5734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0.633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0.468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0.708</w:t>
            </w:r>
          </w:p>
        </w:tc>
      </w:tr>
      <w:tr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I  계열 최고 (LightGBM, 311피처)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0.5730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0.635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0.469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0.708</w:t>
            </w:r>
          </w:p>
        </w:tc>
      </w:tr>
      <w:tr>
        <w:tc>
          <w:tcPr>
            <w:tcW w:type="dxa" w:w="3700"/>
            <w:shd w:fill="F2F7E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최종  LightGBM + CS/W 분해 앙상블</w:t>
            </w:r>
          </w:p>
        </w:tc>
        <w:tc>
          <w:tcPr>
            <w:tcW w:type="dxa" w:w="1450"/>
            <w:shd w:fill="F2F7E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0.5721</w:t>
            </w:r>
          </w:p>
        </w:tc>
        <w:tc>
          <w:tcPr>
            <w:tcW w:type="dxa" w:w="1450"/>
            <w:shd w:fill="F2F7E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0.6378</w:t>
            </w:r>
          </w:p>
        </w:tc>
        <w:tc>
          <w:tcPr>
            <w:tcW w:type="dxa" w:w="1450"/>
            <w:shd w:fill="F2F7E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0.470</w:t>
            </w:r>
          </w:p>
        </w:tc>
        <w:tc>
          <w:tcPr>
            <w:tcW w:type="dxa" w:w="1450"/>
            <w:shd w:fill="F2F7EC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0.704</w:t>
            </w:r>
          </w:p>
        </w:tc>
      </w:tr>
      <w:tr>
        <w:tc>
          <w:tcPr>
            <w:tcW w:type="dxa" w:w="37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(대조) 현재 투구 위치 포함 — 투구 후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0.5355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0.7205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0.736</w:t>
            </w:r>
          </w:p>
        </w:tc>
      </w:tr>
    </w:tbl>
    <w:p>
      <w:pPr>
        <w:spacing w:after="40" w:before="0" w:line="232"/>
      </w:pPr>
      <w:r>
        <w:rPr>
          <w:rFonts w:ascii="Malgun Gothic" w:cs="Malgun Gothic" w:eastAsia="Malgun Gothic" w:hAnsi="Malgun Gothic"/>
          <w:color w:val="666666"/>
          <w:sz w:val="15"/>
          <w:szCs w:val="15"/>
        </w:rPr>
        <w:t xml:space="preserve">주: ‘항상 아니다’ 전략의 정확도가 0.7171이므로 정확도 기준으로는 어떤 모델도 기준선을 넘지 못한다. 마지막 행은 예측 시점 규칙을 의도적으로 위반한 대조군(달성 가능한 상한).</w:t>
      </w:r>
    </w:p>
    <w:p>
      <w:pPr>
        <w:pBdr>
          <w:bottom w:val="single" w:color="1F3864" w:sz="8"/>
        </w:pBdr>
        <w:spacing w:after="55" w:before="105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종합 결과</w:t>
      </w:r>
    </w:p>
    <w:p>
      <w:pPr>
        <w:spacing w:after="60"/>
        <w:jc w:val="center"/>
      </w:pPr>
      <w:r>
        <w:drawing>
          <wp:inline distT="0" distB="0" distL="0" distR="0">
            <wp:extent cx="44577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2" w:before="0" w:line="232"/>
        <w:jc w:val="center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그림. ①라운드별 성능 ②천장 진단 ③피처군 기여도 ④확률 보정 ⑤이진 판정 한계 ⑥비율 예측 비교</w:t>
      </w:r>
    </w:p>
    <w:p>
      <w:pPr>
        <w:spacing w:after="50" w:before="0" w:line="232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Bdr>
          <w:bottom w:val="single" w:color="1F3864" w:sz="8"/>
        </w:pBdr>
        <w:spacing w:after="55" w:before="105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핵심 발견</w:t>
      </w:r>
    </w:p>
    <w:p>
      <w:pPr>
        <w:spacing w:after="62" w:before="0" w:line="232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① 과제의 천장이 낮다 — 그리고 그 이유를 정량화했다. </w:t>
      </w:r>
      <w:r>
        <w:rPr>
          <w:rFonts w:ascii="Malgun Gothic" w:cs="Malgun Gothic" w:eastAsia="Malgun Gothic" w:hAnsi="Malgun Gothic"/>
          <w:sz w:val="19"/>
          <w:szCs w:val="19"/>
        </w:rPr>
        <w:t xml:space="preserve">현재 투구의 위치 4개 컬럼만 추가하면 AUC가 0.613→0.739(+0.126)로 오르는데, 투구 전 피처 311개 전부로는 +0.025에 불과하다. CSW 신호의 약 9할이 ‘실제 투구 실행’에 있고, 이는 예측 시점에 원리적으로 접근할 수 없다.</w:t>
      </w:r>
    </w:p>
    <w:p>
      <w:pPr>
        <w:spacing w:after="62" w:before="0" w:line="232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② 이진 판정기로는 무가치, 확률 추정기로는 유효하다. </w:t>
      </w:r>
      <w:r>
        <w:rPr>
          <w:rFonts w:ascii="Malgun Gothic" w:cs="Malgun Gothic" w:eastAsia="Malgun Gothic" w:hAnsi="Malgun Gothic"/>
          <w:sz w:val="19"/>
          <w:szCs w:val="19"/>
        </w:rPr>
        <w:t xml:space="preserve">정확도 0.714는 ‘항상 아니다’(0.717)와 동급, F1 0.470은 ‘전부 CSW’(0.441)를 겨우 넘는다. 반면 예측 확률의 십분위별 실제 CSW율은 15%→15%, 46%→45%로 일치하며 최저·최고를 3배로 구분한다. 활용처는 판정이 아니라 기대 CSW율 산출이다.</w:t>
      </w:r>
    </w:p>
    <w:p>
      <w:pPr>
        <w:spacing w:after="62" w:before="0" w:line="232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③ 성능 개선은 피처가 아니라 구조에서 나왔다. </w:t>
      </w:r>
      <w:r>
        <w:rPr>
          <w:rFonts w:ascii="Malgun Gothic" w:cs="Malgun Gothic" w:eastAsia="Malgun Gothic" w:hAnsi="Malgun Gothic"/>
          <w:sz w:val="19"/>
          <w:szCs w:val="19"/>
        </w:rPr>
        <w:t xml:space="preserve">피처 137개를 추가해도 LogLoss는 정체됐으나(AUC만 상승), CSW를 콜드스트라이크와 헛스윙으로 분해하니 일관되게 개선됐다(단일 0.5734 → 분해 0.5727 → 앙상블 0.5721). 계열 교체 효과는 미미(최고↔최하 0.0076)했고 동일 계열 앙상블은 단일 최고보다 나빴다.</w:t>
      </w:r>
    </w:p>
    <w:p>
      <w:pPr>
        <w:spacing w:after="40" w:before="0" w:line="232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Bdr>
          <w:bottom w:val="single" w:color="1F3864" w:sz="8"/>
        </w:pBdr>
        <w:spacing w:after="55" w:before="105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6. 부가 발견</w:t>
      </w:r>
    </w:p>
    <w:p>
      <w:pPr>
        <w:spacing w:after="60" w:before="0" w:line="232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피처 격리 측정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타자 정보 73개의 순기여는 −0.0022로 모델 중요도의 31%를 차지한다. 누적 ablation에서는 다른 피처와 상쇄돼 보이지 않아 격리 측정이 필수였다. 워크로드 12개는 −0.0008로 작지만, 평소 대비 1.25배 초과 투구 시 CSW가 0.211, 1.5배 초과 시 0.148까지 떨어지는 뚜렷한 피로 신호를 확인했다(평균 0.283, 해당 구간 표본 0.2%).</w:t>
      </w:r>
    </w:p>
    <w:p>
      <w:pPr>
        <w:spacing w:after="40" w:before="0" w:line="232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설계 교훈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투수별 개별 모델은 LightGBM으로는 전체 모델보다 열등(0.605 vs 0.577)했으나 TabPFN은 0.576으로 양호해, 소표본에는 부분 풀링이나 사전학습 모델이 적합함을 확인했다. 또한 경기그룹 번갈아 K-fold는 시간을 뒤섞어 낙관 편향을 만들어(XGBoost 검증 2위→테스트 4위) 모델 선택을 왜곡하므로, 시간순 분할이 안전하다.</w:t>
      </w:r>
    </w:p>
    <w:p>
      <w:pPr>
        <w:pBdr>
          <w:bottom w:val="single" w:color="1F3864" w:sz="8"/>
        </w:pBdr>
        <w:spacing w:after="55" w:before="105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7. 결론 및 다음 단계</w:t>
      </w:r>
    </w:p>
    <w:p>
      <w:pPr>
        <w:spacing w:after="60" w:before="0" w:line="232"/>
      </w:pPr>
      <w:r>
        <w:rPr>
          <w:rFonts w:ascii="Malgun Gothic" w:cs="Malgun Gothic" w:eastAsia="Malgun Gothic" w:hAnsi="Malgun Gothic"/>
          <w:sz w:val="19"/>
          <w:szCs w:val="19"/>
        </w:rPr>
        <w:t xml:space="preserve">투구 전 정보만 쓰는 개별 투구 CSW 예측은 사실상 한계에 도달했다. 기준선 대비 개선과 확률 보정은 실재하나 절대 개선폭(−0.007)은 실용 가치가 제한적이다. 모델링 실패가 아니라 과제 정의의 구조적 한계이므로 아래 전환을 권고한다.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00"/>
        <w:gridCol w:w="2000"/>
      </w:tblGrid>
      <w:tr>
        <w:tc>
          <w:tcPr>
            <w:tcW w:type="dxa" w:w="230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방향</w:t>
            </w:r>
          </w:p>
        </w:tc>
        <w:tc>
          <w:tcPr>
            <w:tcW w:type="dxa" w:w="520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2000"/>
            <w:shd w:fill="DEE6F1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근거</w:t>
            </w:r>
          </w:p>
        </w:tc>
      </w:tr>
      <w:tr>
        <w:tc>
          <w:tcPr>
            <w:tcW w:type="dxa" w:w="23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 xCSW — 투구 품질 평가</w:t>
            </w:r>
          </w:p>
        </w:tc>
        <w:tc>
          <w:tcPr>
            <w:tcW w:type="dxa" w:w="5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현재 투구의 위치·구위를 의도적으로 입력해 ‘기대 CSW’ 산출. 예측이 아니라 운·수비·심판 편차를 제거한 투수 평가 지표(Stuff+ 계열)</w:t>
            </w:r>
          </w:p>
        </w:tc>
        <w:tc>
          <w:tcPr>
            <w:tcW w:type="dxa" w:w="2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동일 설정 AUC 0.756</w:t>
            </w:r>
          </w:p>
        </w:tc>
      </w:tr>
      <w:tr>
        <w:tc>
          <w:tcPr>
            <w:tcW w:type="dxa" w:w="23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② 경기 단위 CSW% 직접 예측</w:t>
            </w:r>
          </w:p>
        </w:tc>
        <w:tc>
          <w:tcPr>
            <w:tcW w:type="dxa" w:w="52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투구 확률 평균이 아니라 투수-경기 비율을 직접 모델링(상대 타선·구장·휴식 포함)</w:t>
            </w:r>
          </w:p>
        </w:tc>
        <w:tc>
          <w:tcPr>
            <w:tcW w:type="dxa" w:w="20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pPr>
              <w:spacing w:after="0" w:line="218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현재 R² 0.075 vs 이동평균 0.244</w:t>
            </w:r>
          </w:p>
        </w:tc>
      </w:tr>
    </w:tbl>
    <w:p>
      <w:pPr>
        <w:spacing w:after="50" w:before="0" w:line="232"/>
      </w:pPr>
      <w:r>
        <w:rPr>
          <w:rFonts w:ascii="Malgun Gothic" w:cs="Malgun Gothic" w:eastAsia="Malgun Gothic" w:hAnsi="Malgun Gothic"/>
          <w:sz w:val="19"/>
          <w:szCs w:val="19"/>
        </w:rPr>
        <w:t xml:space="preserve">단기 후보: 분해 3모델 개별 튜닝(현재 파라미터 공유), 확률 보정(isotonic), 전체 투수로 표본 확대, 부분 풀링.</w:t>
      </w:r>
    </w:p>
    <w:p>
      <w:pPr>
        <w:spacing w:after="62" w:before="0" w:line="232"/>
      </w:pPr>
      <w:r>
        <w:rPr>
          <w:rFonts w:ascii="Malgun Gothic" w:cs="Malgun Gothic" w:eastAsia="Malgun Gothic" w:hAnsi="Malgun Gothic"/>
          <w:color w:val="666666"/>
          <w:sz w:val="16"/>
          <w:szCs w:val="16"/>
        </w:rPr>
        <w:t xml:space="preserve">산출물: 노트북 A~I (라운드별 실험·그래프), AGENT_HANDOFF.md (인수인계), out/ (지표 JSON·CSV·그림)</w:t>
      </w:r>
    </w:p>
    <w:sectPr>
      <w:pgSz w:w="11906" w:h="16838" w:orient="portrait"/>
      <w:pgMar w:top="600" w:right="660" w:bottom="52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75a197240c90a0f30c0ce441992e4b277e89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2026-07-28T07:41:58.996Z</dcterms:created>
  <dcterms:modified xsi:type="dcterms:W3CDTF">2026-07-28T07:41:58.997Z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