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del Servidor Intranet (Ubuntu 24.04)</w:t>
      </w:r>
    </w:p>
    <w:p>
      <w:r>
        <w:t>Este documento detalla la configuración y arquitectura del servidor de producción y QA para el proyecto Intranet.</w:t>
      </w:r>
    </w:p>
    <w:p>
      <w:pPr>
        <w:pStyle w:val="Heading1"/>
      </w:pPr>
      <w:r>
        <w:rPr>
          <w:color w:val="003366"/>
        </w:rPr>
        <w:t>1. Componentes Instalados</w:t>
      </w:r>
    </w:p>
    <w:p>
      <w:r>
        <w:t>El servidor utiliza las siguientes tecnologías principales:</w:t>
      </w:r>
    </w:p>
    <w:p>
      <w:pPr>
        <w:pStyle w:val="ListBullet"/>
      </w:pPr>
      <w:r>
        <w:rPr>
          <w:b/>
        </w:rPr>
        <w:t>Sistema Operativo:</w:t>
      </w:r>
      <w:r>
        <w:t xml:space="preserve"> Ubuntu 24.04 LTS</w:t>
      </w:r>
    </w:p>
    <w:p>
      <w:pPr>
        <w:pStyle w:val="ListBullet"/>
      </w:pPr>
      <w:r>
        <w:rPr>
          <w:b/>
        </w:rPr>
        <w:t>Base de Datos:</w:t>
      </w:r>
      <w:r>
        <w:t xml:space="preserve"> PostgreSQL</w:t>
      </w:r>
    </w:p>
    <w:p>
      <w:pPr>
        <w:pStyle w:val="ListBullet"/>
      </w:pPr>
      <w:r>
        <w:rPr>
          <w:b/>
        </w:rPr>
        <w:t>Lenguaje Base:</w:t>
      </w:r>
      <w:r>
        <w:t xml:space="preserve"> Python 3 (entornos virtuales venv)</w:t>
      </w:r>
    </w:p>
    <w:p>
      <w:pPr>
        <w:pStyle w:val="ListBullet"/>
      </w:pPr>
      <w:r>
        <w:rPr>
          <w:b/>
        </w:rPr>
        <w:t>Servidor Web / Proxy Inverso:</w:t>
      </w:r>
      <w:r>
        <w:t xml:space="preserve"> Apache2</w:t>
      </w:r>
    </w:p>
    <w:p>
      <w:pPr>
        <w:pStyle w:val="ListBullet"/>
      </w:pPr>
      <w:r>
        <w:rPr>
          <w:b/>
        </w:rPr>
        <w:t>Framework Web:</w:t>
      </w:r>
      <w:r>
        <w:t xml:space="preserve"> FastAPI (ejecutado con Uvicorn)</w:t>
      </w:r>
    </w:p>
    <w:p>
      <w:pPr>
        <w:pStyle w:val="ListBullet"/>
      </w:pPr>
      <w:r>
        <w:rPr>
          <w:b/>
        </w:rPr>
        <w:t>ORM:</w:t>
      </w:r>
      <w:r>
        <w:t xml:space="preserve"> SQLAlchemy</w:t>
      </w:r>
    </w:p>
    <w:p>
      <w:pPr>
        <w:pStyle w:val="ListBullet"/>
      </w:pPr>
      <w:r>
        <w:rPr>
          <w:b/>
        </w:rPr>
        <w:t>Otras librerías:</w:t>
      </w:r>
      <w:r>
        <w:t xml:space="preserve"> psycopg2-binary, passlib, bcrypt, jinja2, pandas, openpyxl, python-jose, python-multipart</w:t>
      </w:r>
    </w:p>
    <w:p>
      <w:pPr>
        <w:pStyle w:val="Heading1"/>
      </w:pPr>
      <w:r>
        <w:rPr>
          <w:color w:val="003366"/>
        </w:rPr>
        <w:t>2. Rutas y Carpetas Principales</w:t>
      </w:r>
    </w:p>
    <w:p>
      <w:pPr>
        <w:pStyle w:val="Heading2"/>
      </w:pPr>
      <w:r>
        <w:rPr>
          <w:color w:val="003366"/>
        </w:rPr>
        <w:t>Entorno de Producción (PROD)</w:t>
      </w:r>
    </w:p>
    <w:p>
      <w:r>
        <w:rPr>
          <w:b/>
        </w:rPr>
        <w:t xml:space="preserve">Ruta Base: </w:t>
      </w:r>
      <w:r>
        <w:t>/var/www/intranet_prod</w:t>
        <w:br/>
      </w:r>
      <w:r>
        <w:rPr>
          <w:b/>
        </w:rPr>
        <w:t xml:space="preserve">Archivos Estáticos: </w:t>
      </w:r>
      <w:r>
        <w:t>/var/www/intranet_prod/static</w:t>
        <w:br/>
      </w:r>
      <w:r>
        <w:rPr>
          <w:b/>
        </w:rPr>
        <w:t xml:space="preserve">Plantillas HTML: </w:t>
      </w:r>
      <w:r>
        <w:t>/var/www/intranet_prod/templates</w:t>
        <w:br/>
      </w:r>
      <w:r>
        <w:rPr>
          <w:b/>
        </w:rPr>
        <w:t xml:space="preserve">Entorno Virtual: </w:t>
      </w:r>
      <w:r>
        <w:t>/var/www/intranet_prod/venv</w:t>
        <w:br/>
      </w:r>
    </w:p>
    <w:p>
      <w:pPr>
        <w:pStyle w:val="Heading2"/>
      </w:pPr>
      <w:r>
        <w:rPr>
          <w:color w:val="003366"/>
        </w:rPr>
        <w:t>Entorno de Pruebas (QA)</w:t>
      </w:r>
    </w:p>
    <w:p>
      <w:r>
        <w:rPr>
          <w:b/>
        </w:rPr>
        <w:t xml:space="preserve">Ruta Base: </w:t>
      </w:r>
      <w:r>
        <w:t>/var/www/intranet_qa</w:t>
        <w:br/>
      </w:r>
      <w:r>
        <w:rPr>
          <w:b/>
        </w:rPr>
        <w:t xml:space="preserve">Entorno Virtual: </w:t>
      </w:r>
      <w:r>
        <w:t>/var/www/intranet_qa/venv</w:t>
        <w:br/>
      </w:r>
    </w:p>
    <w:p>
      <w:pPr>
        <w:pStyle w:val="Heading1"/>
      </w:pPr>
      <w:r>
        <w:rPr>
          <w:color w:val="003366"/>
        </w:rPr>
        <w:t>3. Configuración de Bases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Parámetro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Motor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  <w:tr>
        <w:tc>
          <w:tcPr>
            <w:tcW w:type="dxa" w:w="4320"/>
          </w:tcPr>
          <w:p>
            <w:r>
              <w:t>Usuario DB</w:t>
            </w:r>
          </w:p>
        </w:tc>
        <w:tc>
          <w:tcPr>
            <w:tcW w:type="dxa" w:w="4320"/>
          </w:tcPr>
          <w:p>
            <w:r>
              <w:t>intranet_user</w:t>
            </w:r>
          </w:p>
        </w:tc>
      </w:tr>
      <w:tr>
        <w:tc>
          <w:tcPr>
            <w:tcW w:type="dxa" w:w="4320"/>
          </w:tcPr>
          <w:p>
            <w:r>
              <w:t>Contraseña DB</w:t>
            </w:r>
          </w:p>
        </w:tc>
        <w:tc>
          <w:tcPr>
            <w:tcW w:type="dxa" w:w="4320"/>
          </w:tcPr>
          <w:p>
            <w:r>
              <w:t>Redes2010</w:t>
            </w:r>
          </w:p>
        </w:tc>
      </w:tr>
      <w:tr>
        <w:tc>
          <w:tcPr>
            <w:tcW w:type="dxa" w:w="4320"/>
          </w:tcPr>
          <w:p>
            <w:r>
              <w:t>Base de Datos PROD</w:t>
            </w:r>
          </w:p>
        </w:tc>
        <w:tc>
          <w:tcPr>
            <w:tcW w:type="dxa" w:w="4320"/>
          </w:tcPr>
          <w:p>
            <w:r>
              <w:t>intranet_prod</w:t>
            </w:r>
          </w:p>
        </w:tc>
      </w:tr>
      <w:tr>
        <w:tc>
          <w:tcPr>
            <w:tcW w:type="dxa" w:w="4320"/>
          </w:tcPr>
          <w:p>
            <w:r>
              <w:t>Base de Datos QA</w:t>
            </w:r>
          </w:p>
        </w:tc>
        <w:tc>
          <w:tcPr>
            <w:tcW w:type="dxa" w:w="4320"/>
          </w:tcPr>
          <w:p>
            <w:r>
              <w:t>intranet_qa</w:t>
            </w:r>
          </w:p>
        </w:tc>
      </w:tr>
    </w:tbl>
    <w:p>
      <w:pPr>
        <w:pStyle w:val="Heading1"/>
      </w:pPr>
      <w:r>
        <w:rPr>
          <w:color w:val="003366"/>
        </w:rPr>
        <w:t>4. Servicios y Puertos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Servicio</w:t>
            </w:r>
          </w:p>
        </w:tc>
        <w:tc>
          <w:tcPr>
            <w:tcW w:type="dxa" w:w="2880"/>
          </w:tcPr>
          <w:p>
            <w:r>
              <w:t>Puerto Interno</w:t>
            </w:r>
          </w:p>
        </w:tc>
        <w:tc>
          <w:tcPr>
            <w:tcW w:type="dxa" w:w="2880"/>
          </w:tcPr>
          <w:p>
            <w:r>
              <w:t>Puerto Expuesto (Apache)</w:t>
            </w:r>
          </w:p>
        </w:tc>
      </w:tr>
      <w:tr>
        <w:tc>
          <w:tcPr>
            <w:tcW w:type="dxa" w:w="2880"/>
          </w:tcPr>
          <w:p>
            <w:r>
              <w:t>FastAPI - Producción (uvicorn)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  <w:tc>
          <w:tcPr>
            <w:tcW w:type="dxa" w:w="2880"/>
          </w:tcPr>
          <w:p>
            <w:r>
              <w:t>80 (pow-intranet)</w:t>
            </w:r>
          </w:p>
        </w:tc>
      </w:tr>
      <w:tr>
        <w:tc>
          <w:tcPr>
            <w:tcW w:type="dxa" w:w="2880"/>
          </w:tcPr>
          <w:p>
            <w:r>
              <w:t>FastAPI - QA (uvicorn)</w:t>
            </w:r>
          </w:p>
        </w:tc>
        <w:tc>
          <w:tcPr>
            <w:tcW w:type="dxa" w:w="2880"/>
          </w:tcPr>
          <w:p>
            <w:r>
              <w:t>8001</w:t>
            </w:r>
          </w:p>
        </w:tc>
        <w:tc>
          <w:tcPr>
            <w:tcW w:type="dxa" w:w="2880"/>
          </w:tcPr>
          <w:p>
            <w:r>
              <w:t>8080 (pow-intranet-qa)</w:t>
            </w:r>
          </w:p>
        </w:tc>
      </w:tr>
    </w:tbl>
    <w:p>
      <w:pPr>
        <w:pStyle w:val="Heading1"/>
      </w:pPr>
      <w:r>
        <w:rPr>
          <w:color w:val="003366"/>
        </w:rPr>
        <w:t>5. Claves y Archivos de Configuración</w:t>
      </w:r>
    </w:p>
    <w:p>
      <w:r>
        <w:t>Cada entorno requiere un archivo .env en la raíz del proyecto. Estos contienen la configuración de la cadena de conexión.</w:t>
      </w:r>
    </w:p>
    <w:p>
      <w:r>
        <w:rPr>
          <w:b/>
        </w:rPr>
        <w:t>Archivo en PROD (.env):</w:t>
      </w:r>
    </w:p>
    <w:p>
      <w:pPr>
        <w:pStyle w:val="Quote"/>
      </w:pPr>
      <w:r>
        <w:t>DATABASE_URL=postgresql://intranet_user:Redes2010@localhost:5432/intranet_prod</w:t>
      </w:r>
    </w:p>
    <w:p>
      <w:r>
        <w:rPr>
          <w:b/>
        </w:rPr>
        <w:t>Archivo en QA (.env):</w:t>
      </w:r>
    </w:p>
    <w:p>
      <w:pPr>
        <w:pStyle w:val="Quote"/>
      </w:pPr>
      <w:r>
        <w:t>DATABASE_URL=postgresql://intranet_user:Redes2010@localhost:5432/intranet_qa</w:t>
      </w:r>
    </w:p>
    <w:p>
      <w:pPr>
        <w:pStyle w:val="Heading1"/>
      </w:pPr>
      <w:r>
        <w:rPr>
          <w:color w:val="003366"/>
        </w:rPr>
        <w:t>6. Servicios Systemd</w:t>
      </w:r>
    </w:p>
    <w:p>
      <w:r>
        <w:t>Los servicios están configurados para auto-inicio y manejo de procesos en background:</w:t>
      </w:r>
    </w:p>
    <w:p>
      <w:pPr>
        <w:pStyle w:val="ListBullet"/>
      </w:pPr>
      <w:r>
        <w:rPr>
          <w:b/>
        </w:rPr>
        <w:t>Servicio PROD:</w:t>
      </w:r>
      <w:r>
        <w:t xml:space="preserve"> /etc/systemd/system/intranet_prod.service</w:t>
      </w:r>
    </w:p>
    <w:p>
      <w:pPr>
        <w:pStyle w:val="ListBullet"/>
      </w:pPr>
      <w:r>
        <w:rPr>
          <w:b/>
        </w:rPr>
        <w:t>Servicio QA:</w:t>
      </w:r>
      <w:r>
        <w:t xml:space="preserve"> /etc/systemd/system/intranet_qa.service</w:t>
      </w:r>
    </w:p>
    <w:p>
      <w:r>
        <w:t>Comandos útiles para gestión de los servicios:</w:t>
      </w:r>
    </w:p>
    <w:p>
      <w:pPr>
        <w:pStyle w:val="Quote"/>
      </w:pPr>
      <w:r>
        <w:t>systemctl start|stop|restart intranet_prod</w:t>
      </w:r>
    </w:p>
    <w:p>
      <w:pPr>
        <w:pStyle w:val="Quote"/>
      </w:pPr>
      <w:r>
        <w:t>systemctl start|stop|restart intranet_qa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