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7B154" w14:textId="56341F36" w:rsidR="00FA23F9" w:rsidRPr="00D45C1C" w:rsidRDefault="00FB2239" w:rsidP="00D45C1C">
      <w:pPr>
        <w:pStyle w:val="Title"/>
        <w:rPr>
          <w:rFonts w:ascii="Arial" w:eastAsia="Century Gothic" w:hAnsi="Arial" w:cs="Arial"/>
          <w:bCs/>
          <w:color w:val="3C69FF"/>
          <w:sz w:val="60"/>
          <w:szCs w:val="60"/>
        </w:rPr>
      </w:pPr>
      <w:r w:rsidRPr="00D45C1C">
        <w:rPr>
          <w:rFonts w:ascii="Arial" w:eastAsia="Century Gothic" w:hAnsi="Arial" w:cs="Arial"/>
          <w:bCs/>
          <w:color w:val="3C69FF"/>
          <w:sz w:val="60"/>
          <w:szCs w:val="60"/>
        </w:rPr>
        <w:t>202</w:t>
      </w:r>
      <w:r w:rsidR="00BB560B">
        <w:rPr>
          <w:rFonts w:ascii="Arial" w:eastAsia="Century Gothic" w:hAnsi="Arial" w:cs="Arial"/>
          <w:bCs/>
          <w:color w:val="3C69FF"/>
          <w:sz w:val="60"/>
          <w:szCs w:val="60"/>
        </w:rPr>
        <w:t>6</w:t>
      </w:r>
      <w:r w:rsidRPr="00D45C1C">
        <w:rPr>
          <w:rFonts w:ascii="Arial" w:eastAsia="Century Gothic" w:hAnsi="Arial" w:cs="Arial"/>
          <w:bCs/>
          <w:color w:val="3C69FF"/>
          <w:sz w:val="60"/>
          <w:szCs w:val="60"/>
        </w:rPr>
        <w:t xml:space="preserve"> Actuarial Hackathon</w:t>
      </w:r>
    </w:p>
    <w:p w14:paraId="553AA6E0" w14:textId="77777777" w:rsidR="00FA23F9" w:rsidRPr="00D45C1C" w:rsidRDefault="00FB2239" w:rsidP="00D45C1C">
      <w:pPr>
        <w:pStyle w:val="Subtitle"/>
        <w:rPr>
          <w:rFonts w:eastAsia="Century Gothic"/>
          <w:b/>
          <w:sz w:val="32"/>
          <w:szCs w:val="32"/>
        </w:rPr>
      </w:pPr>
      <w:r w:rsidRPr="00D45C1C">
        <w:rPr>
          <w:rFonts w:eastAsia="Century Gothic"/>
          <w:b/>
          <w:color w:val="3C69FF"/>
          <w:sz w:val="32"/>
          <w:szCs w:val="32"/>
        </w:rPr>
        <w:t>Scoping Document and Usage Agreement</w:t>
      </w:r>
    </w:p>
    <w:p w14:paraId="4620C487" w14:textId="77777777" w:rsidR="00FA23F9" w:rsidRPr="00D45C1C" w:rsidRDefault="00FB2239">
      <w:pPr>
        <w:pStyle w:val="Heading1"/>
        <w:numPr>
          <w:ilvl w:val="0"/>
          <w:numId w:val="3"/>
        </w:numPr>
        <w:rPr>
          <w:rFonts w:ascii="Arial" w:eastAsia="Century Gothic" w:hAnsi="Arial" w:cs="Arial"/>
          <w:b/>
          <w:color w:val="3C69FF"/>
          <w:sz w:val="26"/>
          <w:szCs w:val="26"/>
        </w:rPr>
      </w:pPr>
      <w:r w:rsidRPr="00D45C1C">
        <w:rPr>
          <w:rFonts w:ascii="Arial" w:eastAsia="Century Gothic" w:hAnsi="Arial" w:cs="Arial"/>
          <w:b/>
          <w:color w:val="3C69FF"/>
          <w:sz w:val="26"/>
          <w:szCs w:val="26"/>
        </w:rPr>
        <w:t>Charity Info</w:t>
      </w:r>
    </w:p>
    <w:p w14:paraId="7220511F" w14:textId="77777777" w:rsidR="00FA23F9" w:rsidRPr="00D45C1C" w:rsidRDefault="00FB2239">
      <w:pPr>
        <w:rPr>
          <w:rFonts w:eastAsia="Century Gothic"/>
        </w:rPr>
      </w:pPr>
      <w:r w:rsidRPr="00D45C1C">
        <w:rPr>
          <w:rFonts w:eastAsia="Century Gothic"/>
        </w:rPr>
        <w:t>Please provide details of the primary contact within your charity.</w:t>
      </w:r>
    </w:p>
    <w:tbl>
      <w:tblPr>
        <w:tblStyle w:val="a3"/>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80" w:firstRow="0" w:lastRow="0" w:firstColumn="1" w:lastColumn="0" w:noHBand="0" w:noVBand="1"/>
      </w:tblPr>
      <w:tblGrid>
        <w:gridCol w:w="2835"/>
        <w:gridCol w:w="6236"/>
      </w:tblGrid>
      <w:tr w:rsidR="00FA23F9" w:rsidRPr="00D45C1C" w14:paraId="5ECFAE51" w14:textId="77777777" w:rsidTr="00FA23F9">
        <w:tc>
          <w:tcPr>
            <w:cnfStyle w:val="001000000000" w:firstRow="0" w:lastRow="0" w:firstColumn="1" w:lastColumn="0" w:oddVBand="0" w:evenVBand="0" w:oddHBand="0" w:evenHBand="0" w:firstRowFirstColumn="0" w:firstRowLastColumn="0" w:lastRowFirstColumn="0" w:lastRowLastColumn="0"/>
            <w:tcW w:w="2835" w:type="dxa"/>
          </w:tcPr>
          <w:p w14:paraId="5CD5098C" w14:textId="77777777" w:rsidR="00FA23F9" w:rsidRPr="00D45C1C" w:rsidRDefault="00FB2239">
            <w:pPr>
              <w:rPr>
                <w:rFonts w:eastAsia="Century Gothic"/>
              </w:rPr>
            </w:pPr>
            <w:r w:rsidRPr="00D45C1C">
              <w:rPr>
                <w:rFonts w:eastAsia="Century Gothic"/>
              </w:rPr>
              <w:t>Organisation</w:t>
            </w:r>
          </w:p>
        </w:tc>
        <w:tc>
          <w:tcPr>
            <w:tcW w:w="6236" w:type="dxa"/>
          </w:tcPr>
          <w:p w14:paraId="73DC204A" w14:textId="7B058638" w:rsidR="00FA23F9" w:rsidRPr="00D45C1C" w:rsidRDefault="00DB6319">
            <w:pPr>
              <w:cnfStyle w:val="000000000000" w:firstRow="0" w:lastRow="0" w:firstColumn="0" w:lastColumn="0" w:oddVBand="0" w:evenVBand="0" w:oddHBand="0" w:evenHBand="0" w:firstRowFirstColumn="0" w:firstRowLastColumn="0" w:lastRowFirstColumn="0" w:lastRowLastColumn="0"/>
              <w:rPr>
                <w:rFonts w:eastAsia="Century Gothic"/>
              </w:rPr>
            </w:pPr>
            <w:r>
              <w:rPr>
                <w:rFonts w:eastAsia="Century Gothic"/>
              </w:rPr>
              <w:t>Justice Connect</w:t>
            </w:r>
          </w:p>
        </w:tc>
      </w:tr>
      <w:tr w:rsidR="00FA23F9" w:rsidRPr="00D45C1C" w14:paraId="41132B16" w14:textId="77777777" w:rsidTr="00FA23F9">
        <w:tc>
          <w:tcPr>
            <w:cnfStyle w:val="001000000000" w:firstRow="0" w:lastRow="0" w:firstColumn="1" w:lastColumn="0" w:oddVBand="0" w:evenVBand="0" w:oddHBand="0" w:evenHBand="0" w:firstRowFirstColumn="0" w:firstRowLastColumn="0" w:lastRowFirstColumn="0" w:lastRowLastColumn="0"/>
            <w:tcW w:w="2835" w:type="dxa"/>
          </w:tcPr>
          <w:p w14:paraId="605F47F2" w14:textId="77777777" w:rsidR="00FA23F9" w:rsidRPr="00D45C1C" w:rsidRDefault="00FB2239">
            <w:pPr>
              <w:rPr>
                <w:rFonts w:eastAsia="Century Gothic"/>
              </w:rPr>
            </w:pPr>
            <w:r w:rsidRPr="00D45C1C">
              <w:rPr>
                <w:rFonts w:eastAsia="Century Gothic"/>
              </w:rPr>
              <w:t>Department</w:t>
            </w:r>
          </w:p>
        </w:tc>
        <w:tc>
          <w:tcPr>
            <w:tcW w:w="6236" w:type="dxa"/>
          </w:tcPr>
          <w:p w14:paraId="4257E5AE" w14:textId="3577B013" w:rsidR="00FA23F9" w:rsidRPr="00D45C1C" w:rsidRDefault="00DB6319">
            <w:pPr>
              <w:cnfStyle w:val="000000000000" w:firstRow="0" w:lastRow="0" w:firstColumn="0" w:lastColumn="0" w:oddVBand="0" w:evenVBand="0" w:oddHBand="0" w:evenHBand="0" w:firstRowFirstColumn="0" w:firstRowLastColumn="0" w:lastRowFirstColumn="0" w:lastRowLastColumn="0"/>
              <w:rPr>
                <w:rFonts w:eastAsia="Century Gothic"/>
              </w:rPr>
            </w:pPr>
            <w:r>
              <w:rPr>
                <w:rFonts w:eastAsia="Century Gothic"/>
              </w:rPr>
              <w:t>Not-for-profit Law</w:t>
            </w:r>
          </w:p>
        </w:tc>
      </w:tr>
      <w:tr w:rsidR="00FA23F9" w:rsidRPr="00D45C1C" w14:paraId="299C7D23" w14:textId="77777777" w:rsidTr="00FA23F9">
        <w:tc>
          <w:tcPr>
            <w:cnfStyle w:val="001000000000" w:firstRow="0" w:lastRow="0" w:firstColumn="1" w:lastColumn="0" w:oddVBand="0" w:evenVBand="0" w:oddHBand="0" w:evenHBand="0" w:firstRowFirstColumn="0" w:firstRowLastColumn="0" w:lastRowFirstColumn="0" w:lastRowLastColumn="0"/>
            <w:tcW w:w="2835" w:type="dxa"/>
          </w:tcPr>
          <w:p w14:paraId="1768D3E5" w14:textId="77777777" w:rsidR="00FA23F9" w:rsidRPr="00D45C1C" w:rsidRDefault="00FB2239">
            <w:pPr>
              <w:rPr>
                <w:rFonts w:eastAsia="Century Gothic"/>
              </w:rPr>
            </w:pPr>
            <w:r w:rsidRPr="00D45C1C">
              <w:rPr>
                <w:rFonts w:eastAsia="Century Gothic"/>
              </w:rPr>
              <w:t>Name</w:t>
            </w:r>
          </w:p>
        </w:tc>
        <w:tc>
          <w:tcPr>
            <w:tcW w:w="6236" w:type="dxa"/>
          </w:tcPr>
          <w:p w14:paraId="2B95B70F" w14:textId="304645DA" w:rsidR="00FA23F9" w:rsidRPr="00D45C1C" w:rsidRDefault="00DB6319">
            <w:pPr>
              <w:cnfStyle w:val="000000000000" w:firstRow="0" w:lastRow="0" w:firstColumn="0" w:lastColumn="0" w:oddVBand="0" w:evenVBand="0" w:oddHBand="0" w:evenHBand="0" w:firstRowFirstColumn="0" w:firstRowLastColumn="0" w:lastRowFirstColumn="0" w:lastRowLastColumn="0"/>
              <w:rPr>
                <w:rFonts w:eastAsia="Century Gothic"/>
              </w:rPr>
            </w:pPr>
            <w:r>
              <w:rPr>
                <w:rFonts w:eastAsia="Century Gothic"/>
              </w:rPr>
              <w:t>Melanie Saunders</w:t>
            </w:r>
          </w:p>
        </w:tc>
      </w:tr>
      <w:tr w:rsidR="00FA23F9" w:rsidRPr="00D45C1C" w14:paraId="2FF72264" w14:textId="77777777" w:rsidTr="00FA23F9">
        <w:tc>
          <w:tcPr>
            <w:cnfStyle w:val="001000000000" w:firstRow="0" w:lastRow="0" w:firstColumn="1" w:lastColumn="0" w:oddVBand="0" w:evenVBand="0" w:oddHBand="0" w:evenHBand="0" w:firstRowFirstColumn="0" w:firstRowLastColumn="0" w:lastRowFirstColumn="0" w:lastRowLastColumn="0"/>
            <w:tcW w:w="2835" w:type="dxa"/>
          </w:tcPr>
          <w:p w14:paraId="73797483" w14:textId="77777777" w:rsidR="00FA23F9" w:rsidRPr="00D45C1C" w:rsidRDefault="00FB2239">
            <w:pPr>
              <w:rPr>
                <w:rFonts w:eastAsia="Century Gothic"/>
              </w:rPr>
            </w:pPr>
            <w:r w:rsidRPr="00D45C1C">
              <w:rPr>
                <w:rFonts w:eastAsia="Century Gothic"/>
              </w:rPr>
              <w:t>Phone Number</w:t>
            </w:r>
          </w:p>
        </w:tc>
        <w:tc>
          <w:tcPr>
            <w:tcW w:w="6236" w:type="dxa"/>
          </w:tcPr>
          <w:p w14:paraId="1577CCC3" w14:textId="6A637CA0" w:rsidR="00FA23F9" w:rsidRPr="00D45C1C" w:rsidRDefault="00DB6319">
            <w:pPr>
              <w:cnfStyle w:val="000000000000" w:firstRow="0" w:lastRow="0" w:firstColumn="0" w:lastColumn="0" w:oddVBand="0" w:evenVBand="0" w:oddHBand="0" w:evenHBand="0" w:firstRowFirstColumn="0" w:firstRowLastColumn="0" w:lastRowFirstColumn="0" w:lastRowLastColumn="0"/>
              <w:rPr>
                <w:rFonts w:eastAsia="Century Gothic"/>
              </w:rPr>
            </w:pPr>
            <w:r>
              <w:rPr>
                <w:rFonts w:eastAsia="Century Gothic"/>
              </w:rPr>
              <w:t>0</w:t>
            </w:r>
            <w:r w:rsidRPr="00DB6319">
              <w:rPr>
                <w:rFonts w:eastAsia="Century Gothic"/>
              </w:rPr>
              <w:t>3 8636 4474</w:t>
            </w:r>
          </w:p>
        </w:tc>
      </w:tr>
      <w:tr w:rsidR="00FA23F9" w:rsidRPr="00D45C1C" w14:paraId="66FFB3BE" w14:textId="77777777" w:rsidTr="00FA23F9">
        <w:tc>
          <w:tcPr>
            <w:cnfStyle w:val="001000000000" w:firstRow="0" w:lastRow="0" w:firstColumn="1" w:lastColumn="0" w:oddVBand="0" w:evenVBand="0" w:oddHBand="0" w:evenHBand="0" w:firstRowFirstColumn="0" w:firstRowLastColumn="0" w:lastRowFirstColumn="0" w:lastRowLastColumn="0"/>
            <w:tcW w:w="2835" w:type="dxa"/>
          </w:tcPr>
          <w:p w14:paraId="36EF3018" w14:textId="77777777" w:rsidR="00FA23F9" w:rsidRPr="00D45C1C" w:rsidRDefault="00FB2239">
            <w:pPr>
              <w:rPr>
                <w:rFonts w:eastAsia="Century Gothic"/>
              </w:rPr>
            </w:pPr>
            <w:r w:rsidRPr="00D45C1C">
              <w:rPr>
                <w:rFonts w:eastAsia="Century Gothic"/>
              </w:rPr>
              <w:t>Email Address</w:t>
            </w:r>
          </w:p>
        </w:tc>
        <w:tc>
          <w:tcPr>
            <w:tcW w:w="6236" w:type="dxa"/>
          </w:tcPr>
          <w:p w14:paraId="1114D36D" w14:textId="78315DC7" w:rsidR="00FA23F9" w:rsidRPr="00D45C1C" w:rsidRDefault="00DB6319">
            <w:pPr>
              <w:cnfStyle w:val="000000000000" w:firstRow="0" w:lastRow="0" w:firstColumn="0" w:lastColumn="0" w:oddVBand="0" w:evenVBand="0" w:oddHBand="0" w:evenHBand="0" w:firstRowFirstColumn="0" w:firstRowLastColumn="0" w:lastRowFirstColumn="0" w:lastRowLastColumn="0"/>
              <w:rPr>
                <w:rFonts w:eastAsia="Century Gothic"/>
              </w:rPr>
            </w:pPr>
            <w:hyperlink r:id="rId10" w:history="1">
              <w:r w:rsidRPr="00027018">
                <w:rPr>
                  <w:rStyle w:val="Hyperlink"/>
                  <w:rFonts w:eastAsia="Century Gothic"/>
                </w:rPr>
                <w:t>Melanie.saunders@justiceconnect.org.au</w:t>
              </w:r>
            </w:hyperlink>
          </w:p>
        </w:tc>
      </w:tr>
      <w:tr w:rsidR="00FA23F9" w:rsidRPr="00D45C1C" w14:paraId="3FFEDE0F" w14:textId="77777777" w:rsidTr="00FA23F9">
        <w:tc>
          <w:tcPr>
            <w:cnfStyle w:val="001000000000" w:firstRow="0" w:lastRow="0" w:firstColumn="1" w:lastColumn="0" w:oddVBand="0" w:evenVBand="0" w:oddHBand="0" w:evenHBand="0" w:firstRowFirstColumn="0" w:firstRowLastColumn="0" w:lastRowFirstColumn="0" w:lastRowLastColumn="0"/>
            <w:tcW w:w="2835" w:type="dxa"/>
          </w:tcPr>
          <w:p w14:paraId="7A9F743C" w14:textId="77777777" w:rsidR="00FA23F9" w:rsidRPr="00D45C1C" w:rsidRDefault="00FB2239">
            <w:pPr>
              <w:rPr>
                <w:rFonts w:eastAsia="Century Gothic"/>
              </w:rPr>
            </w:pPr>
            <w:r w:rsidRPr="00D45C1C">
              <w:rPr>
                <w:rFonts w:eastAsia="Century Gothic"/>
              </w:rPr>
              <w:t>Business Address</w:t>
            </w:r>
          </w:p>
        </w:tc>
        <w:tc>
          <w:tcPr>
            <w:tcW w:w="6236" w:type="dxa"/>
          </w:tcPr>
          <w:p w14:paraId="523B176F" w14:textId="5B805B2C" w:rsidR="00FA23F9" w:rsidRPr="00D45C1C" w:rsidRDefault="00DB6319">
            <w:pPr>
              <w:cnfStyle w:val="000000000000" w:firstRow="0" w:lastRow="0" w:firstColumn="0" w:lastColumn="0" w:oddVBand="0" w:evenVBand="0" w:oddHBand="0" w:evenHBand="0" w:firstRowFirstColumn="0" w:firstRowLastColumn="0" w:lastRowFirstColumn="0" w:lastRowLastColumn="0"/>
              <w:rPr>
                <w:rFonts w:eastAsia="Century Gothic"/>
              </w:rPr>
            </w:pPr>
            <w:r>
              <w:rPr>
                <w:rFonts w:eastAsia="Century Gothic"/>
              </w:rPr>
              <w:t>Level 5, 446 Collins Street, Melbourne</w:t>
            </w:r>
          </w:p>
        </w:tc>
      </w:tr>
      <w:tr w:rsidR="00FA23F9" w:rsidRPr="00D45C1C" w14:paraId="2D4B1214" w14:textId="77777777" w:rsidTr="00FA23F9">
        <w:tc>
          <w:tcPr>
            <w:cnfStyle w:val="001000000000" w:firstRow="0" w:lastRow="0" w:firstColumn="1" w:lastColumn="0" w:oddVBand="0" w:evenVBand="0" w:oddHBand="0" w:evenHBand="0" w:firstRowFirstColumn="0" w:firstRowLastColumn="0" w:lastRowFirstColumn="0" w:lastRowLastColumn="0"/>
            <w:tcW w:w="2835" w:type="dxa"/>
          </w:tcPr>
          <w:p w14:paraId="2F99AC08" w14:textId="77777777" w:rsidR="00FA23F9" w:rsidRPr="00D45C1C" w:rsidRDefault="00FB2239">
            <w:pPr>
              <w:rPr>
                <w:rFonts w:eastAsia="Century Gothic"/>
              </w:rPr>
            </w:pPr>
            <w:r w:rsidRPr="00D45C1C">
              <w:rPr>
                <w:rFonts w:eastAsia="Century Gothic"/>
              </w:rPr>
              <w:t>Preferred means and time of contact</w:t>
            </w:r>
          </w:p>
        </w:tc>
        <w:tc>
          <w:tcPr>
            <w:tcW w:w="6236" w:type="dxa"/>
          </w:tcPr>
          <w:p w14:paraId="35698CCB" w14:textId="7F523BCD" w:rsidR="00FA23F9" w:rsidRPr="00DB6319" w:rsidRDefault="00DB6319">
            <w:pPr>
              <w:cnfStyle w:val="000000000000" w:firstRow="0" w:lastRow="0" w:firstColumn="0" w:lastColumn="0" w:oddVBand="0" w:evenVBand="0" w:oddHBand="0" w:evenHBand="0" w:firstRowFirstColumn="0" w:firstRowLastColumn="0" w:lastRowFirstColumn="0" w:lastRowLastColumn="0"/>
              <w:rPr>
                <w:rFonts w:eastAsia="Century Gothic"/>
              </w:rPr>
            </w:pPr>
            <w:r w:rsidRPr="00DB6319">
              <w:rPr>
                <w:rFonts w:eastAsia="Century Gothic"/>
              </w:rPr>
              <w:t>Email, anytime</w:t>
            </w:r>
          </w:p>
        </w:tc>
      </w:tr>
    </w:tbl>
    <w:p w14:paraId="340143EF" w14:textId="77777777" w:rsidR="00FA23F9" w:rsidRPr="00D45C1C" w:rsidRDefault="00FB2239">
      <w:pPr>
        <w:pStyle w:val="Heading1"/>
        <w:numPr>
          <w:ilvl w:val="0"/>
          <w:numId w:val="3"/>
        </w:numPr>
        <w:rPr>
          <w:rFonts w:ascii="Arial" w:eastAsia="Century Gothic" w:hAnsi="Arial" w:cs="Arial"/>
          <w:b/>
          <w:color w:val="3C69FF"/>
          <w:sz w:val="26"/>
          <w:szCs w:val="26"/>
        </w:rPr>
      </w:pPr>
      <w:r w:rsidRPr="00D45C1C">
        <w:rPr>
          <w:rFonts w:ascii="Arial" w:eastAsia="Century Gothic" w:hAnsi="Arial" w:cs="Arial"/>
          <w:b/>
          <w:color w:val="3C69FF"/>
          <w:sz w:val="26"/>
          <w:szCs w:val="26"/>
        </w:rPr>
        <w:t>Volunteer info</w:t>
      </w:r>
    </w:p>
    <w:p w14:paraId="2F980A48" w14:textId="77777777" w:rsidR="00FA23F9" w:rsidRPr="00D45C1C" w:rsidRDefault="00FB2239">
      <w:pPr>
        <w:rPr>
          <w:rFonts w:eastAsia="Century Gothic"/>
          <w:b/>
        </w:rPr>
      </w:pPr>
      <w:r w:rsidRPr="00D45C1C">
        <w:rPr>
          <w:rFonts w:eastAsia="Century Gothic"/>
        </w:rPr>
        <w:t>Primary contacts within the volunteer team and organising committee.</w:t>
      </w:r>
    </w:p>
    <w:tbl>
      <w:tblPr>
        <w:tblStyle w:val="a4"/>
        <w:tblW w:w="906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80" w:firstRow="0" w:lastRow="0" w:firstColumn="1" w:lastColumn="0" w:noHBand="0" w:noVBand="1"/>
      </w:tblPr>
      <w:tblGrid>
        <w:gridCol w:w="2405"/>
        <w:gridCol w:w="2693"/>
        <w:gridCol w:w="3969"/>
      </w:tblGrid>
      <w:tr w:rsidR="00FA23F9" w:rsidRPr="00D45C1C" w14:paraId="1899CFED" w14:textId="77777777" w:rsidTr="00BB560B">
        <w:tc>
          <w:tcPr>
            <w:cnfStyle w:val="001000000000" w:firstRow="0" w:lastRow="0" w:firstColumn="1" w:lastColumn="0" w:oddVBand="0" w:evenVBand="0" w:oddHBand="0" w:evenHBand="0" w:firstRowFirstColumn="0" w:firstRowLastColumn="0" w:lastRowFirstColumn="0" w:lastRowLastColumn="0"/>
            <w:tcW w:w="2405" w:type="dxa"/>
          </w:tcPr>
          <w:p w14:paraId="76CF398E" w14:textId="77777777" w:rsidR="00FA23F9" w:rsidRPr="00D45C1C" w:rsidRDefault="00FA23F9">
            <w:pPr>
              <w:rPr>
                <w:rFonts w:eastAsia="Century Gothic"/>
              </w:rPr>
            </w:pPr>
          </w:p>
        </w:tc>
        <w:tc>
          <w:tcPr>
            <w:tcW w:w="2693" w:type="dxa"/>
          </w:tcPr>
          <w:p w14:paraId="06DFEEC8" w14:textId="77777777" w:rsidR="00FA23F9" w:rsidRPr="00D45C1C" w:rsidRDefault="00FB2239">
            <w:pPr>
              <w:cnfStyle w:val="000000000000" w:firstRow="0" w:lastRow="0" w:firstColumn="0" w:lastColumn="0" w:oddVBand="0" w:evenVBand="0" w:oddHBand="0" w:evenHBand="0" w:firstRowFirstColumn="0" w:firstRowLastColumn="0" w:lastRowFirstColumn="0" w:lastRowLastColumn="0"/>
              <w:rPr>
                <w:rFonts w:eastAsia="Century Gothic"/>
                <w:b/>
              </w:rPr>
            </w:pPr>
            <w:r w:rsidRPr="00D45C1C">
              <w:rPr>
                <w:rFonts w:eastAsia="Century Gothic"/>
                <w:b/>
              </w:rPr>
              <w:t>Volunteer Team Lead</w:t>
            </w:r>
          </w:p>
        </w:tc>
        <w:tc>
          <w:tcPr>
            <w:tcW w:w="3969" w:type="dxa"/>
          </w:tcPr>
          <w:p w14:paraId="57D81B3D" w14:textId="77777777" w:rsidR="00FA23F9" w:rsidRPr="00D45C1C" w:rsidRDefault="00FB2239">
            <w:pPr>
              <w:cnfStyle w:val="000000000000" w:firstRow="0" w:lastRow="0" w:firstColumn="0" w:lastColumn="0" w:oddVBand="0" w:evenVBand="0" w:oddHBand="0" w:evenHBand="0" w:firstRowFirstColumn="0" w:firstRowLastColumn="0" w:lastRowFirstColumn="0" w:lastRowLastColumn="0"/>
              <w:rPr>
                <w:rFonts w:eastAsia="Century Gothic"/>
                <w:b/>
              </w:rPr>
            </w:pPr>
            <w:r w:rsidRPr="00D45C1C">
              <w:rPr>
                <w:rFonts w:eastAsia="Century Gothic"/>
                <w:b/>
              </w:rPr>
              <w:t>Organising Committee Representative</w:t>
            </w:r>
          </w:p>
        </w:tc>
      </w:tr>
      <w:tr w:rsidR="00FA23F9" w:rsidRPr="00D45C1C" w14:paraId="39E07B2A" w14:textId="77777777" w:rsidTr="00BB560B">
        <w:tc>
          <w:tcPr>
            <w:cnfStyle w:val="001000000000" w:firstRow="0" w:lastRow="0" w:firstColumn="1" w:lastColumn="0" w:oddVBand="0" w:evenVBand="0" w:oddHBand="0" w:evenHBand="0" w:firstRowFirstColumn="0" w:firstRowLastColumn="0" w:lastRowFirstColumn="0" w:lastRowLastColumn="0"/>
            <w:tcW w:w="2405" w:type="dxa"/>
          </w:tcPr>
          <w:p w14:paraId="5FCA65A0" w14:textId="77777777" w:rsidR="00FA23F9" w:rsidRPr="00D45C1C" w:rsidRDefault="00FB2239">
            <w:pPr>
              <w:rPr>
                <w:rFonts w:eastAsia="Century Gothic"/>
              </w:rPr>
            </w:pPr>
            <w:r w:rsidRPr="00D45C1C">
              <w:rPr>
                <w:rFonts w:eastAsia="Century Gothic"/>
              </w:rPr>
              <w:t>Name</w:t>
            </w:r>
          </w:p>
        </w:tc>
        <w:tc>
          <w:tcPr>
            <w:tcW w:w="2693" w:type="dxa"/>
          </w:tcPr>
          <w:p w14:paraId="72A9A39B" w14:textId="77777777" w:rsidR="00FA23F9" w:rsidRPr="00D45C1C" w:rsidRDefault="00FA23F9">
            <w:pPr>
              <w:cnfStyle w:val="000000000000" w:firstRow="0" w:lastRow="0" w:firstColumn="0" w:lastColumn="0" w:oddVBand="0" w:evenVBand="0" w:oddHBand="0" w:evenHBand="0" w:firstRowFirstColumn="0" w:firstRowLastColumn="0" w:lastRowFirstColumn="0" w:lastRowLastColumn="0"/>
              <w:rPr>
                <w:rFonts w:eastAsia="Century Gothic"/>
              </w:rPr>
            </w:pPr>
          </w:p>
        </w:tc>
        <w:tc>
          <w:tcPr>
            <w:tcW w:w="3969" w:type="dxa"/>
          </w:tcPr>
          <w:p w14:paraId="70F67481" w14:textId="77777777" w:rsidR="00FA23F9" w:rsidRPr="00D45C1C" w:rsidRDefault="00FA23F9">
            <w:pPr>
              <w:cnfStyle w:val="000000000000" w:firstRow="0" w:lastRow="0" w:firstColumn="0" w:lastColumn="0" w:oddVBand="0" w:evenVBand="0" w:oddHBand="0" w:evenHBand="0" w:firstRowFirstColumn="0" w:firstRowLastColumn="0" w:lastRowFirstColumn="0" w:lastRowLastColumn="0"/>
              <w:rPr>
                <w:rFonts w:eastAsia="Century Gothic"/>
              </w:rPr>
            </w:pPr>
          </w:p>
        </w:tc>
      </w:tr>
      <w:tr w:rsidR="00FA23F9" w:rsidRPr="00D45C1C" w14:paraId="30D69ADB" w14:textId="77777777" w:rsidTr="00BB560B">
        <w:tc>
          <w:tcPr>
            <w:cnfStyle w:val="001000000000" w:firstRow="0" w:lastRow="0" w:firstColumn="1" w:lastColumn="0" w:oddVBand="0" w:evenVBand="0" w:oddHBand="0" w:evenHBand="0" w:firstRowFirstColumn="0" w:firstRowLastColumn="0" w:lastRowFirstColumn="0" w:lastRowLastColumn="0"/>
            <w:tcW w:w="2405" w:type="dxa"/>
          </w:tcPr>
          <w:p w14:paraId="73E1CF4C" w14:textId="77777777" w:rsidR="00FA23F9" w:rsidRPr="00D45C1C" w:rsidRDefault="00FB2239">
            <w:pPr>
              <w:rPr>
                <w:rFonts w:eastAsia="Century Gothic"/>
              </w:rPr>
            </w:pPr>
            <w:r w:rsidRPr="00D45C1C">
              <w:rPr>
                <w:rFonts w:eastAsia="Century Gothic"/>
              </w:rPr>
              <w:t>Phone Number</w:t>
            </w:r>
          </w:p>
        </w:tc>
        <w:tc>
          <w:tcPr>
            <w:tcW w:w="2693" w:type="dxa"/>
          </w:tcPr>
          <w:p w14:paraId="38DA9D08" w14:textId="77777777" w:rsidR="00FA23F9" w:rsidRPr="00D45C1C" w:rsidRDefault="00FA23F9">
            <w:pPr>
              <w:cnfStyle w:val="000000000000" w:firstRow="0" w:lastRow="0" w:firstColumn="0" w:lastColumn="0" w:oddVBand="0" w:evenVBand="0" w:oddHBand="0" w:evenHBand="0" w:firstRowFirstColumn="0" w:firstRowLastColumn="0" w:lastRowFirstColumn="0" w:lastRowLastColumn="0"/>
              <w:rPr>
                <w:rFonts w:eastAsia="Century Gothic"/>
              </w:rPr>
            </w:pPr>
          </w:p>
        </w:tc>
        <w:tc>
          <w:tcPr>
            <w:tcW w:w="3969" w:type="dxa"/>
          </w:tcPr>
          <w:p w14:paraId="35C710A7" w14:textId="77777777" w:rsidR="00FA23F9" w:rsidRPr="00D45C1C" w:rsidRDefault="00FA23F9">
            <w:pPr>
              <w:cnfStyle w:val="000000000000" w:firstRow="0" w:lastRow="0" w:firstColumn="0" w:lastColumn="0" w:oddVBand="0" w:evenVBand="0" w:oddHBand="0" w:evenHBand="0" w:firstRowFirstColumn="0" w:firstRowLastColumn="0" w:lastRowFirstColumn="0" w:lastRowLastColumn="0"/>
              <w:rPr>
                <w:rFonts w:eastAsia="Century Gothic"/>
              </w:rPr>
            </w:pPr>
          </w:p>
        </w:tc>
      </w:tr>
      <w:tr w:rsidR="00FA23F9" w:rsidRPr="00D45C1C" w14:paraId="664B9544" w14:textId="77777777" w:rsidTr="00BB560B">
        <w:tc>
          <w:tcPr>
            <w:cnfStyle w:val="001000000000" w:firstRow="0" w:lastRow="0" w:firstColumn="1" w:lastColumn="0" w:oddVBand="0" w:evenVBand="0" w:oddHBand="0" w:evenHBand="0" w:firstRowFirstColumn="0" w:firstRowLastColumn="0" w:lastRowFirstColumn="0" w:lastRowLastColumn="0"/>
            <w:tcW w:w="2405" w:type="dxa"/>
          </w:tcPr>
          <w:p w14:paraId="33FF8246" w14:textId="77777777" w:rsidR="00FA23F9" w:rsidRPr="00D45C1C" w:rsidRDefault="00FB2239">
            <w:pPr>
              <w:rPr>
                <w:rFonts w:eastAsia="Century Gothic"/>
              </w:rPr>
            </w:pPr>
            <w:r w:rsidRPr="00D45C1C">
              <w:rPr>
                <w:rFonts w:eastAsia="Century Gothic"/>
              </w:rPr>
              <w:t>Email Address</w:t>
            </w:r>
          </w:p>
        </w:tc>
        <w:tc>
          <w:tcPr>
            <w:tcW w:w="2693" w:type="dxa"/>
          </w:tcPr>
          <w:p w14:paraId="6C35928A" w14:textId="77777777" w:rsidR="00FA23F9" w:rsidRPr="00D45C1C" w:rsidRDefault="00FA23F9">
            <w:pPr>
              <w:cnfStyle w:val="000000000000" w:firstRow="0" w:lastRow="0" w:firstColumn="0" w:lastColumn="0" w:oddVBand="0" w:evenVBand="0" w:oddHBand="0" w:evenHBand="0" w:firstRowFirstColumn="0" w:firstRowLastColumn="0" w:lastRowFirstColumn="0" w:lastRowLastColumn="0"/>
              <w:rPr>
                <w:rFonts w:eastAsia="Century Gothic"/>
              </w:rPr>
            </w:pPr>
          </w:p>
        </w:tc>
        <w:tc>
          <w:tcPr>
            <w:tcW w:w="3969" w:type="dxa"/>
          </w:tcPr>
          <w:p w14:paraId="5E43B38A" w14:textId="77777777" w:rsidR="00FA23F9" w:rsidRPr="00D45C1C" w:rsidRDefault="00FA23F9">
            <w:pPr>
              <w:cnfStyle w:val="000000000000" w:firstRow="0" w:lastRow="0" w:firstColumn="0" w:lastColumn="0" w:oddVBand="0" w:evenVBand="0" w:oddHBand="0" w:evenHBand="0" w:firstRowFirstColumn="0" w:firstRowLastColumn="0" w:lastRowFirstColumn="0" w:lastRowLastColumn="0"/>
              <w:rPr>
                <w:rFonts w:eastAsia="Century Gothic"/>
              </w:rPr>
            </w:pPr>
          </w:p>
        </w:tc>
      </w:tr>
      <w:tr w:rsidR="00FA23F9" w:rsidRPr="00D45C1C" w14:paraId="6AF3C1D9" w14:textId="77777777" w:rsidTr="00BB560B">
        <w:tc>
          <w:tcPr>
            <w:cnfStyle w:val="001000000000" w:firstRow="0" w:lastRow="0" w:firstColumn="1" w:lastColumn="0" w:oddVBand="0" w:evenVBand="0" w:oddHBand="0" w:evenHBand="0" w:firstRowFirstColumn="0" w:firstRowLastColumn="0" w:lastRowFirstColumn="0" w:lastRowLastColumn="0"/>
            <w:tcW w:w="2405" w:type="dxa"/>
          </w:tcPr>
          <w:p w14:paraId="7CAA2D43" w14:textId="77777777" w:rsidR="00FA23F9" w:rsidRPr="00D45C1C" w:rsidRDefault="00FB2239">
            <w:pPr>
              <w:rPr>
                <w:rFonts w:eastAsia="Century Gothic"/>
              </w:rPr>
            </w:pPr>
            <w:r w:rsidRPr="00D45C1C">
              <w:rPr>
                <w:rFonts w:eastAsia="Century Gothic"/>
              </w:rPr>
              <w:t>Preferred means and time of contact</w:t>
            </w:r>
          </w:p>
        </w:tc>
        <w:tc>
          <w:tcPr>
            <w:tcW w:w="2693" w:type="dxa"/>
          </w:tcPr>
          <w:p w14:paraId="27976232" w14:textId="77777777" w:rsidR="00FA23F9" w:rsidRPr="00D45C1C" w:rsidRDefault="00FA23F9">
            <w:pPr>
              <w:cnfStyle w:val="000000000000" w:firstRow="0" w:lastRow="0" w:firstColumn="0" w:lastColumn="0" w:oddVBand="0" w:evenVBand="0" w:oddHBand="0" w:evenHBand="0" w:firstRowFirstColumn="0" w:firstRowLastColumn="0" w:lastRowFirstColumn="0" w:lastRowLastColumn="0"/>
              <w:rPr>
                <w:rFonts w:eastAsia="Century Gothic"/>
              </w:rPr>
            </w:pPr>
          </w:p>
        </w:tc>
        <w:tc>
          <w:tcPr>
            <w:tcW w:w="3969" w:type="dxa"/>
          </w:tcPr>
          <w:p w14:paraId="759EDF91" w14:textId="77777777" w:rsidR="00FA23F9" w:rsidRPr="00D45C1C" w:rsidRDefault="00FA23F9">
            <w:pPr>
              <w:cnfStyle w:val="000000000000" w:firstRow="0" w:lastRow="0" w:firstColumn="0" w:lastColumn="0" w:oddVBand="0" w:evenVBand="0" w:oddHBand="0" w:evenHBand="0" w:firstRowFirstColumn="0" w:firstRowLastColumn="0" w:lastRowFirstColumn="0" w:lastRowLastColumn="0"/>
              <w:rPr>
                <w:rFonts w:eastAsia="Century Gothic"/>
              </w:rPr>
            </w:pPr>
          </w:p>
        </w:tc>
      </w:tr>
    </w:tbl>
    <w:p w14:paraId="24608B8F" w14:textId="77777777" w:rsidR="00FA23F9" w:rsidRPr="00D45C1C" w:rsidRDefault="00FB2239">
      <w:pPr>
        <w:pStyle w:val="Heading1"/>
        <w:numPr>
          <w:ilvl w:val="0"/>
          <w:numId w:val="3"/>
        </w:numPr>
        <w:rPr>
          <w:rFonts w:ascii="Arial" w:eastAsia="Century Gothic" w:hAnsi="Arial" w:cs="Arial"/>
          <w:b/>
          <w:color w:val="3C69FF"/>
          <w:sz w:val="26"/>
          <w:szCs w:val="26"/>
        </w:rPr>
      </w:pPr>
      <w:r w:rsidRPr="00D45C1C">
        <w:rPr>
          <w:rFonts w:ascii="Arial" w:eastAsia="Century Gothic" w:hAnsi="Arial" w:cs="Arial"/>
          <w:b/>
          <w:color w:val="3C69FF"/>
          <w:sz w:val="26"/>
          <w:szCs w:val="26"/>
        </w:rPr>
        <w:t>The Challenge</w:t>
      </w:r>
    </w:p>
    <w:p w14:paraId="26D6ABD1" w14:textId="77777777" w:rsidR="00FA23F9" w:rsidRPr="00D45C1C" w:rsidRDefault="00FB2239">
      <w:pPr>
        <w:pStyle w:val="Heading2"/>
        <w:rPr>
          <w:rFonts w:ascii="Arial" w:eastAsia="Century Gothic" w:hAnsi="Arial" w:cs="Arial"/>
          <w:b/>
          <w:color w:val="3C69FF"/>
          <w:sz w:val="20"/>
          <w:szCs w:val="20"/>
        </w:rPr>
      </w:pPr>
      <w:r w:rsidRPr="00D45C1C">
        <w:rPr>
          <w:rFonts w:ascii="Arial" w:eastAsia="Century Gothic" w:hAnsi="Arial" w:cs="Arial"/>
          <w:b/>
          <w:color w:val="3C69FF"/>
          <w:sz w:val="20"/>
          <w:szCs w:val="20"/>
        </w:rPr>
        <w:t>3.1 What are we trying to achieve?  (E.g. We would like to …… so we can ……)</w:t>
      </w:r>
    </w:p>
    <w:p w14:paraId="0106D35B" w14:textId="6FA8500B" w:rsidR="00304032" w:rsidRPr="00304032" w:rsidRDefault="00304032" w:rsidP="1E33E294">
      <w:pPr>
        <w:rPr>
          <w:rFonts w:eastAsia="Century Gothic"/>
        </w:rPr>
      </w:pPr>
      <w:r w:rsidRPr="1E33E294">
        <w:rPr>
          <w:rFonts w:eastAsia="Century Gothic"/>
        </w:rPr>
        <w:t>Justice Connect has launched its Unlock D</w:t>
      </w:r>
      <w:r w:rsidR="0E9EDC55" w:rsidRPr="1E33E294">
        <w:rPr>
          <w:rFonts w:eastAsia="Century Gothic"/>
        </w:rPr>
        <w:t>G</w:t>
      </w:r>
      <w:r w:rsidRPr="1E33E294">
        <w:rPr>
          <w:rFonts w:eastAsia="Century Gothic"/>
        </w:rPr>
        <w:t xml:space="preserve">R campaign, which calls for reform of the Deductible Gift Recipient system so that more charities are able to access tax deductible donations and philanthropic funding. </w:t>
      </w:r>
    </w:p>
    <w:p w14:paraId="5B2CF292" w14:textId="70668691" w:rsidR="00304032" w:rsidRPr="00304032" w:rsidRDefault="00304032">
      <w:pPr>
        <w:rPr>
          <w:rFonts w:eastAsia="Century Gothic"/>
          <w:iCs/>
        </w:rPr>
      </w:pPr>
      <w:r w:rsidRPr="00304032">
        <w:rPr>
          <w:rFonts w:eastAsia="Century Gothic"/>
          <w:iCs/>
        </w:rPr>
        <w:t xml:space="preserve">Introductory modelling by the Productivity Commission indicates that for every $1 lost in taxation revenue, an injection of approximately $1.50 dollars to the charity sector is expected from reform, with 10-20,000 charities as assumed beneficiaries. </w:t>
      </w:r>
    </w:p>
    <w:p w14:paraId="09B892C8" w14:textId="289D841D" w:rsidR="00304032" w:rsidRPr="00304032" w:rsidRDefault="00304032" w:rsidP="1E33E294">
      <w:pPr>
        <w:rPr>
          <w:rFonts w:eastAsia="Century Gothic"/>
        </w:rPr>
      </w:pPr>
      <w:r w:rsidRPr="1E33E294">
        <w:rPr>
          <w:rFonts w:eastAsia="Century Gothic"/>
        </w:rPr>
        <w:t>Private philanthropic funds hold an estimated $11 billion</w:t>
      </w:r>
      <w:r w:rsidR="7044AD8C" w:rsidRPr="1E33E294">
        <w:rPr>
          <w:rFonts w:eastAsia="Century Gothic"/>
        </w:rPr>
        <w:t xml:space="preserve"> and public giving funds another almost $5 billion </w:t>
      </w:r>
      <w:r w:rsidRPr="1E33E294">
        <w:rPr>
          <w:rFonts w:eastAsia="Century Gothic"/>
        </w:rPr>
        <w:t xml:space="preserve">that can only be distributed to charities with DGR status. It is expected, but not demonstrated, that charities currently excluded from accessing philanthropic funding will benefit from additional access to financial resources. </w:t>
      </w:r>
    </w:p>
    <w:p w14:paraId="6BC556FF" w14:textId="1217D3C7" w:rsidR="00304032" w:rsidRPr="00304032" w:rsidRDefault="00304032">
      <w:pPr>
        <w:rPr>
          <w:rFonts w:eastAsia="Century Gothic"/>
          <w:iCs/>
        </w:rPr>
      </w:pPr>
      <w:r w:rsidRPr="00304032">
        <w:rPr>
          <w:rFonts w:eastAsia="Century Gothic"/>
          <w:b/>
          <w:bCs/>
          <w:iCs/>
        </w:rPr>
        <w:t xml:space="preserve">Through the Hackathon team’s analysis of public data, we are hoping to utilise robust analysis to buttress our campaign. We would like to demonstrate the, or an, impact of the proposed reform, which may include improved financial sustainability for key campaign beneficiaries (currently locked out charities) and the broader charity sector. </w:t>
      </w:r>
    </w:p>
    <w:p w14:paraId="10DA248E" w14:textId="77777777" w:rsidR="00FA23F9" w:rsidRPr="00D45C1C" w:rsidRDefault="00FB2239">
      <w:pPr>
        <w:pStyle w:val="Heading2"/>
        <w:rPr>
          <w:rFonts w:ascii="Arial" w:eastAsia="Century Gothic" w:hAnsi="Arial" w:cs="Arial"/>
          <w:b/>
          <w:bCs/>
          <w:sz w:val="20"/>
          <w:szCs w:val="20"/>
        </w:rPr>
      </w:pPr>
      <w:r w:rsidRPr="00D45C1C">
        <w:rPr>
          <w:rFonts w:ascii="Arial" w:eastAsia="Century Gothic" w:hAnsi="Arial" w:cs="Arial"/>
          <w:b/>
          <w:bCs/>
          <w:color w:val="3C69FF"/>
          <w:sz w:val="20"/>
          <w:szCs w:val="20"/>
        </w:rPr>
        <w:t xml:space="preserve">3.2 What does success look like? </w:t>
      </w:r>
    </w:p>
    <w:p w14:paraId="327DDB1F" w14:textId="6B276A36" w:rsidR="00304032" w:rsidRPr="00304032" w:rsidRDefault="00304032">
      <w:pPr>
        <w:pStyle w:val="Heading2"/>
        <w:rPr>
          <w:rFonts w:ascii="Arial" w:eastAsia="Century Gothic" w:hAnsi="Arial" w:cs="Arial"/>
          <w:bCs/>
          <w:color w:val="auto"/>
          <w:sz w:val="20"/>
          <w:szCs w:val="20"/>
        </w:rPr>
      </w:pPr>
      <w:r>
        <w:rPr>
          <w:rFonts w:ascii="Arial" w:eastAsia="Century Gothic" w:hAnsi="Arial" w:cs="Arial"/>
          <w:bCs/>
          <w:color w:val="auto"/>
          <w:sz w:val="20"/>
          <w:szCs w:val="20"/>
        </w:rPr>
        <w:t xml:space="preserve">Success includes a more robust data framework to support campaign activities, with associated frameworks or collateral made available for organisational learning or iteration. Specifically, </w:t>
      </w:r>
      <w:r>
        <w:rPr>
          <w:rFonts w:ascii="Arial" w:eastAsia="Century Gothic" w:hAnsi="Arial" w:cs="Arial"/>
          <w:b/>
          <w:color w:val="auto"/>
          <w:sz w:val="20"/>
          <w:szCs w:val="20"/>
        </w:rPr>
        <w:t>we would like to be able to speak to the economic impact of the proposed change on beneficiary organisations</w:t>
      </w:r>
      <w:r>
        <w:rPr>
          <w:rFonts w:ascii="Arial" w:eastAsia="Century Gothic" w:hAnsi="Arial" w:cs="Arial"/>
          <w:bCs/>
          <w:color w:val="auto"/>
          <w:sz w:val="20"/>
          <w:szCs w:val="20"/>
        </w:rPr>
        <w:t xml:space="preserve"> to policy and decision makers.</w:t>
      </w:r>
    </w:p>
    <w:p w14:paraId="22145A5F" w14:textId="22D3CD76" w:rsidR="00FA23F9" w:rsidRDefault="00FB2239">
      <w:pPr>
        <w:pStyle w:val="Heading2"/>
        <w:rPr>
          <w:rFonts w:ascii="Arial" w:eastAsia="Century Gothic" w:hAnsi="Arial" w:cs="Arial"/>
          <w:b/>
          <w:color w:val="3C69FF"/>
          <w:sz w:val="20"/>
          <w:szCs w:val="20"/>
        </w:rPr>
      </w:pPr>
      <w:r w:rsidRPr="00D45C1C">
        <w:rPr>
          <w:rFonts w:ascii="Arial" w:eastAsia="Century Gothic" w:hAnsi="Arial" w:cs="Arial"/>
          <w:b/>
          <w:color w:val="3C69FF"/>
          <w:sz w:val="20"/>
          <w:szCs w:val="20"/>
        </w:rPr>
        <w:t xml:space="preserve">3.3 Are there specific questions you would like answered, ideas explored or hypotheses tested? </w:t>
      </w:r>
    </w:p>
    <w:p w14:paraId="727000BD" w14:textId="44C02BD1" w:rsidR="00434E55" w:rsidRPr="00434E55" w:rsidRDefault="00434E55" w:rsidP="00434E55">
      <w:pPr>
        <w:rPr>
          <w:b/>
          <w:bCs/>
        </w:rPr>
      </w:pPr>
      <w:r>
        <w:rPr>
          <w:b/>
          <w:bCs/>
        </w:rPr>
        <w:t>Primary Question(s)</w:t>
      </w:r>
    </w:p>
    <w:p w14:paraId="5A1BCA29" w14:textId="4B408358" w:rsidR="00FA23F9" w:rsidRPr="00B135EB" w:rsidRDefault="00B135EB" w:rsidP="00B135EB">
      <w:pPr>
        <w:pStyle w:val="ListParagraph"/>
        <w:numPr>
          <w:ilvl w:val="0"/>
          <w:numId w:val="9"/>
        </w:numPr>
        <w:rPr>
          <w:rFonts w:eastAsia="Century Gothic"/>
          <w:iCs/>
        </w:rPr>
      </w:pPr>
      <w:r>
        <w:rPr>
          <w:rFonts w:eastAsia="Century Gothic"/>
          <w:iCs/>
        </w:rPr>
        <w:t>Can we validate, through counterfactual testing for example, the Productivity Commission’s high-level economic modelling of change expected from reform?</w:t>
      </w:r>
    </w:p>
    <w:p w14:paraId="27EF4D0C" w14:textId="1F933931" w:rsidR="00B135EB" w:rsidRPr="00B135EB" w:rsidRDefault="00B135EB" w:rsidP="00B135EB">
      <w:pPr>
        <w:pStyle w:val="ListParagraph"/>
        <w:numPr>
          <w:ilvl w:val="0"/>
          <w:numId w:val="9"/>
        </w:numPr>
        <w:rPr>
          <w:rFonts w:eastAsia="Century Gothic"/>
          <w:iCs/>
        </w:rPr>
      </w:pPr>
      <w:r w:rsidRPr="00B135EB">
        <w:rPr>
          <w:rFonts w:eastAsia="Century Gothic"/>
          <w:iCs/>
        </w:rPr>
        <w:t xml:space="preserve">Can we utilise public data to measure the direction of increased </w:t>
      </w:r>
      <w:r w:rsidRPr="00C701E0">
        <w:rPr>
          <w:rFonts w:eastAsia="Century Gothic"/>
          <w:b/>
          <w:bCs/>
          <w:iCs/>
        </w:rPr>
        <w:t>philanthropic</w:t>
      </w:r>
      <w:r w:rsidRPr="00B135EB">
        <w:rPr>
          <w:rFonts w:eastAsia="Century Gothic"/>
          <w:iCs/>
        </w:rPr>
        <w:t xml:space="preserve"> and </w:t>
      </w:r>
      <w:r w:rsidRPr="00C701E0">
        <w:rPr>
          <w:rFonts w:eastAsia="Century Gothic"/>
          <w:b/>
          <w:bCs/>
          <w:iCs/>
        </w:rPr>
        <w:t>individual</w:t>
      </w:r>
      <w:r w:rsidRPr="00B135EB">
        <w:rPr>
          <w:rFonts w:eastAsia="Century Gothic"/>
          <w:iCs/>
        </w:rPr>
        <w:t xml:space="preserve"> giving resulting from the proposed reform? Public data includes:</w:t>
      </w:r>
    </w:p>
    <w:p w14:paraId="06953E85" w14:textId="7F6BE5A7" w:rsidR="00B135EB" w:rsidRPr="00B135EB" w:rsidRDefault="00B135EB" w:rsidP="00B135EB">
      <w:pPr>
        <w:pStyle w:val="ListParagraph"/>
        <w:numPr>
          <w:ilvl w:val="1"/>
          <w:numId w:val="9"/>
        </w:numPr>
        <w:rPr>
          <w:rFonts w:eastAsia="Century Gothic"/>
          <w:iCs/>
        </w:rPr>
      </w:pPr>
      <w:r w:rsidRPr="00B135EB">
        <w:rPr>
          <w:rFonts w:eastAsia="Century Gothic"/>
          <w:iCs/>
        </w:rPr>
        <w:t>ACNC records</w:t>
      </w:r>
    </w:p>
    <w:p w14:paraId="28F856CC" w14:textId="71721001" w:rsidR="00B135EB" w:rsidRDefault="00B135EB" w:rsidP="00B135EB">
      <w:pPr>
        <w:pStyle w:val="ListParagraph"/>
        <w:numPr>
          <w:ilvl w:val="1"/>
          <w:numId w:val="9"/>
        </w:numPr>
        <w:rPr>
          <w:rFonts w:eastAsia="Century Gothic"/>
          <w:iCs/>
        </w:rPr>
      </w:pPr>
      <w:r w:rsidRPr="00B135EB">
        <w:rPr>
          <w:rFonts w:eastAsia="Century Gothic"/>
          <w:iCs/>
        </w:rPr>
        <w:t>Tax data</w:t>
      </w:r>
    </w:p>
    <w:p w14:paraId="57B7894B" w14:textId="1BDAFABA" w:rsidR="00DE72F3" w:rsidRPr="00B135EB" w:rsidRDefault="00DE72F3" w:rsidP="00B135EB">
      <w:pPr>
        <w:pStyle w:val="ListParagraph"/>
        <w:numPr>
          <w:ilvl w:val="1"/>
          <w:numId w:val="9"/>
        </w:numPr>
        <w:rPr>
          <w:rFonts w:eastAsia="Century Gothic"/>
          <w:iCs/>
        </w:rPr>
      </w:pPr>
      <w:hyperlink r:id="rId11" w:history="1">
        <w:r w:rsidRPr="00DE72F3">
          <w:rPr>
            <w:rStyle w:val="Hyperlink"/>
            <w:rFonts w:eastAsia="Century Gothic"/>
            <w:iCs/>
          </w:rPr>
          <w:t>Giving statistics - Australian Centre for Philanthropy and Nonprofit Studies</w:t>
        </w:r>
      </w:hyperlink>
    </w:p>
    <w:p w14:paraId="7F9651E5" w14:textId="41ED985B" w:rsidR="00B135EB" w:rsidRPr="00DB6319" w:rsidRDefault="00DB6319" w:rsidP="00B135EB">
      <w:pPr>
        <w:pStyle w:val="ListParagraph"/>
        <w:numPr>
          <w:ilvl w:val="1"/>
          <w:numId w:val="9"/>
        </w:numPr>
        <w:rPr>
          <w:rFonts w:eastAsia="Century Gothic"/>
          <w:iCs/>
        </w:rPr>
      </w:pPr>
      <w:r w:rsidRPr="00DB6319">
        <w:rPr>
          <w:rFonts w:eastAsia="Century Gothic"/>
          <w:iCs/>
        </w:rPr>
        <w:t>Other publicly available data, particularly related to philanthropic giving</w:t>
      </w:r>
    </w:p>
    <w:p w14:paraId="71B3472A" w14:textId="320004A7" w:rsidR="00B135EB" w:rsidRPr="00B135EB" w:rsidRDefault="00B135EB" w:rsidP="00B135EB">
      <w:pPr>
        <w:pStyle w:val="ListParagraph"/>
        <w:numPr>
          <w:ilvl w:val="0"/>
          <w:numId w:val="9"/>
        </w:numPr>
        <w:rPr>
          <w:rFonts w:eastAsia="Century Gothic"/>
          <w:iCs/>
        </w:rPr>
      </w:pPr>
      <w:r w:rsidRPr="00B135EB">
        <w:rPr>
          <w:rFonts w:eastAsia="Century Gothic"/>
          <w:iCs/>
        </w:rPr>
        <w:t>If so, what kinds of charities are expected to benefit?</w:t>
      </w:r>
    </w:p>
    <w:p w14:paraId="167031A4" w14:textId="0E891467" w:rsidR="00B135EB" w:rsidRPr="00434E55" w:rsidRDefault="00B135EB" w:rsidP="00B135EB">
      <w:pPr>
        <w:pStyle w:val="ListParagraph"/>
        <w:numPr>
          <w:ilvl w:val="0"/>
          <w:numId w:val="9"/>
        </w:numPr>
        <w:rPr>
          <w:rFonts w:eastAsia="Century Gothic"/>
          <w:i/>
        </w:rPr>
      </w:pPr>
      <w:r w:rsidRPr="00B135EB">
        <w:rPr>
          <w:rFonts w:eastAsia="Century Gothic"/>
          <w:iCs/>
        </w:rPr>
        <w:t>And, if redistribution of public funds is expected (in addition to, or as opposed to increased spending), what kinds of organisations are likely to “lose out” because of reform?</w:t>
      </w:r>
      <w:r w:rsidR="00C701E0">
        <w:rPr>
          <w:rFonts w:eastAsia="Century Gothic"/>
          <w:iCs/>
        </w:rPr>
        <w:t xml:space="preserve"> </w:t>
      </w:r>
    </w:p>
    <w:p w14:paraId="6CBD6B0D" w14:textId="291C0F17" w:rsidR="00434E55" w:rsidRDefault="00434E55" w:rsidP="00434E55">
      <w:pPr>
        <w:rPr>
          <w:rFonts w:eastAsia="Century Gothic"/>
          <w:b/>
          <w:bCs/>
          <w:iCs/>
        </w:rPr>
      </w:pPr>
      <w:r w:rsidRPr="00434E55">
        <w:rPr>
          <w:rFonts w:eastAsia="Century Gothic"/>
          <w:b/>
          <w:bCs/>
          <w:iCs/>
        </w:rPr>
        <w:t>Secondary Question</w:t>
      </w:r>
      <w:r w:rsidR="00F93ACD">
        <w:rPr>
          <w:rFonts w:eastAsia="Century Gothic"/>
          <w:b/>
          <w:bCs/>
          <w:iCs/>
        </w:rPr>
        <w:t xml:space="preserve"> and/or use-case example to guide primary question</w:t>
      </w:r>
    </w:p>
    <w:p w14:paraId="31878178" w14:textId="2472CC45" w:rsidR="00F93ACD" w:rsidRDefault="00F93ACD" w:rsidP="00434E55">
      <w:pPr>
        <w:rPr>
          <w:rFonts w:eastAsia="Century Gothic"/>
          <w:iCs/>
        </w:rPr>
      </w:pPr>
      <w:r>
        <w:rPr>
          <w:rFonts w:eastAsia="Century Gothic"/>
          <w:iCs/>
        </w:rPr>
        <w:t>The campaign has emphasised the importance of reform to select charity “types”, currently excluded from the DGR system. These include:</w:t>
      </w:r>
    </w:p>
    <w:p w14:paraId="765A935F" w14:textId="743157BA" w:rsidR="00F93ACD" w:rsidRDefault="00197729" w:rsidP="00F93ACD">
      <w:pPr>
        <w:pStyle w:val="ListParagraph"/>
        <w:numPr>
          <w:ilvl w:val="0"/>
          <w:numId w:val="10"/>
        </w:numPr>
        <w:rPr>
          <w:rFonts w:eastAsia="Century Gothic"/>
          <w:iCs/>
        </w:rPr>
      </w:pPr>
      <w:r>
        <w:rPr>
          <w:rFonts w:eastAsia="Century Gothic"/>
          <w:iCs/>
        </w:rPr>
        <w:t>Neighbourhood houses</w:t>
      </w:r>
    </w:p>
    <w:p w14:paraId="19EADD21" w14:textId="6FDFBBA1" w:rsidR="00197729" w:rsidRDefault="0D0FD6CC" w:rsidP="1E33E294">
      <w:pPr>
        <w:pStyle w:val="ListParagraph"/>
        <w:numPr>
          <w:ilvl w:val="0"/>
          <w:numId w:val="10"/>
        </w:numPr>
        <w:rPr>
          <w:rFonts w:eastAsia="Century Gothic"/>
        </w:rPr>
      </w:pPr>
      <w:r w:rsidRPr="1E33E294">
        <w:rPr>
          <w:rFonts w:eastAsia="Century Gothic"/>
        </w:rPr>
        <w:t>Injury</w:t>
      </w:r>
      <w:r w:rsidR="00197729" w:rsidRPr="1E33E294">
        <w:rPr>
          <w:rFonts w:eastAsia="Century Gothic"/>
        </w:rPr>
        <w:t xml:space="preserve"> prevention charities</w:t>
      </w:r>
    </w:p>
    <w:p w14:paraId="4DEE1D1B" w14:textId="0079171C" w:rsidR="00197729" w:rsidRDefault="00197729" w:rsidP="00F93ACD">
      <w:pPr>
        <w:pStyle w:val="ListParagraph"/>
        <w:numPr>
          <w:ilvl w:val="0"/>
          <w:numId w:val="10"/>
        </w:numPr>
        <w:rPr>
          <w:rFonts w:eastAsia="Century Gothic"/>
          <w:iCs/>
        </w:rPr>
      </w:pPr>
      <w:r>
        <w:rPr>
          <w:rFonts w:eastAsia="Century Gothic"/>
          <w:iCs/>
        </w:rPr>
        <w:t>Disaster preparedness charities</w:t>
      </w:r>
    </w:p>
    <w:p w14:paraId="5FE7B6E4" w14:textId="1D500CFB" w:rsidR="00197729" w:rsidRDefault="00197729" w:rsidP="00F93ACD">
      <w:pPr>
        <w:pStyle w:val="ListParagraph"/>
        <w:numPr>
          <w:ilvl w:val="0"/>
          <w:numId w:val="10"/>
        </w:numPr>
        <w:rPr>
          <w:rFonts w:eastAsia="Century Gothic"/>
          <w:iCs/>
        </w:rPr>
      </w:pPr>
      <w:r>
        <w:rPr>
          <w:rFonts w:eastAsia="Century Gothic"/>
          <w:iCs/>
        </w:rPr>
        <w:t>Human rights promotion charities</w:t>
      </w:r>
    </w:p>
    <w:p w14:paraId="0472E789" w14:textId="1B5273AB" w:rsidR="00197729" w:rsidRPr="00197729" w:rsidRDefault="00197729" w:rsidP="00197729">
      <w:pPr>
        <w:rPr>
          <w:rFonts w:eastAsia="Century Gothic"/>
          <w:iCs/>
        </w:rPr>
      </w:pPr>
      <w:r>
        <w:rPr>
          <w:rFonts w:eastAsia="Century Gothic"/>
          <w:iCs/>
        </w:rPr>
        <w:t xml:space="preserve">We are interested in understanding the impact of the proposed reform </w:t>
      </w:r>
      <w:r w:rsidR="00C701E0">
        <w:rPr>
          <w:rFonts w:eastAsia="Century Gothic"/>
          <w:iCs/>
        </w:rPr>
        <w:t>for the financial sustainability of the above charity types.</w:t>
      </w:r>
    </w:p>
    <w:p w14:paraId="77277E7A" w14:textId="77777777" w:rsidR="00FA23F9" w:rsidRPr="00D45C1C" w:rsidRDefault="00FB2239">
      <w:pPr>
        <w:pStyle w:val="Heading1"/>
        <w:numPr>
          <w:ilvl w:val="0"/>
          <w:numId w:val="3"/>
        </w:numPr>
        <w:rPr>
          <w:rFonts w:ascii="Arial" w:eastAsia="Century Gothic" w:hAnsi="Arial" w:cs="Arial"/>
          <w:b/>
          <w:color w:val="3C69FF"/>
          <w:sz w:val="26"/>
          <w:szCs w:val="26"/>
        </w:rPr>
      </w:pPr>
      <w:r w:rsidRPr="00D45C1C">
        <w:rPr>
          <w:rFonts w:ascii="Arial" w:eastAsia="Century Gothic" w:hAnsi="Arial" w:cs="Arial"/>
          <w:b/>
          <w:color w:val="3C69FF"/>
          <w:sz w:val="26"/>
          <w:szCs w:val="26"/>
        </w:rPr>
        <w:t xml:space="preserve">Background and Context </w:t>
      </w:r>
    </w:p>
    <w:p w14:paraId="412C0AA0" w14:textId="77777777" w:rsidR="00FA23F9" w:rsidRPr="00D45C1C" w:rsidRDefault="00FB2239">
      <w:pPr>
        <w:pStyle w:val="Heading2"/>
        <w:rPr>
          <w:rFonts w:ascii="Arial" w:eastAsia="Century Gothic" w:hAnsi="Arial" w:cs="Arial"/>
          <w:b/>
          <w:i/>
          <w:color w:val="3C69FF"/>
          <w:sz w:val="20"/>
          <w:szCs w:val="20"/>
        </w:rPr>
      </w:pPr>
      <w:r w:rsidRPr="00D45C1C">
        <w:rPr>
          <w:rFonts w:ascii="Arial" w:eastAsia="Century Gothic" w:hAnsi="Arial" w:cs="Arial"/>
          <w:b/>
          <w:color w:val="3C69FF"/>
          <w:sz w:val="20"/>
          <w:szCs w:val="20"/>
        </w:rPr>
        <w:t xml:space="preserve">4.1 What are the primary goals of your charity and what activities do you undertake to achieve them? </w:t>
      </w:r>
      <w:r w:rsidRPr="00D45C1C">
        <w:rPr>
          <w:rFonts w:ascii="Arial" w:eastAsia="Century Gothic" w:hAnsi="Arial" w:cs="Arial"/>
          <w:b/>
          <w:i/>
          <w:color w:val="3C69FF"/>
          <w:sz w:val="20"/>
          <w:szCs w:val="20"/>
        </w:rPr>
        <w:t>(Please provide additional materials as necessary.)</w:t>
      </w:r>
    </w:p>
    <w:p w14:paraId="51A08327" w14:textId="1198C518" w:rsidR="00FA23F9" w:rsidRDefault="00DB6319">
      <w:pPr>
        <w:rPr>
          <w:rFonts w:eastAsia="Century Gothic"/>
          <w:bCs/>
        </w:rPr>
      </w:pPr>
      <w:r>
        <w:rPr>
          <w:rFonts w:eastAsia="Century Gothic"/>
          <w:bCs/>
        </w:rPr>
        <w:t xml:space="preserve">Each year, millions of people and organisations in Australia experience a legal issue but only half receive legal help. Justice Connect works to close that justice gap. </w:t>
      </w:r>
    </w:p>
    <w:p w14:paraId="72F31E94" w14:textId="0969CB29" w:rsidR="00DB6319" w:rsidRDefault="00DB6319">
      <w:pPr>
        <w:rPr>
          <w:rFonts w:eastAsia="Century Gothic"/>
          <w:bCs/>
        </w:rPr>
      </w:pPr>
      <w:r>
        <w:rPr>
          <w:rFonts w:eastAsia="Century Gothic"/>
          <w:bCs/>
        </w:rPr>
        <w:t xml:space="preserve">We deliver services that assist people and not-for-profit organisations. Those we assist often struggle to navigate the law, are unable to use the law in their daily lives and disproportionately experience the impacts of harsh and unjust laws. We aim to solve legal problems to help prevent the negative impacts on people’s lives and organisations and empower the community to use the law as a force for good. </w:t>
      </w:r>
    </w:p>
    <w:p w14:paraId="2EE4E0DA" w14:textId="08CA0B94" w:rsidR="00DB6319" w:rsidRDefault="00DB6319">
      <w:pPr>
        <w:rPr>
          <w:rFonts w:eastAsia="Century Gothic"/>
          <w:bCs/>
        </w:rPr>
      </w:pPr>
      <w:r>
        <w:rPr>
          <w:rFonts w:eastAsia="Century Gothic"/>
          <w:bCs/>
        </w:rPr>
        <w:t xml:space="preserve">Given the scale of the challenges we address, we use digital innovation to extend our reach and impact, supporting us to be more efficient and accessible, while helping us capture and use data to better understand legal need and structural issues. </w:t>
      </w:r>
    </w:p>
    <w:p w14:paraId="6C566042" w14:textId="15856080" w:rsidR="00DB6319" w:rsidRDefault="00DB6319">
      <w:pPr>
        <w:rPr>
          <w:rFonts w:eastAsia="Century Gothic"/>
          <w:bCs/>
        </w:rPr>
      </w:pPr>
      <w:r>
        <w:rPr>
          <w:rFonts w:eastAsia="Century Gothic"/>
          <w:bCs/>
        </w:rPr>
        <w:t xml:space="preserve">We also harness pro bono contributions of over 50 member firms and the barristers we work with across the country. We direct pro bono effort through our innovative service models to ensure that pro bono hours deliver the best outcomes for the community. </w:t>
      </w:r>
    </w:p>
    <w:p w14:paraId="2F639D57" w14:textId="1FBC4594" w:rsidR="001A11B4" w:rsidRDefault="001A11B4">
      <w:pPr>
        <w:rPr>
          <w:rFonts w:eastAsia="Century Gothic"/>
          <w:bCs/>
        </w:rPr>
      </w:pPr>
      <w:r w:rsidRPr="001A11B4">
        <w:rPr>
          <w:rFonts w:eastAsia="Century Gothic"/>
          <w:bCs/>
        </w:rPr>
        <w:t>Our specialist </w:t>
      </w:r>
      <w:hyperlink r:id="rId12" w:tgtFrame="_blank" w:history="1">
        <w:r w:rsidRPr="001A11B4">
          <w:rPr>
            <w:rStyle w:val="Hyperlink"/>
            <w:rFonts w:eastAsia="Century Gothic"/>
            <w:bCs/>
          </w:rPr>
          <w:t>Not-for-Profit Law</w:t>
        </w:r>
      </w:hyperlink>
      <w:r w:rsidRPr="001A11B4">
        <w:rPr>
          <w:rFonts w:eastAsia="Century Gothic"/>
          <w:bCs/>
        </w:rPr>
        <w:t> team provides free and affordable specialist legal help for not-for-profit organisations and social enterprises. Of the more than 1,800 enquiries we receive annually, many relate to navigating access to the Deductible Gift Recipient (DGR) system. </w:t>
      </w:r>
    </w:p>
    <w:p w14:paraId="55050B5C" w14:textId="6564FB61" w:rsidR="00DB6319" w:rsidRPr="00DB6319" w:rsidRDefault="00DB6319">
      <w:pPr>
        <w:rPr>
          <w:rFonts w:eastAsia="Century Gothic"/>
          <w:bCs/>
        </w:rPr>
      </w:pPr>
      <w:r>
        <w:rPr>
          <w:rFonts w:eastAsia="Century Gothic"/>
          <w:bCs/>
        </w:rPr>
        <w:t xml:space="preserve">Drawing on the insights from our service delivery, we develop strategic interventions to help address the system-level drivers of legal problems and the barriers people and organisation face when engaging with the legal system. By addressing root causes of flawed or unfair laws and poorly designed systems, we prevent the long-term challenges that people and not-for-profit organisations continue to face. </w:t>
      </w:r>
    </w:p>
    <w:p w14:paraId="15D43FA5" w14:textId="77777777" w:rsidR="00FA23F9" w:rsidRPr="00D45C1C" w:rsidRDefault="00FB2239">
      <w:pPr>
        <w:pStyle w:val="Heading2"/>
        <w:rPr>
          <w:rFonts w:ascii="Arial" w:eastAsia="Century Gothic" w:hAnsi="Arial" w:cs="Arial"/>
          <w:b/>
          <w:color w:val="3C69FF"/>
          <w:sz w:val="20"/>
          <w:szCs w:val="20"/>
        </w:rPr>
      </w:pPr>
      <w:r w:rsidRPr="00D45C1C">
        <w:rPr>
          <w:rFonts w:ascii="Arial" w:eastAsia="Century Gothic" w:hAnsi="Arial" w:cs="Arial"/>
          <w:b/>
          <w:color w:val="3C69FF"/>
          <w:sz w:val="20"/>
          <w:szCs w:val="20"/>
        </w:rPr>
        <w:t xml:space="preserve">4.2 How does this assignment fit within your organisation e.g. how does it relate to your strategy or business plan? Does it impact on other initiatives in your organisation? </w:t>
      </w:r>
      <w:r w:rsidRPr="00D45C1C">
        <w:rPr>
          <w:rFonts w:ascii="Arial" w:eastAsia="Century Gothic" w:hAnsi="Arial" w:cs="Arial"/>
          <w:b/>
          <w:i/>
          <w:color w:val="3C69FF"/>
          <w:sz w:val="20"/>
          <w:szCs w:val="20"/>
        </w:rPr>
        <w:t>(Please provide additional materials as necessary.)</w:t>
      </w:r>
    </w:p>
    <w:p w14:paraId="0A9A5391" w14:textId="227935D2" w:rsidR="00FA23F9" w:rsidRDefault="00BA6AAE">
      <w:pPr>
        <w:rPr>
          <w:rFonts w:eastAsia="Century Gothic"/>
          <w:bCs/>
        </w:rPr>
      </w:pPr>
      <w:bookmarkStart w:id="0" w:name="_heading=h.gjdgxs" w:colFirst="0" w:colLast="0"/>
      <w:bookmarkEnd w:id="0"/>
      <w:r>
        <w:rPr>
          <w:rFonts w:eastAsia="Century Gothic"/>
          <w:bCs/>
        </w:rPr>
        <w:t>This initiative is strategically aligned with Justice Connect’s broader advocacy and systems-change work, and directly supports the objectives of our Unlock DGR campaign led by our Not-for-profit Law program (</w:t>
      </w:r>
      <w:r>
        <w:rPr>
          <w:rFonts w:eastAsia="Century Gothic"/>
          <w:bCs/>
          <w:i/>
          <w:iCs/>
        </w:rPr>
        <w:t>see attached materials</w:t>
      </w:r>
      <w:r>
        <w:rPr>
          <w:rFonts w:eastAsia="Century Gothic"/>
          <w:bCs/>
        </w:rPr>
        <w:t xml:space="preserve">). </w:t>
      </w:r>
      <w:r w:rsidR="00DB3FF7" w:rsidRPr="00DB3FF7">
        <w:rPr>
          <w:rFonts w:eastAsia="Century Gothic"/>
          <w:bCs/>
        </w:rPr>
        <w:t>NFP Law has identified from their experience that reform of the DGR system would be of significant benefit to a large number of charities and the communities they serve and support.  The Unlock DGR campaign comes after the </w:t>
      </w:r>
      <w:hyperlink r:id="rId13" w:tgtFrame="_blank" w:history="1">
        <w:r w:rsidR="00DB3FF7" w:rsidRPr="00DB3FF7">
          <w:rPr>
            <w:rStyle w:val="Hyperlink"/>
            <w:rFonts w:eastAsia="Century Gothic"/>
            <w:bCs/>
          </w:rPr>
          <w:t>Productivity Commission’s report into philanthropy</w:t>
        </w:r>
      </w:hyperlink>
      <w:r w:rsidR="00DB3FF7" w:rsidRPr="00DB3FF7">
        <w:rPr>
          <w:rFonts w:eastAsia="Century Gothic"/>
          <w:bCs/>
        </w:rPr>
        <w:t> and its recommendations for reform which have been broadly backed by the NFP sector in the </w:t>
      </w:r>
      <w:hyperlink r:id="rId14" w:tgtFrame="_blank" w:history="1">
        <w:r w:rsidR="00DB3FF7" w:rsidRPr="00DB3FF7">
          <w:rPr>
            <w:rStyle w:val="Hyperlink"/>
            <w:rFonts w:eastAsia="Century Gothic"/>
            <w:bCs/>
          </w:rPr>
          <w:t>Not for Profit Sector Development Blueprint</w:t>
        </w:r>
      </w:hyperlink>
      <w:r w:rsidR="00DB3FF7" w:rsidRPr="00DB3FF7">
        <w:rPr>
          <w:rFonts w:eastAsia="Century Gothic"/>
          <w:bCs/>
        </w:rPr>
        <w:t>.        </w:t>
      </w:r>
    </w:p>
    <w:p w14:paraId="2316DFE1" w14:textId="2C226DF8" w:rsidR="00BA6AAE" w:rsidRDefault="00BA6AAE">
      <w:pPr>
        <w:rPr>
          <w:rFonts w:eastAsia="Century Gothic"/>
          <w:bCs/>
        </w:rPr>
      </w:pPr>
      <w:r>
        <w:rPr>
          <w:rFonts w:eastAsia="Century Gothic"/>
          <w:bCs/>
        </w:rPr>
        <w:t xml:space="preserve">The Unlock DGR campaign seeks to reform Australia’s outdated and complex Deductible Git Recipient (DGR) system to ensure that more charities can access tax-deductible donations and philanthropic funding. A central pillar of the campaign is building a compelling, evidence-based case for reform – demonstrating not only the inequities of the current system, but also the tangible economic and community benefits of change. </w:t>
      </w:r>
    </w:p>
    <w:p w14:paraId="5CD955C4" w14:textId="06D7C04A" w:rsidR="00BA6AAE" w:rsidRDefault="00BA6AAE">
      <w:pPr>
        <w:rPr>
          <w:rFonts w:eastAsia="Century Gothic"/>
          <w:bCs/>
        </w:rPr>
      </w:pPr>
      <w:r>
        <w:rPr>
          <w:rFonts w:eastAsia="Century Gothic"/>
          <w:bCs/>
        </w:rPr>
        <w:t>This Hackathon project directly contributes to that goal by strengthening our analytical and evidentiary foundation. In particular, it will:</w:t>
      </w:r>
    </w:p>
    <w:p w14:paraId="60A796B3" w14:textId="4C2B1D7A" w:rsidR="00BA6AAE" w:rsidRDefault="00BA6AAE" w:rsidP="00BA6AAE">
      <w:pPr>
        <w:pStyle w:val="ListParagraph"/>
        <w:numPr>
          <w:ilvl w:val="0"/>
          <w:numId w:val="12"/>
        </w:numPr>
        <w:rPr>
          <w:rFonts w:eastAsia="Century Gothic"/>
          <w:bCs/>
        </w:rPr>
      </w:pPr>
      <w:r>
        <w:rPr>
          <w:rFonts w:eastAsia="Century Gothic"/>
          <w:bCs/>
        </w:rPr>
        <w:t>Provide robust, data-driven insights to validate and expand upon existing high-level modelling</w:t>
      </w:r>
    </w:p>
    <w:p w14:paraId="582D0706" w14:textId="3F0F7E1E" w:rsidR="00BA6AAE" w:rsidRDefault="00BA6AAE" w:rsidP="00BA6AAE">
      <w:pPr>
        <w:pStyle w:val="ListParagraph"/>
        <w:numPr>
          <w:ilvl w:val="0"/>
          <w:numId w:val="12"/>
        </w:numPr>
        <w:rPr>
          <w:rFonts w:eastAsia="Century Gothic"/>
          <w:bCs/>
        </w:rPr>
      </w:pPr>
      <w:r>
        <w:rPr>
          <w:rFonts w:eastAsia="Century Gothic"/>
          <w:bCs/>
        </w:rPr>
        <w:t>Enable us to better articulate the financial and social impact of reform on charities currently excluded from DGR status</w:t>
      </w:r>
    </w:p>
    <w:p w14:paraId="77E433C5" w14:textId="00308CDB" w:rsidR="00BA6AAE" w:rsidRDefault="00BA6AAE" w:rsidP="00BA6AAE">
      <w:pPr>
        <w:pStyle w:val="ListParagraph"/>
        <w:numPr>
          <w:ilvl w:val="0"/>
          <w:numId w:val="12"/>
        </w:numPr>
        <w:rPr>
          <w:rFonts w:eastAsia="Century Gothic"/>
          <w:bCs/>
        </w:rPr>
      </w:pPr>
      <w:r>
        <w:rPr>
          <w:rFonts w:eastAsia="Century Gothic"/>
          <w:bCs/>
        </w:rPr>
        <w:t xml:space="preserve">Support more targeted and persuasive engagement with policymakers, government, and sector stakeholders. </w:t>
      </w:r>
    </w:p>
    <w:p w14:paraId="2B4E64C9" w14:textId="117C92D9" w:rsidR="00BA6AAE" w:rsidRPr="00BA6AAE" w:rsidRDefault="00BA6AAE" w:rsidP="00BA6AAE">
      <w:pPr>
        <w:rPr>
          <w:rFonts w:eastAsia="Century Gothic"/>
          <w:bCs/>
        </w:rPr>
      </w:pPr>
      <w:r>
        <w:rPr>
          <w:rFonts w:eastAsia="Century Gothic"/>
          <w:bCs/>
        </w:rPr>
        <w:t xml:space="preserve">This work also complements our organisational strategy of combining service delivery insights with system-level reform. Through Not-for-profit Law, we have deep, practice-based knowledge of how regulatory settings, including DGR eligibility, affect charities on the ground. This project enhances our ability to translate that qualitative insight into quantitative evidence, strengthening our policy advocacy. </w:t>
      </w:r>
    </w:p>
    <w:p w14:paraId="5D84A51C" w14:textId="55201D03" w:rsidR="00FA23F9" w:rsidRPr="00D45C1C" w:rsidRDefault="00FB2239">
      <w:pPr>
        <w:pStyle w:val="Heading2"/>
        <w:rPr>
          <w:rFonts w:ascii="Arial" w:eastAsia="Century Gothic" w:hAnsi="Arial" w:cs="Arial"/>
          <w:b/>
          <w:color w:val="3C69FF"/>
          <w:sz w:val="20"/>
          <w:szCs w:val="20"/>
        </w:rPr>
      </w:pPr>
      <w:r w:rsidRPr="00D45C1C">
        <w:rPr>
          <w:rFonts w:ascii="Arial" w:eastAsia="Century Gothic" w:hAnsi="Arial" w:cs="Arial"/>
          <w:b/>
          <w:color w:val="3C69FF"/>
          <w:sz w:val="20"/>
          <w:szCs w:val="20"/>
        </w:rPr>
        <w:t>4.3 Have you tried to solve this problem before? What was the outcome and are there any learnings for us?</w:t>
      </w:r>
    </w:p>
    <w:p w14:paraId="387EFB68" w14:textId="77777777" w:rsidR="00DB3FF7" w:rsidRDefault="00DB3FF7">
      <w:pPr>
        <w:pStyle w:val="Heading2"/>
        <w:rPr>
          <w:rFonts w:ascii="Arial" w:eastAsia="Century Gothic" w:hAnsi="Arial" w:cs="Arial"/>
          <w:bCs/>
          <w:color w:val="auto"/>
          <w:sz w:val="20"/>
          <w:szCs w:val="20"/>
        </w:rPr>
      </w:pPr>
      <w:r w:rsidRPr="00DB3FF7">
        <w:rPr>
          <w:rFonts w:ascii="Arial" w:eastAsia="Century Gothic" w:hAnsi="Arial" w:cs="Arial"/>
          <w:bCs/>
          <w:color w:val="auto"/>
          <w:sz w:val="20"/>
          <w:szCs w:val="20"/>
        </w:rPr>
        <w:t>There have been multiple reports over decades finding the DGR system to be unfair and too complex. However, repeated governments have failed to act. The Productivity Commission’s report, mentioned above, is the most recent and comprehensive look at the issue, including some modelling of the reform. </w:t>
      </w:r>
    </w:p>
    <w:p w14:paraId="70BA8E34" w14:textId="4DB51F4F" w:rsidR="00FA23F9" w:rsidRPr="00D45C1C" w:rsidRDefault="00FB2239">
      <w:pPr>
        <w:pStyle w:val="Heading2"/>
        <w:rPr>
          <w:rFonts w:ascii="Arial" w:eastAsia="Century Gothic" w:hAnsi="Arial" w:cs="Arial"/>
          <w:b/>
          <w:color w:val="3C69FF"/>
          <w:sz w:val="20"/>
          <w:szCs w:val="20"/>
        </w:rPr>
      </w:pPr>
      <w:r w:rsidRPr="00D45C1C">
        <w:rPr>
          <w:rFonts w:ascii="Arial" w:eastAsia="Century Gothic" w:hAnsi="Arial" w:cs="Arial"/>
          <w:b/>
          <w:color w:val="3C69FF"/>
          <w:sz w:val="20"/>
          <w:szCs w:val="20"/>
        </w:rPr>
        <w:t>4.4 Do you foresee any sensitivity around the results of this analysis?</w:t>
      </w:r>
    </w:p>
    <w:p w14:paraId="3FEE588D" w14:textId="2EA49563" w:rsidR="00FA23F9" w:rsidRPr="00BA6AAE" w:rsidRDefault="00BA6AAE">
      <w:pPr>
        <w:rPr>
          <w:rFonts w:eastAsia="Century Gothic"/>
          <w:bCs/>
        </w:rPr>
      </w:pPr>
      <w:r>
        <w:rPr>
          <w:rFonts w:eastAsia="Century Gothic"/>
          <w:bCs/>
        </w:rPr>
        <w:t>The outcome and outputs of this analysis will inform how it is used, for example, whether it is utilised in public campaigning or more directly with relevant stakeholders and decision-makers</w:t>
      </w:r>
      <w:r w:rsidR="00F56181">
        <w:rPr>
          <w:rFonts w:eastAsia="Century Gothic"/>
          <w:bCs/>
        </w:rPr>
        <w:t xml:space="preserve">. If we use the results publicly in our campaign, they may come under scrutiny by the government/Treasury. </w:t>
      </w:r>
    </w:p>
    <w:p w14:paraId="35C7F636" w14:textId="71960D8B" w:rsidR="00FA23F9" w:rsidRPr="00D45C1C" w:rsidRDefault="00FB2239" w:rsidP="00B827A6">
      <w:pPr>
        <w:pStyle w:val="Heading2"/>
        <w:rPr>
          <w:rFonts w:ascii="Arial" w:eastAsia="Century Gothic" w:hAnsi="Arial" w:cs="Arial"/>
          <w:b/>
          <w:color w:val="3C69FF"/>
          <w:sz w:val="20"/>
          <w:szCs w:val="20"/>
        </w:rPr>
      </w:pPr>
      <w:r w:rsidRPr="00D45C1C">
        <w:rPr>
          <w:rFonts w:ascii="Arial" w:eastAsia="Century Gothic" w:hAnsi="Arial" w:cs="Arial"/>
          <w:b/>
          <w:color w:val="3C69FF"/>
          <w:sz w:val="20"/>
          <w:szCs w:val="20"/>
        </w:rPr>
        <w:t xml:space="preserve">4.5 How will the results be used? </w:t>
      </w:r>
    </w:p>
    <w:p w14:paraId="533D390D" w14:textId="5D3A35D8" w:rsidR="00FA23F9" w:rsidRDefault="00E17782">
      <w:pPr>
        <w:rPr>
          <w:rFonts w:eastAsia="Century Gothic"/>
          <w:bCs/>
        </w:rPr>
      </w:pPr>
      <w:r w:rsidRPr="00E17782">
        <w:rPr>
          <w:rFonts w:eastAsia="Century Gothic"/>
          <w:bCs/>
        </w:rPr>
        <w:t>Ideally</w:t>
      </w:r>
      <w:r>
        <w:rPr>
          <w:rFonts w:eastAsia="Century Gothic"/>
          <w:bCs/>
        </w:rPr>
        <w:t>,</w:t>
      </w:r>
      <w:r w:rsidRPr="00E17782">
        <w:rPr>
          <w:rFonts w:eastAsia="Century Gothic"/>
          <w:bCs/>
        </w:rPr>
        <w:t> we will use the results as part of our campaign for DGR reform</w:t>
      </w:r>
      <w:r>
        <w:rPr>
          <w:rFonts w:eastAsia="Century Gothic"/>
          <w:bCs/>
        </w:rPr>
        <w:t xml:space="preserve">. </w:t>
      </w:r>
      <w:r w:rsidR="00BA6AAE">
        <w:rPr>
          <w:rFonts w:eastAsia="Century Gothic"/>
          <w:bCs/>
        </w:rPr>
        <w:t>However, the results may be used to:</w:t>
      </w:r>
    </w:p>
    <w:p w14:paraId="30150465" w14:textId="34D09DBA" w:rsidR="00BA6AAE" w:rsidRDefault="00BA6AAE" w:rsidP="00BA6AAE">
      <w:pPr>
        <w:pStyle w:val="ListParagraph"/>
        <w:numPr>
          <w:ilvl w:val="0"/>
          <w:numId w:val="11"/>
        </w:numPr>
        <w:rPr>
          <w:rFonts w:eastAsia="Century Gothic"/>
          <w:bCs/>
        </w:rPr>
      </w:pPr>
      <w:r>
        <w:rPr>
          <w:rFonts w:eastAsia="Century Gothic"/>
          <w:bCs/>
        </w:rPr>
        <w:t>Inform campaign messaging and advocacy materials (e.g. submissions, briefing, and stakeholder communications)</w:t>
      </w:r>
    </w:p>
    <w:p w14:paraId="230F27F3" w14:textId="0C59C849" w:rsidR="00BA6AAE" w:rsidRDefault="00BA6AAE" w:rsidP="00BA6AAE">
      <w:pPr>
        <w:pStyle w:val="ListParagraph"/>
        <w:numPr>
          <w:ilvl w:val="0"/>
          <w:numId w:val="11"/>
        </w:numPr>
        <w:rPr>
          <w:rFonts w:eastAsia="Century Gothic"/>
          <w:bCs/>
        </w:rPr>
      </w:pPr>
      <w:r>
        <w:rPr>
          <w:rFonts w:eastAsia="Century Gothic"/>
          <w:bCs/>
        </w:rPr>
        <w:t>Support strategic prioritisation within the Unlock DGR campaign, including identifying what charity cohorts are most impacted</w:t>
      </w:r>
    </w:p>
    <w:p w14:paraId="2B1F54D8" w14:textId="6AE9869D" w:rsidR="00BA6AAE" w:rsidRDefault="00BA6AAE" w:rsidP="00BA6AAE">
      <w:pPr>
        <w:pStyle w:val="ListParagraph"/>
        <w:numPr>
          <w:ilvl w:val="0"/>
          <w:numId w:val="11"/>
        </w:numPr>
        <w:rPr>
          <w:rFonts w:eastAsia="Century Gothic"/>
          <w:bCs/>
        </w:rPr>
      </w:pPr>
      <w:r>
        <w:rPr>
          <w:rFonts w:eastAsia="Century Gothic"/>
          <w:bCs/>
        </w:rPr>
        <w:t>Contribute to organisational learning around the use of data and modelling in policy reform initiatives</w:t>
      </w:r>
    </w:p>
    <w:p w14:paraId="34AAADFB" w14:textId="2AF08481" w:rsidR="00BA6AAE" w:rsidRPr="00BA6AAE" w:rsidRDefault="00BA6AAE" w:rsidP="00BA6AAE">
      <w:pPr>
        <w:rPr>
          <w:rFonts w:eastAsia="Century Gothic"/>
          <w:bCs/>
        </w:rPr>
      </w:pPr>
      <w:r>
        <w:rPr>
          <w:rFonts w:eastAsia="Century Gothic"/>
          <w:bCs/>
        </w:rPr>
        <w:t>More broadly, the initiative and results align with our commitment to using data, digital capability and cross-sector collaboration to scale our impact and address the structural drivers of disadvantage, including in the legal and regulatory environment for charities. As such, we may share the results of this analysis as part of our sector capability building work, through communities of practice and measurement, evaluation and learning mentorship arrangements.</w:t>
      </w:r>
    </w:p>
    <w:p w14:paraId="6EC293D7" w14:textId="77777777" w:rsidR="00FA23F9" w:rsidRPr="00D45C1C" w:rsidRDefault="00FB2239">
      <w:pPr>
        <w:pStyle w:val="Heading2"/>
        <w:numPr>
          <w:ilvl w:val="1"/>
          <w:numId w:val="3"/>
        </w:numPr>
        <w:rPr>
          <w:rFonts w:ascii="Arial" w:eastAsia="Century Gothic" w:hAnsi="Arial" w:cs="Arial"/>
          <w:b/>
          <w:color w:val="3C69FF"/>
          <w:sz w:val="20"/>
          <w:szCs w:val="20"/>
        </w:rPr>
      </w:pPr>
      <w:r w:rsidRPr="00D45C1C">
        <w:rPr>
          <w:rFonts w:ascii="Arial" w:eastAsia="Century Gothic" w:hAnsi="Arial" w:cs="Arial"/>
          <w:b/>
          <w:color w:val="3C69FF"/>
          <w:sz w:val="20"/>
          <w:szCs w:val="20"/>
        </w:rPr>
        <w:t xml:space="preserve"> Do you intend to publish, share, or use any findings outside of your organisation?</w:t>
      </w:r>
    </w:p>
    <w:p w14:paraId="39AEA36E" w14:textId="3FD4CF5D" w:rsidR="00FA23F9" w:rsidRPr="00BA6AAE" w:rsidRDefault="002B2E02">
      <w:pPr>
        <w:rPr>
          <w:rFonts w:eastAsia="Century Gothic"/>
          <w:bCs/>
        </w:rPr>
      </w:pPr>
      <w:r w:rsidRPr="002B2E02">
        <w:rPr>
          <w:rFonts w:eastAsia="Century Gothic"/>
          <w:bCs/>
        </w:rPr>
        <w:t>Ideally, we will use the findings to bolster our campaign and to strengthen the case for reform with the government.</w:t>
      </w:r>
      <w:r>
        <w:rPr>
          <w:rFonts w:eastAsia="Century Gothic"/>
          <w:bCs/>
        </w:rPr>
        <w:t xml:space="preserve"> </w:t>
      </w:r>
      <w:r w:rsidR="00BA6AAE">
        <w:rPr>
          <w:rFonts w:eastAsia="Century Gothic"/>
          <w:bCs/>
        </w:rPr>
        <w:t xml:space="preserve">We may publish, share, or use findings outside of our organisation, as above. </w:t>
      </w:r>
    </w:p>
    <w:p w14:paraId="7BC08468" w14:textId="58D0EF3C" w:rsidR="00FA23F9" w:rsidRPr="00D45C1C" w:rsidRDefault="00FB2239" w:rsidP="00B827A6">
      <w:pPr>
        <w:pStyle w:val="Heading2"/>
        <w:rPr>
          <w:rFonts w:ascii="Arial" w:eastAsia="Century Gothic" w:hAnsi="Arial" w:cs="Arial"/>
          <w:b/>
          <w:sz w:val="20"/>
          <w:szCs w:val="20"/>
        </w:rPr>
      </w:pPr>
      <w:r w:rsidRPr="00D45C1C">
        <w:rPr>
          <w:rFonts w:ascii="Arial" w:eastAsia="Century Gothic" w:hAnsi="Arial" w:cs="Arial"/>
          <w:b/>
          <w:color w:val="3C69FF"/>
          <w:sz w:val="20"/>
          <w:szCs w:val="20"/>
        </w:rPr>
        <w:t>4.7 Is there anything else we need to be aware of?</w:t>
      </w:r>
    </w:p>
    <w:p w14:paraId="23A474A2" w14:textId="773922FE" w:rsidR="00FA23F9" w:rsidRPr="00BA6AAE" w:rsidRDefault="00BA6AAE">
      <w:pPr>
        <w:rPr>
          <w:rFonts w:eastAsia="Century Gothic"/>
          <w:iCs/>
          <w:color w:val="3494BA"/>
        </w:rPr>
      </w:pPr>
      <w:r>
        <w:rPr>
          <w:rFonts w:eastAsia="Century Gothic"/>
          <w:iCs/>
          <w:color w:val="3494BA"/>
        </w:rPr>
        <w:t xml:space="preserve">No. </w:t>
      </w:r>
    </w:p>
    <w:p w14:paraId="771B1F39" w14:textId="1B4D80BB" w:rsidR="00FA23F9" w:rsidRPr="00D45C1C" w:rsidRDefault="00FB2239">
      <w:pPr>
        <w:pStyle w:val="Heading1"/>
        <w:numPr>
          <w:ilvl w:val="0"/>
          <w:numId w:val="3"/>
        </w:numPr>
        <w:rPr>
          <w:rFonts w:ascii="Arial" w:eastAsia="Century Gothic" w:hAnsi="Arial" w:cs="Arial"/>
          <w:b/>
          <w:color w:val="3C69FF"/>
          <w:sz w:val="26"/>
          <w:szCs w:val="26"/>
        </w:rPr>
      </w:pPr>
      <w:r w:rsidRPr="00D45C1C">
        <w:rPr>
          <w:rFonts w:ascii="Arial" w:eastAsia="Century Gothic" w:hAnsi="Arial" w:cs="Arial"/>
          <w:b/>
          <w:color w:val="3C69FF"/>
          <w:sz w:val="26"/>
          <w:szCs w:val="26"/>
        </w:rPr>
        <w:t>The Data</w:t>
      </w:r>
      <w:r w:rsidR="00BA6AAE">
        <w:rPr>
          <w:rFonts w:ascii="Arial" w:eastAsia="Century Gothic" w:hAnsi="Arial" w:cs="Arial"/>
          <w:b/>
          <w:color w:val="3C69FF"/>
          <w:sz w:val="26"/>
          <w:szCs w:val="26"/>
        </w:rPr>
        <w:t xml:space="preserve"> –</w:t>
      </w:r>
      <w:r w:rsidR="00BA6AAE" w:rsidRPr="00BA6AAE">
        <w:rPr>
          <w:rFonts w:ascii="Arial" w:eastAsia="Century Gothic" w:hAnsi="Arial" w:cs="Arial"/>
          <w:b/>
          <w:color w:val="auto"/>
          <w:sz w:val="26"/>
          <w:szCs w:val="26"/>
        </w:rPr>
        <w:t xml:space="preserve"> N/A</w:t>
      </w:r>
      <w:r w:rsidR="00BA6AAE">
        <w:rPr>
          <w:rFonts w:ascii="Arial" w:eastAsia="Century Gothic" w:hAnsi="Arial" w:cs="Arial"/>
          <w:b/>
          <w:color w:val="auto"/>
          <w:sz w:val="26"/>
          <w:szCs w:val="26"/>
        </w:rPr>
        <w:t xml:space="preserve"> (</w:t>
      </w:r>
      <w:r w:rsidR="00BA6AAE">
        <w:rPr>
          <w:rFonts w:ascii="Arial" w:eastAsia="Century Gothic" w:hAnsi="Arial" w:cs="Arial"/>
          <w:bCs/>
          <w:color w:val="auto"/>
          <w:sz w:val="26"/>
          <w:szCs w:val="26"/>
        </w:rPr>
        <w:t>as discussed with Adam</w:t>
      </w:r>
      <w:r w:rsidR="00BA6AAE">
        <w:rPr>
          <w:rFonts w:ascii="Arial" w:eastAsia="Century Gothic" w:hAnsi="Arial" w:cs="Arial"/>
          <w:b/>
          <w:color w:val="auto"/>
          <w:sz w:val="26"/>
          <w:szCs w:val="26"/>
        </w:rPr>
        <w:t>)</w:t>
      </w:r>
    </w:p>
    <w:p w14:paraId="6689CCA2" w14:textId="77777777" w:rsidR="00FA23F9" w:rsidRPr="00D45C1C" w:rsidRDefault="00FB2239">
      <w:pPr>
        <w:pStyle w:val="Heading2"/>
        <w:rPr>
          <w:rFonts w:ascii="Arial" w:eastAsia="Century Gothic" w:hAnsi="Arial" w:cs="Arial"/>
          <w:b/>
          <w:color w:val="3C69FF"/>
          <w:sz w:val="20"/>
          <w:szCs w:val="20"/>
        </w:rPr>
      </w:pPr>
      <w:r w:rsidRPr="00D45C1C">
        <w:rPr>
          <w:rFonts w:ascii="Arial" w:eastAsia="Century Gothic" w:hAnsi="Arial" w:cs="Arial"/>
          <w:b/>
          <w:color w:val="3C69FF"/>
          <w:sz w:val="20"/>
          <w:szCs w:val="20"/>
        </w:rPr>
        <w:t>5.1 What data can you provide? (e.g. raw data, processed data, dashboards, reports, related analysis, etc.)</w:t>
      </w:r>
      <w:r w:rsidRPr="00D45C1C">
        <w:rPr>
          <w:rFonts w:ascii="Arial" w:eastAsia="Century Gothic" w:hAnsi="Arial" w:cs="Arial"/>
          <w:b/>
          <w:color w:val="3C69FF"/>
          <w:sz w:val="20"/>
          <w:szCs w:val="20"/>
        </w:rPr>
        <w:tab/>
      </w:r>
    </w:p>
    <w:p w14:paraId="4F7C57AA" w14:textId="77777777" w:rsidR="00FA23F9" w:rsidRPr="00D45C1C" w:rsidRDefault="00FA23F9">
      <w:pPr>
        <w:rPr>
          <w:rFonts w:eastAsia="Century Gothic"/>
          <w:b/>
        </w:rPr>
      </w:pPr>
    </w:p>
    <w:p w14:paraId="703BF56A" w14:textId="77777777" w:rsidR="00FA23F9" w:rsidRPr="00D45C1C" w:rsidRDefault="00FB2239">
      <w:pPr>
        <w:pStyle w:val="Heading2"/>
        <w:rPr>
          <w:rFonts w:ascii="Arial" w:eastAsia="Century Gothic" w:hAnsi="Arial" w:cs="Arial"/>
          <w:b/>
          <w:color w:val="3C69FF"/>
          <w:sz w:val="20"/>
          <w:szCs w:val="20"/>
        </w:rPr>
      </w:pPr>
      <w:r w:rsidRPr="00D45C1C">
        <w:rPr>
          <w:rFonts w:ascii="Arial" w:eastAsia="Century Gothic" w:hAnsi="Arial" w:cs="Arial"/>
          <w:b/>
          <w:color w:val="3C69FF"/>
          <w:sz w:val="20"/>
          <w:szCs w:val="20"/>
        </w:rPr>
        <w:t>5.2 When can the data be made available?</w:t>
      </w:r>
      <w:r w:rsidRPr="00D45C1C">
        <w:rPr>
          <w:rFonts w:ascii="Arial" w:eastAsia="Century Gothic" w:hAnsi="Arial" w:cs="Arial"/>
          <w:b/>
          <w:color w:val="3C69FF"/>
          <w:sz w:val="20"/>
          <w:szCs w:val="20"/>
        </w:rPr>
        <w:tab/>
      </w:r>
    </w:p>
    <w:p w14:paraId="4742C97C" w14:textId="77777777" w:rsidR="00FA23F9" w:rsidRPr="00D45C1C" w:rsidRDefault="00FA23F9">
      <w:pPr>
        <w:rPr>
          <w:rFonts w:eastAsia="Century Gothic"/>
        </w:rPr>
      </w:pPr>
    </w:p>
    <w:p w14:paraId="68387C20" w14:textId="77777777" w:rsidR="00FA23F9" w:rsidRPr="00D45C1C" w:rsidRDefault="00FB2239">
      <w:pPr>
        <w:pStyle w:val="Heading2"/>
        <w:rPr>
          <w:rFonts w:ascii="Arial" w:eastAsia="Century Gothic" w:hAnsi="Arial" w:cs="Arial"/>
          <w:b/>
          <w:color w:val="3C69FF"/>
          <w:sz w:val="20"/>
          <w:szCs w:val="20"/>
        </w:rPr>
      </w:pPr>
      <w:r w:rsidRPr="00D45C1C">
        <w:rPr>
          <w:rFonts w:ascii="Arial" w:eastAsia="Century Gothic" w:hAnsi="Arial" w:cs="Arial"/>
          <w:b/>
          <w:color w:val="3C69FF"/>
          <w:sz w:val="20"/>
          <w:szCs w:val="20"/>
        </w:rPr>
        <w:t>5.3 In what format will the data be provided? (e.g. Excel, CSV, other)</w:t>
      </w:r>
    </w:p>
    <w:p w14:paraId="59FECEE9" w14:textId="77777777" w:rsidR="00FA23F9" w:rsidRPr="00D45C1C" w:rsidRDefault="00FA23F9">
      <w:pPr>
        <w:pStyle w:val="Heading2"/>
        <w:rPr>
          <w:rFonts w:ascii="Arial" w:eastAsia="Century Gothic" w:hAnsi="Arial" w:cs="Arial"/>
          <w:b/>
          <w:sz w:val="20"/>
          <w:szCs w:val="20"/>
        </w:rPr>
      </w:pPr>
    </w:p>
    <w:p w14:paraId="1F54A114" w14:textId="77777777" w:rsidR="00FA23F9" w:rsidRPr="00D45C1C" w:rsidRDefault="00FB2239">
      <w:pPr>
        <w:pStyle w:val="Heading2"/>
        <w:rPr>
          <w:rFonts w:ascii="Arial" w:eastAsia="Century Gothic" w:hAnsi="Arial" w:cs="Arial"/>
          <w:b/>
          <w:color w:val="3C69FF"/>
          <w:sz w:val="20"/>
          <w:szCs w:val="20"/>
        </w:rPr>
      </w:pPr>
      <w:r w:rsidRPr="00D45C1C">
        <w:rPr>
          <w:rFonts w:ascii="Arial" w:eastAsia="Century Gothic" w:hAnsi="Arial" w:cs="Arial"/>
          <w:b/>
          <w:color w:val="3C69FF"/>
          <w:sz w:val="20"/>
          <w:szCs w:val="20"/>
        </w:rPr>
        <w:t>5.4 How was the data prepared? (e.g. system extract, manually entered by multiple parties)</w:t>
      </w:r>
    </w:p>
    <w:p w14:paraId="0CB44D57" w14:textId="77777777" w:rsidR="00FA23F9" w:rsidRPr="00D45C1C" w:rsidRDefault="00FA23F9">
      <w:pPr>
        <w:rPr>
          <w:rFonts w:eastAsia="Century Gothic"/>
          <w:b/>
        </w:rPr>
      </w:pPr>
    </w:p>
    <w:p w14:paraId="7C07CA9C" w14:textId="7D2C1E6F" w:rsidR="00FA23F9" w:rsidRPr="00D45C1C" w:rsidRDefault="00FB2239">
      <w:pPr>
        <w:pStyle w:val="Heading2"/>
        <w:rPr>
          <w:rFonts w:ascii="Arial" w:eastAsia="Century Gothic" w:hAnsi="Arial" w:cs="Arial"/>
          <w:b/>
          <w:color w:val="3C69FF"/>
          <w:sz w:val="20"/>
          <w:szCs w:val="20"/>
        </w:rPr>
      </w:pPr>
      <w:r w:rsidRPr="00D45C1C">
        <w:rPr>
          <w:rFonts w:ascii="Arial" w:eastAsia="Century Gothic" w:hAnsi="Arial" w:cs="Arial"/>
          <w:b/>
          <w:color w:val="3C69FF"/>
          <w:sz w:val="20"/>
          <w:szCs w:val="20"/>
        </w:rPr>
        <w:t>5.5 Has the data been modified in any way? (e.g. is it summarised? Does it contain calculated fields?)</w:t>
      </w:r>
    </w:p>
    <w:p w14:paraId="51F4B1DD" w14:textId="77777777" w:rsidR="00FA23F9" w:rsidRPr="00D45C1C" w:rsidRDefault="00FA23F9">
      <w:pPr>
        <w:rPr>
          <w:rFonts w:eastAsia="Century Gothic"/>
        </w:rPr>
      </w:pPr>
    </w:p>
    <w:p w14:paraId="33585A68" w14:textId="20988083" w:rsidR="00FA23F9" w:rsidRPr="00D45C1C" w:rsidRDefault="00FB2239" w:rsidP="00B827A6">
      <w:pPr>
        <w:pStyle w:val="Heading2"/>
        <w:rPr>
          <w:rFonts w:ascii="Arial" w:eastAsia="Century Gothic" w:hAnsi="Arial" w:cs="Arial"/>
          <w:b/>
          <w:color w:val="3C69FF"/>
          <w:sz w:val="20"/>
          <w:szCs w:val="20"/>
        </w:rPr>
      </w:pPr>
      <w:r w:rsidRPr="00D45C1C">
        <w:rPr>
          <w:rFonts w:ascii="Arial" w:eastAsia="Century Gothic" w:hAnsi="Arial" w:cs="Arial"/>
          <w:b/>
          <w:color w:val="3C69FF"/>
          <w:sz w:val="20"/>
          <w:szCs w:val="20"/>
        </w:rPr>
        <w:t>5.6 Are you aware of any limitations with the data? (e.g. are there known data quality issues?) Can the data be reconciled or checked for reasonableness against other sources?</w:t>
      </w:r>
    </w:p>
    <w:p w14:paraId="5F910991" w14:textId="77777777" w:rsidR="00FA23F9" w:rsidRPr="00D45C1C" w:rsidRDefault="00FA23F9">
      <w:pPr>
        <w:rPr>
          <w:rFonts w:eastAsia="Century Gothic"/>
          <w:b/>
        </w:rPr>
      </w:pPr>
    </w:p>
    <w:p w14:paraId="5A28EBF2" w14:textId="77777777" w:rsidR="00FA23F9" w:rsidRPr="00D45C1C" w:rsidRDefault="00FB2239">
      <w:pPr>
        <w:pStyle w:val="Heading2"/>
        <w:rPr>
          <w:rFonts w:ascii="Arial" w:eastAsia="Century Gothic" w:hAnsi="Arial" w:cs="Arial"/>
          <w:b/>
          <w:color w:val="3C69FF"/>
          <w:sz w:val="20"/>
          <w:szCs w:val="20"/>
        </w:rPr>
      </w:pPr>
      <w:r w:rsidRPr="00D45C1C">
        <w:rPr>
          <w:rFonts w:ascii="Arial" w:eastAsia="Century Gothic" w:hAnsi="Arial" w:cs="Arial"/>
          <w:b/>
          <w:color w:val="3C69FF"/>
          <w:sz w:val="20"/>
          <w:szCs w:val="20"/>
        </w:rPr>
        <w:t>5.7 Can the data be appropriately de-identified for Privacy purposes?</w:t>
      </w:r>
    </w:p>
    <w:p w14:paraId="6EF08ECF" w14:textId="77777777" w:rsidR="00FA23F9" w:rsidRPr="00D45C1C" w:rsidRDefault="00FA23F9">
      <w:pPr>
        <w:rPr>
          <w:rFonts w:eastAsia="Century Gothic"/>
          <w:b/>
        </w:rPr>
      </w:pPr>
    </w:p>
    <w:p w14:paraId="1DA38A9F" w14:textId="6C182975" w:rsidR="00FA23F9" w:rsidRPr="00D45C1C" w:rsidRDefault="00FB2239">
      <w:pPr>
        <w:pStyle w:val="Heading2"/>
        <w:rPr>
          <w:rFonts w:ascii="Arial" w:eastAsia="Century Gothic" w:hAnsi="Arial" w:cs="Arial"/>
          <w:b/>
          <w:color w:val="3C69FF"/>
          <w:sz w:val="20"/>
          <w:szCs w:val="20"/>
        </w:rPr>
      </w:pPr>
      <w:r w:rsidRPr="00D45C1C">
        <w:rPr>
          <w:rFonts w:ascii="Arial" w:eastAsia="Century Gothic" w:hAnsi="Arial" w:cs="Arial"/>
          <w:b/>
          <w:color w:val="3C69FF"/>
          <w:sz w:val="20"/>
          <w:szCs w:val="20"/>
        </w:rPr>
        <w:t>5.8 Are you aware of any external and publicly available data</w:t>
      </w:r>
      <w:r w:rsidR="00B827A6" w:rsidRPr="00D45C1C">
        <w:rPr>
          <w:rFonts w:ascii="Arial" w:eastAsia="Century Gothic" w:hAnsi="Arial" w:cs="Arial"/>
          <w:b/>
          <w:color w:val="3C69FF"/>
          <w:sz w:val="20"/>
          <w:szCs w:val="20"/>
        </w:rPr>
        <w:t>,</w:t>
      </w:r>
      <w:r w:rsidRPr="00D45C1C">
        <w:rPr>
          <w:rFonts w:ascii="Arial" w:eastAsia="Century Gothic" w:hAnsi="Arial" w:cs="Arial"/>
          <w:b/>
          <w:color w:val="3C69FF"/>
          <w:sz w:val="20"/>
          <w:szCs w:val="20"/>
        </w:rPr>
        <w:t xml:space="preserve"> information</w:t>
      </w:r>
      <w:r w:rsidR="00B827A6" w:rsidRPr="00D45C1C">
        <w:rPr>
          <w:rFonts w:ascii="Arial" w:eastAsia="Century Gothic" w:hAnsi="Arial" w:cs="Arial"/>
          <w:b/>
          <w:color w:val="3C69FF"/>
          <w:sz w:val="20"/>
          <w:szCs w:val="20"/>
        </w:rPr>
        <w:t>, studies</w:t>
      </w:r>
      <w:r w:rsidRPr="00D45C1C">
        <w:rPr>
          <w:rFonts w:ascii="Arial" w:eastAsia="Century Gothic" w:hAnsi="Arial" w:cs="Arial"/>
          <w:b/>
          <w:color w:val="3C69FF"/>
          <w:sz w:val="20"/>
          <w:szCs w:val="20"/>
        </w:rPr>
        <w:t xml:space="preserve"> </w:t>
      </w:r>
      <w:r w:rsidR="00B827A6" w:rsidRPr="00D45C1C">
        <w:rPr>
          <w:rFonts w:ascii="Arial" w:eastAsia="Century Gothic" w:hAnsi="Arial" w:cs="Arial"/>
          <w:b/>
          <w:color w:val="3C69FF"/>
          <w:sz w:val="20"/>
          <w:szCs w:val="20"/>
        </w:rPr>
        <w:t xml:space="preserve">or research on similar exercises </w:t>
      </w:r>
      <w:r w:rsidRPr="00D45C1C">
        <w:rPr>
          <w:rFonts w:ascii="Arial" w:eastAsia="Century Gothic" w:hAnsi="Arial" w:cs="Arial"/>
          <w:b/>
          <w:color w:val="3C69FF"/>
          <w:sz w:val="20"/>
          <w:szCs w:val="20"/>
        </w:rPr>
        <w:t>that would be useful?</w:t>
      </w:r>
    </w:p>
    <w:p w14:paraId="2609AD23" w14:textId="77777777" w:rsidR="00FA23F9" w:rsidRPr="00D45C1C" w:rsidRDefault="00FA23F9">
      <w:pPr>
        <w:rPr>
          <w:rFonts w:eastAsia="Century Gothic"/>
          <w:b/>
        </w:rPr>
      </w:pPr>
    </w:p>
    <w:p w14:paraId="5C43D41B" w14:textId="77777777" w:rsidR="00FA23F9" w:rsidRPr="00D45C1C" w:rsidRDefault="00FB2239">
      <w:pPr>
        <w:pStyle w:val="Heading2"/>
        <w:rPr>
          <w:rFonts w:ascii="Arial" w:eastAsia="Century Gothic" w:hAnsi="Arial" w:cs="Arial"/>
          <w:b/>
          <w:color w:val="3C69FF"/>
          <w:sz w:val="20"/>
          <w:szCs w:val="20"/>
        </w:rPr>
      </w:pPr>
      <w:r w:rsidRPr="00D45C1C">
        <w:rPr>
          <w:rFonts w:ascii="Arial" w:eastAsia="Century Gothic" w:hAnsi="Arial" w:cs="Arial"/>
          <w:b/>
          <w:color w:val="3C69FF"/>
          <w:sz w:val="20"/>
          <w:szCs w:val="20"/>
        </w:rPr>
        <w:t>5.9 Can you make available a resource within your organisation to assist with data related enquiries throughout the Hackathon? How much time will they be allocated to assist?</w:t>
      </w:r>
    </w:p>
    <w:p w14:paraId="312CF916" w14:textId="77777777" w:rsidR="00FA23F9" w:rsidRPr="00D45C1C" w:rsidRDefault="00FA23F9">
      <w:pPr>
        <w:rPr>
          <w:rFonts w:eastAsia="Century Gothic"/>
          <w:b/>
        </w:rPr>
      </w:pPr>
    </w:p>
    <w:p w14:paraId="255C7C56" w14:textId="77777777" w:rsidR="00FA23F9" w:rsidRPr="00D45C1C" w:rsidRDefault="00FA23F9">
      <w:pPr>
        <w:rPr>
          <w:rFonts w:eastAsia="Century Gothic"/>
        </w:rPr>
      </w:pPr>
    </w:p>
    <w:p w14:paraId="681AC3AF" w14:textId="77777777" w:rsidR="00FA23F9" w:rsidRPr="00D45C1C" w:rsidRDefault="00FB2239">
      <w:pPr>
        <w:rPr>
          <w:rFonts w:eastAsia="Century Gothic"/>
        </w:rPr>
      </w:pPr>
      <w:r w:rsidRPr="00D45C1C">
        <w:br w:type="page"/>
      </w:r>
    </w:p>
    <w:p w14:paraId="65D2059C" w14:textId="77777777" w:rsidR="00FA23F9" w:rsidRPr="00D45C1C" w:rsidRDefault="00FB2239">
      <w:pPr>
        <w:pStyle w:val="Heading1"/>
        <w:numPr>
          <w:ilvl w:val="0"/>
          <w:numId w:val="3"/>
        </w:numPr>
        <w:rPr>
          <w:rFonts w:ascii="Arial" w:eastAsia="Century Gothic" w:hAnsi="Arial" w:cs="Arial"/>
          <w:b/>
          <w:color w:val="3C69FF"/>
          <w:sz w:val="26"/>
          <w:szCs w:val="26"/>
        </w:rPr>
      </w:pPr>
      <w:r w:rsidRPr="00D45C1C">
        <w:rPr>
          <w:rFonts w:ascii="Arial" w:eastAsia="Century Gothic" w:hAnsi="Arial" w:cs="Arial"/>
          <w:b/>
          <w:color w:val="3C69FF"/>
          <w:sz w:val="26"/>
          <w:szCs w:val="26"/>
        </w:rPr>
        <w:t>Agreement</w:t>
      </w:r>
    </w:p>
    <w:p w14:paraId="452E273C" w14:textId="77777777" w:rsidR="00FA23F9" w:rsidRPr="00D45C1C" w:rsidRDefault="00FA23F9">
      <w:pPr>
        <w:shd w:val="clear" w:color="auto" w:fill="FFFFFF"/>
        <w:spacing w:before="0" w:after="0" w:line="240" w:lineRule="auto"/>
        <w:rPr>
          <w:rFonts w:eastAsia="Century Gothic"/>
          <w:color w:val="222222"/>
        </w:rPr>
      </w:pPr>
    </w:p>
    <w:p w14:paraId="16A4026A" w14:textId="77777777" w:rsidR="00FA23F9" w:rsidRPr="00D45C1C" w:rsidRDefault="00FB2239">
      <w:pPr>
        <w:shd w:val="clear" w:color="auto" w:fill="FFFFFF"/>
        <w:spacing w:before="0" w:after="0" w:line="240" w:lineRule="auto"/>
        <w:rPr>
          <w:rFonts w:eastAsia="Century Gothic"/>
          <w:color w:val="222222"/>
        </w:rPr>
      </w:pPr>
      <w:r w:rsidRPr="00D45C1C">
        <w:rPr>
          <w:rFonts w:eastAsia="Century Gothic"/>
          <w:color w:val="222222"/>
        </w:rPr>
        <w:t>The above scoping document describes the services to be provided by the Volunteer team, comprising of:</w:t>
      </w:r>
    </w:p>
    <w:p w14:paraId="2CFD5947" w14:textId="77777777" w:rsidR="00FA23F9" w:rsidRPr="00D45C1C" w:rsidRDefault="00FA23F9">
      <w:pPr>
        <w:shd w:val="clear" w:color="auto" w:fill="FFFFFF"/>
        <w:spacing w:before="0" w:after="0" w:line="240" w:lineRule="auto"/>
        <w:rPr>
          <w:rFonts w:eastAsia="Century Gothic"/>
          <w:color w:val="222222"/>
        </w:rPr>
      </w:pPr>
    </w:p>
    <w:p w14:paraId="0E56B830" w14:textId="77777777" w:rsidR="00FA23F9" w:rsidRPr="00D45C1C" w:rsidRDefault="00FB2239">
      <w:pPr>
        <w:shd w:val="clear" w:color="auto" w:fill="FFFFFF"/>
        <w:spacing w:before="0" w:after="0" w:line="240" w:lineRule="auto"/>
        <w:rPr>
          <w:rFonts w:eastAsia="Century Gothic"/>
          <w:color w:val="222222"/>
        </w:rPr>
      </w:pPr>
      <w:r w:rsidRPr="00D45C1C">
        <w:rPr>
          <w:rFonts w:eastAsia="Century Gothic"/>
          <w:color w:val="222222"/>
        </w:rPr>
        <w:t xml:space="preserve">&lt;individual team members&gt;  &lt;signatures&gt; </w:t>
      </w:r>
    </w:p>
    <w:p w14:paraId="2FE4B02D" w14:textId="77777777" w:rsidR="00FA23F9" w:rsidRPr="00D45C1C" w:rsidRDefault="00FB2239">
      <w:pPr>
        <w:shd w:val="clear" w:color="auto" w:fill="FFFFFF"/>
        <w:spacing w:before="0" w:after="0" w:line="240" w:lineRule="auto"/>
        <w:rPr>
          <w:rFonts w:eastAsia="Century Gothic"/>
          <w:color w:val="222222"/>
        </w:rPr>
      </w:pPr>
      <w:r w:rsidRPr="00D45C1C">
        <w:rPr>
          <w:rFonts w:eastAsia="Century Gothic"/>
          <w:color w:val="222222"/>
        </w:rPr>
        <w:t>&lt;date&gt;</w:t>
      </w:r>
    </w:p>
    <w:p w14:paraId="734784AA" w14:textId="77777777" w:rsidR="00FA23F9" w:rsidRPr="00D45C1C" w:rsidRDefault="00FA23F9">
      <w:pPr>
        <w:shd w:val="clear" w:color="auto" w:fill="FFFFFF"/>
        <w:spacing w:before="0" w:after="0" w:line="240" w:lineRule="auto"/>
        <w:rPr>
          <w:rFonts w:eastAsia="Century Gothic"/>
          <w:color w:val="222222"/>
        </w:rPr>
      </w:pPr>
    </w:p>
    <w:p w14:paraId="19B95131" w14:textId="77777777" w:rsidR="00FA23F9" w:rsidRPr="00D45C1C" w:rsidRDefault="00FB2239">
      <w:pPr>
        <w:shd w:val="clear" w:color="auto" w:fill="FFFFFF"/>
        <w:spacing w:before="0" w:after="0" w:line="240" w:lineRule="auto"/>
        <w:rPr>
          <w:rFonts w:eastAsia="Century Gothic"/>
          <w:color w:val="222222"/>
        </w:rPr>
      </w:pPr>
      <w:r w:rsidRPr="00D45C1C">
        <w:rPr>
          <w:rFonts w:eastAsia="Century Gothic"/>
          <w:color w:val="222222"/>
        </w:rPr>
        <w:t>to</w:t>
      </w:r>
    </w:p>
    <w:p w14:paraId="756C79C6" w14:textId="77777777" w:rsidR="00FA23F9" w:rsidRPr="00D45C1C" w:rsidRDefault="00FA23F9">
      <w:pPr>
        <w:shd w:val="clear" w:color="auto" w:fill="FFFFFF"/>
        <w:spacing w:before="0" w:after="0" w:line="240" w:lineRule="auto"/>
        <w:rPr>
          <w:rFonts w:eastAsia="Century Gothic"/>
          <w:color w:val="222222"/>
        </w:rPr>
      </w:pPr>
    </w:p>
    <w:p w14:paraId="5D888AE0" w14:textId="77777777" w:rsidR="00FA23F9" w:rsidRPr="00D45C1C" w:rsidRDefault="00FB2239">
      <w:pPr>
        <w:shd w:val="clear" w:color="auto" w:fill="FFFFFF"/>
        <w:spacing w:before="0" w:after="0" w:line="240" w:lineRule="auto"/>
        <w:rPr>
          <w:rFonts w:eastAsia="Century Gothic"/>
          <w:color w:val="222222"/>
        </w:rPr>
      </w:pPr>
      <w:r w:rsidRPr="00D45C1C">
        <w:rPr>
          <w:rFonts w:eastAsia="Century Gothic"/>
          <w:color w:val="222222"/>
        </w:rPr>
        <w:t>&lt;NFP&gt; &lt;signature&gt;</w:t>
      </w:r>
    </w:p>
    <w:p w14:paraId="5A44AD95" w14:textId="77777777" w:rsidR="00FA23F9" w:rsidRPr="00D45C1C" w:rsidRDefault="00FB2239">
      <w:pPr>
        <w:shd w:val="clear" w:color="auto" w:fill="FFFFFF"/>
        <w:spacing w:before="0" w:after="0" w:line="240" w:lineRule="auto"/>
        <w:rPr>
          <w:rFonts w:eastAsia="Century Gothic"/>
          <w:color w:val="222222"/>
        </w:rPr>
      </w:pPr>
      <w:r w:rsidRPr="00D45C1C">
        <w:rPr>
          <w:rFonts w:eastAsia="Century Gothic"/>
          <w:color w:val="222222"/>
        </w:rPr>
        <w:t>&lt;date&gt;</w:t>
      </w:r>
    </w:p>
    <w:p w14:paraId="17C410C9" w14:textId="77777777" w:rsidR="00FA23F9" w:rsidRPr="00D45C1C" w:rsidRDefault="00FA23F9">
      <w:pPr>
        <w:shd w:val="clear" w:color="auto" w:fill="FFFFFF"/>
        <w:spacing w:before="0" w:after="0" w:line="240" w:lineRule="auto"/>
        <w:rPr>
          <w:rFonts w:eastAsia="Century Gothic"/>
          <w:color w:val="222222"/>
        </w:rPr>
      </w:pPr>
    </w:p>
    <w:p w14:paraId="57C4B8D3" w14:textId="12FD724A" w:rsidR="00FA23F9" w:rsidRPr="00D45C1C" w:rsidRDefault="00FB2239">
      <w:pPr>
        <w:shd w:val="clear" w:color="auto" w:fill="FFFFFF"/>
        <w:spacing w:before="0" w:after="0" w:line="240" w:lineRule="auto"/>
        <w:rPr>
          <w:rFonts w:eastAsia="Century Gothic"/>
          <w:b/>
          <w:color w:val="222222"/>
        </w:rPr>
      </w:pPr>
      <w:r w:rsidRPr="00D45C1C">
        <w:rPr>
          <w:rFonts w:eastAsia="Century Gothic"/>
          <w:b/>
          <w:color w:val="222222"/>
        </w:rPr>
        <w:t>By signing the above, the NFP and the Volunteer team members agree with the following terms of participation</w:t>
      </w:r>
      <w:r w:rsidR="004063F6" w:rsidRPr="00D45C1C">
        <w:rPr>
          <w:rFonts w:eastAsia="Century Gothic"/>
          <w:b/>
          <w:color w:val="222222"/>
        </w:rPr>
        <w:t>. Further to this, by signing the above, both parties agree to enter into a confidential relationship with respect to the disclosure of certain sensitive, proprietary or protected information as defined in sections 5 &amp; 6 in the terms of participation below</w:t>
      </w:r>
    </w:p>
    <w:p w14:paraId="30F34D45" w14:textId="77777777" w:rsidR="00FA23F9" w:rsidRPr="00D45C1C" w:rsidRDefault="00FA23F9">
      <w:pPr>
        <w:shd w:val="clear" w:color="auto" w:fill="FFFFFF"/>
        <w:spacing w:before="0" w:after="0" w:line="240" w:lineRule="auto"/>
        <w:rPr>
          <w:rFonts w:eastAsia="Century Gothic"/>
          <w:color w:val="222222"/>
        </w:rPr>
      </w:pPr>
    </w:p>
    <w:p w14:paraId="00E82903" w14:textId="77777777" w:rsidR="00FA23F9" w:rsidRPr="00BB560B" w:rsidRDefault="00FB2239" w:rsidP="00BB560B">
      <w:pPr>
        <w:keepNext/>
        <w:pBdr>
          <w:top w:val="nil"/>
          <w:left w:val="nil"/>
          <w:bottom w:val="nil"/>
          <w:right w:val="nil"/>
          <w:between w:val="nil"/>
        </w:pBdr>
        <w:spacing w:before="300" w:after="240"/>
        <w:rPr>
          <w:rFonts w:eastAsia="Century Gothic"/>
          <w:b/>
          <w:color w:val="3C69FF"/>
          <w:sz w:val="48"/>
          <w:szCs w:val="48"/>
        </w:rPr>
      </w:pPr>
      <w:r w:rsidRPr="00BB560B">
        <w:rPr>
          <w:rFonts w:eastAsia="Century Gothic"/>
          <w:b/>
          <w:color w:val="3C69FF"/>
          <w:sz w:val="48"/>
          <w:szCs w:val="48"/>
        </w:rPr>
        <w:t>Actuarial Hackathon</w:t>
      </w:r>
    </w:p>
    <w:p w14:paraId="6579FC81" w14:textId="77777777" w:rsidR="00FA23F9" w:rsidRPr="00BB560B" w:rsidRDefault="00FB2239" w:rsidP="00BB560B">
      <w:pPr>
        <w:keepNext/>
        <w:pBdr>
          <w:top w:val="nil"/>
          <w:left w:val="nil"/>
          <w:bottom w:val="nil"/>
          <w:right w:val="nil"/>
          <w:between w:val="nil"/>
        </w:pBdr>
        <w:spacing w:before="300" w:after="240"/>
        <w:rPr>
          <w:rFonts w:eastAsia="Century Gothic"/>
          <w:b/>
          <w:color w:val="3C69FF"/>
          <w:sz w:val="48"/>
          <w:szCs w:val="48"/>
        </w:rPr>
      </w:pPr>
      <w:r w:rsidRPr="00BB560B">
        <w:rPr>
          <w:rFonts w:eastAsia="Century Gothic"/>
          <w:b/>
          <w:color w:val="3C69FF"/>
          <w:sz w:val="48"/>
          <w:szCs w:val="48"/>
        </w:rPr>
        <w:t>Terms of participation</w:t>
      </w:r>
      <w:r w:rsidRPr="00BB560B">
        <w:rPr>
          <w:rFonts w:eastAsia="Century Gothic"/>
          <w:b/>
          <w:color w:val="000000"/>
          <w:sz w:val="48"/>
          <w:szCs w:val="48"/>
        </w:rPr>
        <w:br/>
      </w:r>
    </w:p>
    <w:p w14:paraId="13D8C559" w14:textId="77777777" w:rsidR="00FA23F9" w:rsidRPr="00D45C1C" w:rsidRDefault="00FB2239">
      <w:pPr>
        <w:keepNext/>
        <w:numPr>
          <w:ilvl w:val="0"/>
          <w:numId w:val="2"/>
        </w:numPr>
        <w:pBdr>
          <w:top w:val="nil"/>
          <w:left w:val="nil"/>
          <w:bottom w:val="nil"/>
          <w:right w:val="nil"/>
          <w:between w:val="nil"/>
        </w:pBdr>
        <w:spacing w:before="300" w:after="180"/>
        <w:rPr>
          <w:rFonts w:eastAsia="Century Gothic"/>
          <w:b/>
          <w:color w:val="3C69FF"/>
        </w:rPr>
      </w:pPr>
      <w:r w:rsidRPr="00D45C1C">
        <w:rPr>
          <w:rFonts w:eastAsia="Century Gothic"/>
          <w:b/>
          <w:color w:val="3C69FF"/>
        </w:rPr>
        <w:t>What is the Actuarial Hackathon?</w:t>
      </w:r>
    </w:p>
    <w:p w14:paraId="7E179629" w14:textId="77777777" w:rsidR="00FA23F9" w:rsidRPr="00D45C1C" w:rsidRDefault="00FB2239">
      <w:pPr>
        <w:numPr>
          <w:ilvl w:val="2"/>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 xml:space="preserve">The Actuarial Hackathon is a hackathon event in which small teams of volunteer actuaries work together to solve real business problems faced by not-for-profit organisations and community groups.  </w:t>
      </w:r>
    </w:p>
    <w:p w14:paraId="69E890E3" w14:textId="77777777" w:rsidR="00FA23F9" w:rsidRPr="00D45C1C" w:rsidRDefault="00FB2239">
      <w:pPr>
        <w:numPr>
          <w:ilvl w:val="2"/>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The initiative is supported by the Institute of Actuaries of Australia (</w:t>
      </w:r>
      <w:r w:rsidRPr="00D45C1C">
        <w:rPr>
          <w:rFonts w:eastAsia="Century Gothic"/>
          <w:b/>
          <w:color w:val="000000"/>
        </w:rPr>
        <w:t>Institute</w:t>
      </w:r>
      <w:r w:rsidRPr="00D45C1C">
        <w:rPr>
          <w:rFonts w:eastAsia="Century Gothic"/>
          <w:color w:val="000000"/>
        </w:rPr>
        <w:t>) and powered by the Actuarial Hackathon Committee (</w:t>
      </w:r>
      <w:r w:rsidRPr="00D45C1C">
        <w:rPr>
          <w:rFonts w:eastAsia="Century Gothic"/>
          <w:b/>
          <w:color w:val="000000"/>
        </w:rPr>
        <w:t>Committee</w:t>
      </w:r>
      <w:r w:rsidRPr="00D45C1C">
        <w:rPr>
          <w:rFonts w:eastAsia="Century Gothic"/>
          <w:color w:val="000000"/>
        </w:rPr>
        <w:t>).</w:t>
      </w:r>
    </w:p>
    <w:p w14:paraId="1A0B472F" w14:textId="341F7B39" w:rsidR="00FA23F9" w:rsidRPr="00D45C1C" w:rsidRDefault="00FB2239">
      <w:pPr>
        <w:numPr>
          <w:ilvl w:val="2"/>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 xml:space="preserve">Each year, the Committee works together with approximately 5 to 10 not-for-profit organisations and community groups (collectively, the </w:t>
      </w:r>
      <w:r w:rsidRPr="00D45C1C">
        <w:rPr>
          <w:rFonts w:eastAsia="Century Gothic"/>
          <w:b/>
          <w:color w:val="000000"/>
        </w:rPr>
        <w:t>NFPs</w:t>
      </w:r>
      <w:r w:rsidRPr="00D45C1C">
        <w:rPr>
          <w:rFonts w:eastAsia="Century Gothic"/>
          <w:color w:val="000000"/>
        </w:rPr>
        <w:t>) to address specific challenges faced by those organisations, ranging from data-driven problems to broader business issues that require research and external data.</w:t>
      </w:r>
    </w:p>
    <w:p w14:paraId="3DB68D12" w14:textId="77777777" w:rsidR="00FA23F9" w:rsidRPr="00D45C1C" w:rsidRDefault="00FB2239">
      <w:pPr>
        <w:numPr>
          <w:ilvl w:val="2"/>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The Actuarial Hackathon allows actuaries to build strong relationships with NFPs doing important community work, developing solutions using the profession’s data and modelling skills. The Institute values the Actuarial Hackathons many weeks are spent understanding the NFP's issue or problem, brainstorming solutions and delivering evidence-based outcomes.</w:t>
      </w:r>
    </w:p>
    <w:p w14:paraId="1F4ED1D2" w14:textId="77777777" w:rsidR="00FA23F9" w:rsidRPr="00D45C1C" w:rsidRDefault="00FB2239">
      <w:pPr>
        <w:numPr>
          <w:ilvl w:val="2"/>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The Actuarial Hackathon is provided in accordance with these terms of participation (</w:t>
      </w:r>
      <w:r w:rsidRPr="00D45C1C">
        <w:rPr>
          <w:rFonts w:eastAsia="Century Gothic"/>
          <w:b/>
          <w:color w:val="000000"/>
        </w:rPr>
        <w:t>Terms of Participation</w:t>
      </w:r>
      <w:r w:rsidRPr="00D45C1C">
        <w:rPr>
          <w:rFonts w:eastAsia="Century Gothic"/>
          <w:color w:val="000000"/>
        </w:rPr>
        <w:t>).  Please read the Terms of Participation carefully.  Your participation in the Hackathon, whether as a not-for-profit organisation, a community group or a volunteer actuary, indicates your acceptance to the Terms of Participation.</w:t>
      </w:r>
    </w:p>
    <w:p w14:paraId="2DD41672" w14:textId="77777777" w:rsidR="00FA23F9" w:rsidRPr="00D45C1C" w:rsidRDefault="00FB2239">
      <w:pPr>
        <w:keepNext/>
        <w:numPr>
          <w:ilvl w:val="0"/>
          <w:numId w:val="2"/>
        </w:numPr>
        <w:pBdr>
          <w:top w:val="nil"/>
          <w:left w:val="nil"/>
          <w:bottom w:val="nil"/>
          <w:right w:val="nil"/>
          <w:between w:val="nil"/>
        </w:pBdr>
        <w:spacing w:before="300" w:after="180"/>
        <w:rPr>
          <w:rFonts w:eastAsia="Century Gothic"/>
          <w:b/>
          <w:color w:val="3C69FF"/>
          <w:sz w:val="26"/>
          <w:szCs w:val="26"/>
        </w:rPr>
      </w:pPr>
      <w:r w:rsidRPr="00D45C1C">
        <w:rPr>
          <w:rFonts w:eastAsia="Century Gothic"/>
          <w:b/>
          <w:color w:val="3C69FF"/>
          <w:sz w:val="26"/>
          <w:szCs w:val="26"/>
        </w:rPr>
        <w:t>Date and Location of the Actuarial Hackathon</w:t>
      </w:r>
    </w:p>
    <w:p w14:paraId="3C6DCCE2" w14:textId="79E5A73F" w:rsidR="00FA23F9" w:rsidRPr="00D45C1C" w:rsidRDefault="00FB2239">
      <w:pPr>
        <w:numPr>
          <w:ilvl w:val="2"/>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 xml:space="preserve">The Actuarial Hackathon will run for the period from </w:t>
      </w:r>
      <w:r w:rsidR="00BB560B">
        <w:rPr>
          <w:rFonts w:eastAsia="Century Gothic"/>
          <w:color w:val="000000"/>
        </w:rPr>
        <w:t>8</w:t>
      </w:r>
      <w:r w:rsidR="00C042BF" w:rsidRPr="00D45C1C">
        <w:rPr>
          <w:rFonts w:eastAsia="Century Gothic"/>
          <w:color w:val="000000"/>
        </w:rPr>
        <w:t xml:space="preserve"> </w:t>
      </w:r>
      <w:r w:rsidR="00BB560B">
        <w:rPr>
          <w:rFonts w:eastAsia="Century Gothic"/>
          <w:color w:val="000000"/>
        </w:rPr>
        <w:t>June</w:t>
      </w:r>
      <w:r w:rsidR="00C042BF" w:rsidRPr="00D45C1C">
        <w:rPr>
          <w:rFonts w:eastAsia="Century Gothic"/>
          <w:color w:val="000000"/>
        </w:rPr>
        <w:t xml:space="preserve"> </w:t>
      </w:r>
      <w:r w:rsidRPr="00D45C1C">
        <w:rPr>
          <w:rFonts w:eastAsia="Century Gothic"/>
          <w:color w:val="000000"/>
        </w:rPr>
        <w:t>202</w:t>
      </w:r>
      <w:r w:rsidR="00BB560B">
        <w:rPr>
          <w:rFonts w:eastAsia="Century Gothic"/>
          <w:color w:val="000000"/>
        </w:rPr>
        <w:t>6</w:t>
      </w:r>
      <w:r w:rsidRPr="00D45C1C">
        <w:rPr>
          <w:rFonts w:eastAsia="Century Gothic"/>
          <w:color w:val="000000"/>
        </w:rPr>
        <w:t xml:space="preserve"> to </w:t>
      </w:r>
      <w:r w:rsidR="00BB560B">
        <w:rPr>
          <w:rFonts w:eastAsia="Century Gothic"/>
          <w:color w:val="000000"/>
        </w:rPr>
        <w:t>13</w:t>
      </w:r>
      <w:r w:rsidRPr="00D45C1C">
        <w:rPr>
          <w:rFonts w:eastAsia="Century Gothic"/>
          <w:color w:val="000000"/>
        </w:rPr>
        <w:t xml:space="preserve"> August 202</w:t>
      </w:r>
      <w:r w:rsidR="00BB560B">
        <w:rPr>
          <w:rFonts w:eastAsia="Century Gothic"/>
          <w:color w:val="000000"/>
        </w:rPr>
        <w:t>6</w:t>
      </w:r>
      <w:r w:rsidRPr="00D45C1C">
        <w:rPr>
          <w:rFonts w:eastAsia="Century Gothic"/>
          <w:color w:val="000000"/>
        </w:rPr>
        <w:t>.</w:t>
      </w:r>
    </w:p>
    <w:p w14:paraId="5B59E027" w14:textId="4CA0037A" w:rsidR="00FA23F9" w:rsidRPr="00D45C1C" w:rsidRDefault="00FB2239">
      <w:pPr>
        <w:numPr>
          <w:ilvl w:val="2"/>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 xml:space="preserve">Teams will be able to present their work at the showcase night on </w:t>
      </w:r>
      <w:r w:rsidR="00BB560B">
        <w:rPr>
          <w:rFonts w:eastAsia="Century Gothic"/>
          <w:color w:val="000000"/>
        </w:rPr>
        <w:t>13</w:t>
      </w:r>
      <w:r w:rsidRPr="00D45C1C">
        <w:rPr>
          <w:rFonts w:eastAsia="Century Gothic"/>
          <w:color w:val="000000"/>
        </w:rPr>
        <w:t xml:space="preserve"> August 202</w:t>
      </w:r>
      <w:r w:rsidR="00BB560B">
        <w:rPr>
          <w:rFonts w:eastAsia="Century Gothic"/>
          <w:color w:val="000000"/>
        </w:rPr>
        <w:t>6</w:t>
      </w:r>
      <w:r w:rsidRPr="00D45C1C">
        <w:rPr>
          <w:rFonts w:eastAsia="Century Gothic"/>
          <w:color w:val="000000"/>
        </w:rPr>
        <w:t xml:space="preserve"> at the Institute in Sydney.</w:t>
      </w:r>
    </w:p>
    <w:p w14:paraId="21F92125" w14:textId="77777777" w:rsidR="00FA23F9" w:rsidRPr="00D45C1C" w:rsidRDefault="00FB2239">
      <w:pPr>
        <w:keepNext/>
        <w:numPr>
          <w:ilvl w:val="0"/>
          <w:numId w:val="2"/>
        </w:numPr>
        <w:pBdr>
          <w:top w:val="nil"/>
          <w:left w:val="nil"/>
          <w:bottom w:val="nil"/>
          <w:right w:val="nil"/>
          <w:between w:val="nil"/>
        </w:pBdr>
        <w:spacing w:before="300" w:after="180"/>
        <w:rPr>
          <w:rFonts w:eastAsia="Century Gothic"/>
          <w:b/>
          <w:color w:val="3C69FF"/>
          <w:sz w:val="26"/>
          <w:szCs w:val="26"/>
        </w:rPr>
      </w:pPr>
      <w:r w:rsidRPr="00D45C1C">
        <w:rPr>
          <w:rFonts w:eastAsia="Century Gothic"/>
          <w:b/>
          <w:color w:val="3C69FF"/>
          <w:sz w:val="26"/>
          <w:szCs w:val="26"/>
        </w:rPr>
        <w:t>Volunteer actuaries</w:t>
      </w:r>
    </w:p>
    <w:p w14:paraId="6D794E46" w14:textId="5749A398" w:rsidR="00FA23F9" w:rsidRPr="00D45C1C" w:rsidRDefault="00FB2239">
      <w:pPr>
        <w:numPr>
          <w:ilvl w:val="2"/>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Approximately 30 volunteer actuaries will work together in a small, randomly allocated team, and with a not-for-profit organisation or community group, to develop a solution for the business problem raised by the not-for-profit organisation or community group.</w:t>
      </w:r>
    </w:p>
    <w:p w14:paraId="61BCB85B" w14:textId="77777777" w:rsidR="00FA23F9" w:rsidRPr="00D45C1C" w:rsidRDefault="00FB2239">
      <w:pPr>
        <w:numPr>
          <w:ilvl w:val="2"/>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Participation in the Actuarial Hackathon is only open to actuaries who are members of the Institute. All participants are eligible to earn CPD points and present at the showcase night.</w:t>
      </w:r>
    </w:p>
    <w:p w14:paraId="1FF96EAD" w14:textId="77777777" w:rsidR="00FA23F9" w:rsidRPr="00D45C1C" w:rsidRDefault="00FB2239">
      <w:pPr>
        <w:numPr>
          <w:ilvl w:val="2"/>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 xml:space="preserve">All volunteer actuaries are bound by the Institute’s Code of Conduct when participating in the Actuarial Hackathon.  The Code of Conduct can be found here: </w:t>
      </w:r>
      <w:hyperlink r:id="rId15">
        <w:r w:rsidRPr="00D45C1C">
          <w:rPr>
            <w:rFonts w:eastAsia="Century Gothic"/>
            <w:color w:val="0000FF"/>
            <w:u w:val="single"/>
          </w:rPr>
          <w:t>https://www.actuaries.asn.au/professional-development-regulation/code-of-conduct</w:t>
        </w:r>
      </w:hyperlink>
      <w:r w:rsidRPr="00D45C1C">
        <w:rPr>
          <w:rFonts w:eastAsia="Century Gothic"/>
          <w:color w:val="000000"/>
        </w:rPr>
        <w:t xml:space="preserve">. </w:t>
      </w:r>
    </w:p>
    <w:p w14:paraId="3F17A0BD" w14:textId="77777777" w:rsidR="00FA23F9" w:rsidRPr="00D45C1C" w:rsidRDefault="00FB2239">
      <w:pPr>
        <w:numPr>
          <w:ilvl w:val="2"/>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The Institute and the Committee must be informed of any changes made to teams and their respective members.  The Institute and the Committee may, at their sole discretion, withdraw any teams from the Actuarial Hackathon who fail to do so.</w:t>
      </w:r>
    </w:p>
    <w:p w14:paraId="087E4DDA" w14:textId="77777777" w:rsidR="00FA23F9" w:rsidRPr="00D45C1C" w:rsidRDefault="00FB2239">
      <w:pPr>
        <w:numPr>
          <w:ilvl w:val="2"/>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Please note that registration does not guarantee your participation in the Actuarial Hackathon.  The Institute and the Committee reserve the right to refuse any applications for participation and may, in their sole discretion and at any point during the Actuarial Hackathon, withdraw a Participant’s entitlement to participate.</w:t>
      </w:r>
    </w:p>
    <w:p w14:paraId="707D59D7" w14:textId="77777777" w:rsidR="00FA23F9" w:rsidRPr="00D45C1C" w:rsidRDefault="00FB2239">
      <w:pPr>
        <w:keepNext/>
        <w:numPr>
          <w:ilvl w:val="0"/>
          <w:numId w:val="2"/>
        </w:numPr>
        <w:pBdr>
          <w:top w:val="nil"/>
          <w:left w:val="nil"/>
          <w:bottom w:val="nil"/>
          <w:right w:val="nil"/>
          <w:between w:val="nil"/>
        </w:pBdr>
        <w:spacing w:before="300" w:after="180"/>
        <w:rPr>
          <w:rFonts w:eastAsia="Century Gothic"/>
          <w:b/>
          <w:color w:val="000000"/>
          <w:sz w:val="26"/>
          <w:szCs w:val="26"/>
        </w:rPr>
      </w:pPr>
      <w:r w:rsidRPr="00D45C1C">
        <w:rPr>
          <w:rFonts w:eastAsia="Century Gothic"/>
          <w:b/>
          <w:color w:val="3C69FF"/>
          <w:sz w:val="26"/>
          <w:szCs w:val="26"/>
        </w:rPr>
        <w:t>Not-for-profit organisations and community groups</w:t>
      </w:r>
    </w:p>
    <w:p w14:paraId="13EC8F69" w14:textId="77777777" w:rsidR="00FA23F9" w:rsidRPr="00D45C1C" w:rsidRDefault="00FB2239">
      <w:pPr>
        <w:numPr>
          <w:ilvl w:val="1"/>
          <w:numId w:val="1"/>
        </w:numPr>
        <w:pBdr>
          <w:top w:val="nil"/>
          <w:left w:val="nil"/>
          <w:bottom w:val="nil"/>
          <w:right w:val="nil"/>
          <w:between w:val="nil"/>
        </w:pBdr>
        <w:spacing w:before="0" w:after="180"/>
        <w:rPr>
          <w:rFonts w:eastAsia="Century Gothic"/>
          <w:color w:val="000000"/>
        </w:rPr>
      </w:pPr>
      <w:r w:rsidRPr="00D45C1C">
        <w:rPr>
          <w:rFonts w:eastAsia="Century Gothic"/>
          <w:color w:val="000000"/>
        </w:rPr>
        <w:t>Not-for-profit organisations or community groups participating in the Actuarial Hackathon acknowledge and agree that:</w:t>
      </w:r>
    </w:p>
    <w:p w14:paraId="75465DD2" w14:textId="77777777" w:rsidR="00FA23F9" w:rsidRPr="00D45C1C" w:rsidRDefault="00FB2239">
      <w:pPr>
        <w:numPr>
          <w:ilvl w:val="3"/>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any Deliverables that are provided as part of the Actuarial Hackathon:</w:t>
      </w:r>
    </w:p>
    <w:p w14:paraId="278A47B6" w14:textId="77777777" w:rsidR="00FA23F9" w:rsidRPr="00D45C1C" w:rsidRDefault="00FB2239">
      <w:pPr>
        <w:numPr>
          <w:ilvl w:val="4"/>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subject to paragraph 4(b) below, can only be used by the not-for-profit organisation or the community group for their own internal purposes;</w:t>
      </w:r>
    </w:p>
    <w:p w14:paraId="7EEDE5DC" w14:textId="77777777" w:rsidR="00FA23F9" w:rsidRPr="00D45C1C" w:rsidRDefault="00FB2239">
      <w:pPr>
        <w:numPr>
          <w:ilvl w:val="4"/>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are provided on an “as-is” basis, without any warranties as to their accuracy or suitability;</w:t>
      </w:r>
    </w:p>
    <w:p w14:paraId="07981379" w14:textId="77777777" w:rsidR="00FA23F9" w:rsidRPr="00D45C1C" w:rsidRDefault="00FB2239">
      <w:pPr>
        <w:numPr>
          <w:ilvl w:val="4"/>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are provided solely based on the Input Data made available to the volunteer actuaries; and</w:t>
      </w:r>
    </w:p>
    <w:p w14:paraId="702FC7D2" w14:textId="77777777" w:rsidR="00FA23F9" w:rsidRPr="00D45C1C" w:rsidRDefault="00FB2239">
      <w:pPr>
        <w:numPr>
          <w:ilvl w:val="4"/>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are not endorsed by the Institute, its members, directors, officers, employees, agents or that of the employers of the members of the Hackathon Committee; and</w:t>
      </w:r>
    </w:p>
    <w:p w14:paraId="7411AC56" w14:textId="77777777" w:rsidR="00FA23F9" w:rsidRPr="00D45C1C" w:rsidRDefault="00FB2239">
      <w:pPr>
        <w:numPr>
          <w:ilvl w:val="3"/>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the Institute, its members (including Participants), directors, officers, employees, agents or that of the employers of the members of the Hackathon Committee exclude all liability for loss incurred or suffered by a not-for-profit organisation or community group in relation to:</w:t>
      </w:r>
    </w:p>
    <w:p w14:paraId="650D528E" w14:textId="77777777" w:rsidR="00FA23F9" w:rsidRPr="00D45C1C" w:rsidRDefault="00FB2239">
      <w:pPr>
        <w:numPr>
          <w:ilvl w:val="4"/>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the accuracy, completeness or quality of the Deliverables;</w:t>
      </w:r>
    </w:p>
    <w:p w14:paraId="4B250068" w14:textId="77777777" w:rsidR="00FA23F9" w:rsidRPr="00D45C1C" w:rsidRDefault="00FB2239">
      <w:pPr>
        <w:numPr>
          <w:ilvl w:val="4"/>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 xml:space="preserve">the suitability of the Deliverables for the not-for-profit organisation or community group’s purposes; and </w:t>
      </w:r>
    </w:p>
    <w:p w14:paraId="658D620E" w14:textId="77777777" w:rsidR="00FA23F9" w:rsidRPr="00D45C1C" w:rsidRDefault="00FB2239">
      <w:pPr>
        <w:numPr>
          <w:ilvl w:val="4"/>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any decision made by the not-for-profit organisation, the community group or any third party using, or in reliance on, the Deliverables.</w:t>
      </w:r>
    </w:p>
    <w:p w14:paraId="7BF7AFD7" w14:textId="77777777" w:rsidR="00FA23F9" w:rsidRPr="00D45C1C" w:rsidRDefault="00FB2239">
      <w:pPr>
        <w:numPr>
          <w:ilvl w:val="2"/>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In the event that a not-for-profit organisation or community group would like to use the Deliverables for external purposes, the not-for-profit organisation or community group:</w:t>
      </w:r>
    </w:p>
    <w:p w14:paraId="6821B580" w14:textId="77777777" w:rsidR="00FA23F9" w:rsidRPr="00D45C1C" w:rsidRDefault="00FB2239">
      <w:pPr>
        <w:numPr>
          <w:ilvl w:val="3"/>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 xml:space="preserve">must first obtain written consent from the Institute (such consent not to be unreasonably withheld); and </w:t>
      </w:r>
    </w:p>
    <w:p w14:paraId="703CED01" w14:textId="77777777" w:rsidR="00FA23F9" w:rsidRPr="00D45C1C" w:rsidRDefault="00FB2239">
      <w:pPr>
        <w:numPr>
          <w:ilvl w:val="3"/>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for the avoidance of doubt, acknowledges and agrees that paragraph 4(a) above will continue to apply in the event of any external use.</w:t>
      </w:r>
    </w:p>
    <w:p w14:paraId="6C5D22B7" w14:textId="77777777" w:rsidR="00FA23F9" w:rsidRPr="00D45C1C" w:rsidRDefault="00FB2239">
      <w:pPr>
        <w:keepNext/>
        <w:numPr>
          <w:ilvl w:val="0"/>
          <w:numId w:val="2"/>
        </w:numPr>
        <w:pBdr>
          <w:top w:val="nil"/>
          <w:left w:val="nil"/>
          <w:bottom w:val="nil"/>
          <w:right w:val="nil"/>
          <w:between w:val="nil"/>
        </w:pBdr>
        <w:spacing w:before="300" w:after="180"/>
        <w:rPr>
          <w:rFonts w:eastAsia="Century Gothic"/>
          <w:b/>
          <w:color w:val="3C69FF"/>
          <w:sz w:val="26"/>
          <w:szCs w:val="26"/>
        </w:rPr>
      </w:pPr>
      <w:r w:rsidRPr="00D45C1C">
        <w:rPr>
          <w:rFonts w:eastAsia="Century Gothic"/>
          <w:b/>
          <w:color w:val="3C69FF"/>
          <w:sz w:val="26"/>
          <w:szCs w:val="26"/>
        </w:rPr>
        <w:t>Intellectual property</w:t>
      </w:r>
    </w:p>
    <w:p w14:paraId="4C09C14A" w14:textId="77777777" w:rsidR="00FA23F9" w:rsidRPr="00D45C1C" w:rsidRDefault="00FB2239">
      <w:pPr>
        <w:keepNext/>
        <w:numPr>
          <w:ilvl w:val="1"/>
          <w:numId w:val="2"/>
        </w:numPr>
        <w:pBdr>
          <w:top w:val="nil"/>
          <w:left w:val="nil"/>
          <w:bottom w:val="nil"/>
          <w:right w:val="nil"/>
          <w:between w:val="nil"/>
        </w:pBdr>
        <w:spacing w:before="0" w:after="180"/>
        <w:rPr>
          <w:rFonts w:eastAsia="Century Gothic"/>
          <w:b/>
          <w:color w:val="3C69FF"/>
        </w:rPr>
      </w:pPr>
      <w:r w:rsidRPr="00D45C1C">
        <w:rPr>
          <w:rFonts w:eastAsia="Century Gothic"/>
          <w:b/>
          <w:color w:val="3C69FF"/>
        </w:rPr>
        <w:t>Assignment of intellectual property</w:t>
      </w:r>
    </w:p>
    <w:p w14:paraId="2D4902A2" w14:textId="77777777" w:rsidR="00FA23F9" w:rsidRPr="00D45C1C" w:rsidRDefault="00FB2239">
      <w:pPr>
        <w:numPr>
          <w:ilvl w:val="2"/>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Participants in the Actuarial Hackathon:</w:t>
      </w:r>
    </w:p>
    <w:p w14:paraId="64F6D704" w14:textId="77777777" w:rsidR="00FA23F9" w:rsidRPr="00D45C1C" w:rsidRDefault="00FB2239">
      <w:pPr>
        <w:numPr>
          <w:ilvl w:val="3"/>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 xml:space="preserve">irrevocably assign to the Institute (including by way of present assignment of future copyright) all rights, title and interest, including all rights in the copyright, in and to the New Intellectual Property; and </w:t>
      </w:r>
    </w:p>
    <w:p w14:paraId="6CA3B04F" w14:textId="77777777" w:rsidR="00FA23F9" w:rsidRPr="00D45C1C" w:rsidRDefault="00FB2239">
      <w:pPr>
        <w:numPr>
          <w:ilvl w:val="3"/>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in respect of the Deliverables:</w:t>
      </w:r>
    </w:p>
    <w:p w14:paraId="5EAFAA34" w14:textId="77777777" w:rsidR="00FA23F9" w:rsidRPr="00D45C1C" w:rsidRDefault="00FB2239">
      <w:pPr>
        <w:numPr>
          <w:ilvl w:val="4"/>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consent to the Institute, anyone authorised by the Institute, and the Institute’s successors and assigns, doing or omitting to do anything, for any purpose, which may infringe any or all moral rights granted to the participant; and</w:t>
      </w:r>
    </w:p>
    <w:p w14:paraId="14216F20" w14:textId="77777777" w:rsidR="00FA23F9" w:rsidRPr="00D45C1C" w:rsidRDefault="00FB2239">
      <w:pPr>
        <w:numPr>
          <w:ilvl w:val="4"/>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to the extent permitted by laws outside Australia, waive to the Institute, anyone authorised by the Institute, and the Institute’s successors and assigns, any or all moral rights (or rights known as “droit moral”) granted to the participant,</w:t>
      </w:r>
    </w:p>
    <w:p w14:paraId="61B0D71F" w14:textId="77777777" w:rsidR="00FA23F9" w:rsidRPr="00D45C1C" w:rsidRDefault="00FB2239">
      <w:pPr>
        <w:pBdr>
          <w:top w:val="nil"/>
          <w:left w:val="nil"/>
          <w:bottom w:val="nil"/>
          <w:right w:val="nil"/>
          <w:between w:val="nil"/>
        </w:pBdr>
        <w:spacing w:before="0" w:after="180"/>
        <w:ind w:left="1701" w:hanging="567"/>
        <w:rPr>
          <w:rFonts w:eastAsia="Century Gothic"/>
          <w:color w:val="000000"/>
        </w:rPr>
      </w:pPr>
      <w:r w:rsidRPr="00D45C1C">
        <w:rPr>
          <w:rFonts w:eastAsia="Century Gothic"/>
          <w:color w:val="000000"/>
        </w:rPr>
        <w:t>including the right to edit, change, add to, take from or adapt the Deliverables, and the right to have the Deliverables attributed to the participant.</w:t>
      </w:r>
    </w:p>
    <w:p w14:paraId="58399873" w14:textId="77777777" w:rsidR="00FA23F9" w:rsidRPr="00D45C1C" w:rsidRDefault="00FB2239">
      <w:pPr>
        <w:numPr>
          <w:ilvl w:val="2"/>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The Institute grants Participants a non-exclusive, royalty free licence to use the New Intellectual Property solely for the purposes of participating in the Actuarial Hackathon.</w:t>
      </w:r>
    </w:p>
    <w:p w14:paraId="349A6BF7" w14:textId="77777777" w:rsidR="00FA23F9" w:rsidRPr="00D45C1C" w:rsidRDefault="00FB2239">
      <w:pPr>
        <w:keepNext/>
        <w:numPr>
          <w:ilvl w:val="1"/>
          <w:numId w:val="2"/>
        </w:numPr>
        <w:pBdr>
          <w:top w:val="nil"/>
          <w:left w:val="nil"/>
          <w:bottom w:val="nil"/>
          <w:right w:val="nil"/>
          <w:between w:val="nil"/>
        </w:pBdr>
        <w:spacing w:before="0" w:after="180"/>
        <w:rPr>
          <w:rFonts w:eastAsia="Century Gothic"/>
          <w:b/>
          <w:color w:val="3C69FF"/>
        </w:rPr>
      </w:pPr>
      <w:r w:rsidRPr="00D45C1C">
        <w:rPr>
          <w:rFonts w:eastAsia="Century Gothic"/>
          <w:b/>
          <w:color w:val="3C69FF"/>
        </w:rPr>
        <w:t>Indemnity</w:t>
      </w:r>
    </w:p>
    <w:p w14:paraId="232CA3B2" w14:textId="77777777" w:rsidR="00FA23F9" w:rsidRPr="00D45C1C" w:rsidRDefault="00FB2239">
      <w:pPr>
        <w:pBdr>
          <w:top w:val="nil"/>
          <w:left w:val="nil"/>
          <w:bottom w:val="nil"/>
          <w:right w:val="nil"/>
          <w:between w:val="nil"/>
        </w:pBdr>
        <w:spacing w:before="0" w:after="180"/>
        <w:ind w:left="567"/>
        <w:rPr>
          <w:rFonts w:eastAsia="Century Gothic"/>
          <w:color w:val="000000"/>
        </w:rPr>
      </w:pPr>
      <w:r w:rsidRPr="00D45C1C">
        <w:rPr>
          <w:rFonts w:eastAsia="Century Gothic"/>
          <w:color w:val="000000"/>
        </w:rPr>
        <w:t>Participants agree to indemnify, and keep indemnified, the Institute against any loss suffered or expense incurred by the Institute in relation to claims by a third party that the Institute’s use of the New Intellectual Property infringes or is alleged to be infringing the Intellectual Property Rights of a third party.</w:t>
      </w:r>
    </w:p>
    <w:p w14:paraId="0290A9A7" w14:textId="77777777" w:rsidR="00FA23F9" w:rsidRPr="00D45C1C" w:rsidRDefault="00FB2239">
      <w:pPr>
        <w:keepNext/>
        <w:numPr>
          <w:ilvl w:val="0"/>
          <w:numId w:val="2"/>
        </w:numPr>
        <w:pBdr>
          <w:top w:val="nil"/>
          <w:left w:val="nil"/>
          <w:bottom w:val="nil"/>
          <w:right w:val="nil"/>
          <w:between w:val="nil"/>
        </w:pBdr>
        <w:spacing w:before="300" w:after="180"/>
        <w:rPr>
          <w:rFonts w:eastAsia="Century Gothic"/>
          <w:b/>
          <w:color w:val="3C69FF"/>
          <w:sz w:val="26"/>
          <w:szCs w:val="26"/>
        </w:rPr>
      </w:pPr>
      <w:bookmarkStart w:id="1" w:name="_heading=h.1fob9te" w:colFirst="0" w:colLast="0"/>
      <w:bookmarkEnd w:id="1"/>
      <w:r w:rsidRPr="00D45C1C">
        <w:rPr>
          <w:rFonts w:eastAsia="Century Gothic"/>
          <w:b/>
          <w:color w:val="3C69FF"/>
          <w:sz w:val="26"/>
          <w:szCs w:val="26"/>
        </w:rPr>
        <w:t xml:space="preserve">Confidential information </w:t>
      </w:r>
    </w:p>
    <w:p w14:paraId="02C911CF" w14:textId="77777777" w:rsidR="00FA23F9" w:rsidRPr="00D45C1C" w:rsidRDefault="00FB2239">
      <w:pPr>
        <w:keepNext/>
        <w:numPr>
          <w:ilvl w:val="1"/>
          <w:numId w:val="2"/>
        </w:numPr>
        <w:pBdr>
          <w:top w:val="nil"/>
          <w:left w:val="nil"/>
          <w:bottom w:val="nil"/>
          <w:right w:val="nil"/>
          <w:between w:val="nil"/>
        </w:pBdr>
        <w:spacing w:before="0" w:after="180"/>
        <w:rPr>
          <w:rFonts w:eastAsia="Century Gothic"/>
          <w:b/>
          <w:color w:val="3C69FF"/>
        </w:rPr>
      </w:pPr>
      <w:bookmarkStart w:id="2" w:name="_heading=h.3znysh7" w:colFirst="0" w:colLast="0"/>
      <w:bookmarkEnd w:id="2"/>
      <w:r w:rsidRPr="00D45C1C">
        <w:rPr>
          <w:rFonts w:eastAsia="Century Gothic"/>
          <w:b/>
          <w:color w:val="3C69FF"/>
        </w:rPr>
        <w:t>Confidential Information</w:t>
      </w:r>
    </w:p>
    <w:p w14:paraId="76BCF722" w14:textId="77777777" w:rsidR="00FA23F9" w:rsidRPr="00D45C1C" w:rsidRDefault="00FB2239">
      <w:pPr>
        <w:numPr>
          <w:ilvl w:val="2"/>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 xml:space="preserve">Participants must maintain in confidence all Confidential Information and ensure that the Confidential Information is kept confidential. </w:t>
      </w:r>
    </w:p>
    <w:p w14:paraId="4A61C862" w14:textId="77777777" w:rsidR="00FA23F9" w:rsidRPr="00D45C1C" w:rsidRDefault="00FB2239">
      <w:pPr>
        <w:numPr>
          <w:ilvl w:val="2"/>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 xml:space="preserve">Participants must not, at any time during or after the Actuarial Hackathon, use, disclose or attempt to use or disclose Confidential Information for any purpose other than for the purposes of participating in the Actuarial Hackathon. </w:t>
      </w:r>
    </w:p>
    <w:p w14:paraId="245145AC" w14:textId="77777777" w:rsidR="00FA23F9" w:rsidRPr="00D45C1C" w:rsidRDefault="00FB2239">
      <w:pPr>
        <w:numPr>
          <w:ilvl w:val="2"/>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Participants must not use, divulge or communicate any such information to any person without the prior written consent of the Institute. Furthermore, since this obligation continues after the Actuarial Hackathon, Participants must not use or disclose, to anyone, any such Confidential Information at any time, unless required by law to do so.</w:t>
      </w:r>
    </w:p>
    <w:p w14:paraId="5CEAAACE" w14:textId="77777777" w:rsidR="00FA23F9" w:rsidRPr="00BB560B" w:rsidRDefault="00FB2239">
      <w:pPr>
        <w:keepNext/>
        <w:numPr>
          <w:ilvl w:val="1"/>
          <w:numId w:val="2"/>
        </w:numPr>
        <w:pBdr>
          <w:top w:val="nil"/>
          <w:left w:val="nil"/>
          <w:bottom w:val="nil"/>
          <w:right w:val="nil"/>
          <w:between w:val="nil"/>
        </w:pBdr>
        <w:spacing w:before="0" w:after="180"/>
        <w:rPr>
          <w:rFonts w:eastAsia="Century Gothic"/>
          <w:b/>
          <w:color w:val="3C69FF"/>
        </w:rPr>
      </w:pPr>
      <w:bookmarkStart w:id="3" w:name="_heading=h.2et92p0" w:colFirst="0" w:colLast="0"/>
      <w:bookmarkEnd w:id="3"/>
      <w:r w:rsidRPr="00BB560B">
        <w:rPr>
          <w:rFonts w:eastAsia="Century Gothic"/>
          <w:b/>
          <w:color w:val="3C69FF"/>
        </w:rPr>
        <w:t>Exceptions to confidentiality</w:t>
      </w:r>
    </w:p>
    <w:p w14:paraId="31A77A14" w14:textId="77777777" w:rsidR="00FA23F9" w:rsidRPr="00D45C1C" w:rsidRDefault="00FB2239">
      <w:pPr>
        <w:pBdr>
          <w:top w:val="nil"/>
          <w:left w:val="nil"/>
          <w:bottom w:val="nil"/>
          <w:right w:val="nil"/>
          <w:between w:val="nil"/>
        </w:pBdr>
        <w:spacing w:before="0" w:after="180"/>
        <w:ind w:left="567"/>
        <w:rPr>
          <w:rFonts w:eastAsia="Century Gothic"/>
          <w:color w:val="000000"/>
        </w:rPr>
      </w:pPr>
      <w:r w:rsidRPr="00D45C1C">
        <w:rPr>
          <w:rFonts w:eastAsia="Century Gothic"/>
          <w:color w:val="000000"/>
        </w:rPr>
        <w:t>Participants may reveal Confidential Information that:</w:t>
      </w:r>
    </w:p>
    <w:p w14:paraId="0103118F" w14:textId="77777777" w:rsidR="00FA23F9" w:rsidRPr="00D45C1C" w:rsidRDefault="00FB2239">
      <w:pPr>
        <w:numPr>
          <w:ilvl w:val="2"/>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 xml:space="preserve">the Participant is required by law or any court of competent jurisdiction or by governmental or regulatory authority to disclose, in which case the Participant must immediately notify the Institute of the requirement and must take lawful steps and permit the Institute, or the not-for-profit organisation or community group to which the Confidential Information relates, to oppose or restrict the disclosure to preserve, as far as possible, the confidentiality of the Confidential Information; </w:t>
      </w:r>
    </w:p>
    <w:p w14:paraId="6DC54894" w14:textId="77777777" w:rsidR="00FA23F9" w:rsidRPr="00D45C1C" w:rsidRDefault="00FB2239">
      <w:pPr>
        <w:numPr>
          <w:ilvl w:val="2"/>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is in or enters the public domain for reasons other than a breach of this agreement by the Participant; or</w:t>
      </w:r>
    </w:p>
    <w:p w14:paraId="447E475C" w14:textId="77777777" w:rsidR="00FA23F9" w:rsidRPr="00D45C1C" w:rsidRDefault="00FB2239">
      <w:pPr>
        <w:numPr>
          <w:ilvl w:val="2"/>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is lawfully acquired from a third party who owes no duty of confidence to the Institute or the not-for-profit organisation or community group to which the Confidential Information relates.</w:t>
      </w:r>
    </w:p>
    <w:p w14:paraId="3B846186" w14:textId="77777777" w:rsidR="00FA23F9" w:rsidRPr="00BB560B" w:rsidRDefault="00FB2239">
      <w:pPr>
        <w:keepNext/>
        <w:numPr>
          <w:ilvl w:val="1"/>
          <w:numId w:val="2"/>
        </w:numPr>
        <w:pBdr>
          <w:top w:val="nil"/>
          <w:left w:val="nil"/>
          <w:bottom w:val="nil"/>
          <w:right w:val="nil"/>
          <w:between w:val="nil"/>
        </w:pBdr>
        <w:spacing w:before="0" w:after="180"/>
        <w:rPr>
          <w:rFonts w:eastAsia="Century Gothic"/>
          <w:b/>
          <w:color w:val="3C69FF"/>
        </w:rPr>
      </w:pPr>
      <w:r w:rsidRPr="00BB560B">
        <w:rPr>
          <w:rFonts w:eastAsia="Century Gothic"/>
          <w:b/>
          <w:color w:val="3C69FF"/>
        </w:rPr>
        <w:t>Destruction of Confidential Information</w:t>
      </w:r>
    </w:p>
    <w:p w14:paraId="609E27FF" w14:textId="77777777" w:rsidR="00FA23F9" w:rsidRPr="00D45C1C" w:rsidRDefault="00FB2239">
      <w:pPr>
        <w:numPr>
          <w:ilvl w:val="2"/>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Volunteer actuaries must take steps to destroy or return all Confidential Information relating to the Institute or not-profit-organisations as soon as possible following the end of the Actuarial Hackathon.</w:t>
      </w:r>
    </w:p>
    <w:p w14:paraId="2E714511" w14:textId="77777777" w:rsidR="00FA23F9" w:rsidRPr="00D45C1C" w:rsidRDefault="00FB2239">
      <w:pPr>
        <w:numPr>
          <w:ilvl w:val="2"/>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The Institute will take steps to destroy or return all Confidential Information relating to the not-profit-organisations as soon as reasonably practicable following the end of the Actuarial Hackathon.</w:t>
      </w:r>
    </w:p>
    <w:p w14:paraId="4A737870" w14:textId="77777777" w:rsidR="00FA23F9" w:rsidRPr="00BB560B" w:rsidRDefault="00FB2239">
      <w:pPr>
        <w:keepNext/>
        <w:numPr>
          <w:ilvl w:val="0"/>
          <w:numId w:val="2"/>
        </w:numPr>
        <w:pBdr>
          <w:top w:val="nil"/>
          <w:left w:val="nil"/>
          <w:bottom w:val="nil"/>
          <w:right w:val="nil"/>
          <w:between w:val="nil"/>
        </w:pBdr>
        <w:spacing w:before="300" w:after="180"/>
        <w:rPr>
          <w:rFonts w:eastAsia="Century Gothic"/>
          <w:b/>
          <w:color w:val="3C69FF"/>
          <w:sz w:val="26"/>
          <w:szCs w:val="26"/>
        </w:rPr>
      </w:pPr>
      <w:r w:rsidRPr="00BB560B">
        <w:rPr>
          <w:rFonts w:eastAsia="Century Gothic"/>
          <w:b/>
          <w:color w:val="3C69FF"/>
          <w:sz w:val="26"/>
          <w:szCs w:val="26"/>
        </w:rPr>
        <w:t>Privacy &amp; Publicity</w:t>
      </w:r>
    </w:p>
    <w:p w14:paraId="4AE043AB" w14:textId="77777777" w:rsidR="00FA23F9" w:rsidRPr="00D45C1C" w:rsidRDefault="00FB2239">
      <w:pPr>
        <w:pBdr>
          <w:top w:val="nil"/>
          <w:left w:val="nil"/>
          <w:bottom w:val="nil"/>
          <w:right w:val="nil"/>
          <w:between w:val="nil"/>
        </w:pBdr>
        <w:spacing w:before="0" w:after="180"/>
        <w:ind w:left="1134" w:hanging="567"/>
        <w:rPr>
          <w:rFonts w:eastAsia="Century Gothic"/>
          <w:color w:val="000000"/>
        </w:rPr>
      </w:pPr>
      <w:r w:rsidRPr="00D45C1C">
        <w:rPr>
          <w:rFonts w:eastAsia="Century Gothic"/>
          <w:color w:val="000000"/>
        </w:rPr>
        <w:t>By participating in the Actuarial Hackathon, Participants consent to:</w:t>
      </w:r>
    </w:p>
    <w:p w14:paraId="1890CEF1" w14:textId="77777777" w:rsidR="00FA23F9" w:rsidRPr="00D45C1C" w:rsidRDefault="00FB2239">
      <w:pPr>
        <w:numPr>
          <w:ilvl w:val="2"/>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 xml:space="preserve">the Institute and the Committee collecting, holding, using and disclosing any personal information provided by the Participant in accordance with the Institute’s privacy policy (which can be found here: </w:t>
      </w:r>
      <w:hyperlink r:id="rId16">
        <w:r w:rsidRPr="00D45C1C">
          <w:rPr>
            <w:rFonts w:eastAsia="Century Gothic"/>
            <w:color w:val="0000FF"/>
            <w:u w:val="single"/>
          </w:rPr>
          <w:t>https://www.actuaries.digital/privacy/</w:t>
        </w:r>
      </w:hyperlink>
      <w:r w:rsidRPr="00D45C1C">
        <w:rPr>
          <w:rFonts w:eastAsia="Century Gothic"/>
          <w:color w:val="000000"/>
        </w:rPr>
        <w:t>); and</w:t>
      </w:r>
    </w:p>
    <w:p w14:paraId="065FA289" w14:textId="77777777" w:rsidR="00FA23F9" w:rsidRPr="00D45C1C" w:rsidRDefault="00FB2239">
      <w:pPr>
        <w:numPr>
          <w:ilvl w:val="2"/>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the capture of photographs or video footage for display on the Institute’s website and social media at the Institutes discretion.</w:t>
      </w:r>
    </w:p>
    <w:p w14:paraId="1DEB10FA" w14:textId="77777777" w:rsidR="00FA23F9" w:rsidRPr="00BB560B" w:rsidRDefault="00FB2239">
      <w:pPr>
        <w:keepNext/>
        <w:numPr>
          <w:ilvl w:val="0"/>
          <w:numId w:val="2"/>
        </w:numPr>
        <w:pBdr>
          <w:top w:val="nil"/>
          <w:left w:val="nil"/>
          <w:bottom w:val="nil"/>
          <w:right w:val="nil"/>
          <w:between w:val="nil"/>
        </w:pBdr>
        <w:spacing w:before="300" w:after="180"/>
        <w:rPr>
          <w:rFonts w:eastAsia="Century Gothic"/>
          <w:b/>
          <w:color w:val="3C69FF"/>
          <w:sz w:val="26"/>
          <w:szCs w:val="26"/>
        </w:rPr>
      </w:pPr>
      <w:r w:rsidRPr="00BB560B">
        <w:rPr>
          <w:rFonts w:eastAsia="Century Gothic"/>
          <w:b/>
          <w:color w:val="3C69FF"/>
          <w:sz w:val="26"/>
          <w:szCs w:val="26"/>
        </w:rPr>
        <w:t>Promotion of the Actuarial Hackathon</w:t>
      </w:r>
    </w:p>
    <w:p w14:paraId="5DF70AEE" w14:textId="77777777" w:rsidR="00FA23F9" w:rsidRPr="00D45C1C" w:rsidRDefault="00FB2239">
      <w:pPr>
        <w:numPr>
          <w:ilvl w:val="2"/>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Participants acknowledge and agree that, if they would like to promote their participation in the Actuarial Hackathon, they must first obtain written consent from the Institute (such consent not to be unreasonably withheld).</w:t>
      </w:r>
    </w:p>
    <w:p w14:paraId="696B2A92" w14:textId="77777777" w:rsidR="00FA23F9" w:rsidRPr="00D45C1C" w:rsidRDefault="00FB2239">
      <w:pPr>
        <w:numPr>
          <w:ilvl w:val="2"/>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 xml:space="preserve">Participants acknowledge that the work is pro bono, carried out by volunteers and does </w:t>
      </w:r>
      <w:r w:rsidRPr="00D45C1C">
        <w:rPr>
          <w:rFonts w:eastAsia="Century Gothic"/>
          <w:color w:val="000000"/>
          <w:u w:val="single"/>
        </w:rPr>
        <w:t xml:space="preserve">not </w:t>
      </w:r>
      <w:r w:rsidRPr="00D45C1C">
        <w:rPr>
          <w:rFonts w:eastAsia="Century Gothic"/>
          <w:color w:val="000000"/>
        </w:rPr>
        <w:t>represent an official position of the Institute. Accordingly, it is a condition of entry into the Actuarial Hackathon that all parties agree that no press materials may be released for publication unless those materials have been signed-off by the Head of Communications and Marketing at the Institute.</w:t>
      </w:r>
    </w:p>
    <w:p w14:paraId="4F4D0246" w14:textId="77777777" w:rsidR="00FA23F9" w:rsidRPr="00BB560B" w:rsidRDefault="00FB2239">
      <w:pPr>
        <w:keepNext/>
        <w:numPr>
          <w:ilvl w:val="0"/>
          <w:numId w:val="2"/>
        </w:numPr>
        <w:pBdr>
          <w:top w:val="nil"/>
          <w:left w:val="nil"/>
          <w:bottom w:val="nil"/>
          <w:right w:val="nil"/>
          <w:between w:val="nil"/>
        </w:pBdr>
        <w:spacing w:before="300" w:after="180"/>
        <w:rPr>
          <w:rFonts w:eastAsia="Century Gothic"/>
          <w:b/>
          <w:color w:val="3C69FF"/>
          <w:sz w:val="26"/>
          <w:szCs w:val="26"/>
        </w:rPr>
      </w:pPr>
      <w:r w:rsidRPr="00BB560B">
        <w:rPr>
          <w:rFonts w:eastAsia="Century Gothic"/>
          <w:b/>
          <w:color w:val="3C69FF"/>
          <w:sz w:val="26"/>
          <w:szCs w:val="26"/>
        </w:rPr>
        <w:t>Use of Participant Organisation Name and Logo</w:t>
      </w:r>
    </w:p>
    <w:p w14:paraId="585D0C19" w14:textId="77777777" w:rsidR="00FA23F9" w:rsidRPr="00D45C1C" w:rsidRDefault="00FB2239">
      <w:pPr>
        <w:keepNext/>
        <w:numPr>
          <w:ilvl w:val="2"/>
          <w:numId w:val="2"/>
        </w:numPr>
        <w:pBdr>
          <w:top w:val="nil"/>
          <w:left w:val="nil"/>
          <w:bottom w:val="nil"/>
          <w:right w:val="nil"/>
          <w:between w:val="nil"/>
        </w:pBdr>
        <w:spacing w:before="300" w:after="180"/>
        <w:rPr>
          <w:rFonts w:eastAsia="Century Gothic"/>
          <w:color w:val="000000"/>
        </w:rPr>
      </w:pPr>
      <w:r w:rsidRPr="00D45C1C">
        <w:rPr>
          <w:rFonts w:eastAsia="Century Gothic"/>
        </w:rPr>
        <w:t>Participants shall grant permission to the Institute to use their organisation’s name and logo in the Actuarial Hackathon’s marketing materials (e.g. the website and the slide pack) for the participating year and all future years.</w:t>
      </w:r>
    </w:p>
    <w:p w14:paraId="04A5FEAA" w14:textId="77777777" w:rsidR="00FA23F9" w:rsidRPr="00D45C1C" w:rsidRDefault="00FB2239">
      <w:pPr>
        <w:keepNext/>
        <w:numPr>
          <w:ilvl w:val="2"/>
          <w:numId w:val="2"/>
        </w:numPr>
        <w:pBdr>
          <w:top w:val="nil"/>
          <w:left w:val="nil"/>
          <w:bottom w:val="nil"/>
          <w:right w:val="nil"/>
          <w:between w:val="nil"/>
        </w:pBdr>
        <w:spacing w:before="300" w:after="180"/>
        <w:rPr>
          <w:rFonts w:eastAsia="Century Gothic"/>
        </w:rPr>
      </w:pPr>
      <w:r w:rsidRPr="00D45C1C">
        <w:rPr>
          <w:rFonts w:eastAsia="Century Gothic"/>
        </w:rPr>
        <w:t>Participants may contact the Committee at any time to retract this permission or specify a date that their organisation’s name and logo may be used until.</w:t>
      </w:r>
    </w:p>
    <w:p w14:paraId="6F278297" w14:textId="77777777" w:rsidR="00FA23F9" w:rsidRPr="00BB560B" w:rsidRDefault="00FB2239">
      <w:pPr>
        <w:keepNext/>
        <w:numPr>
          <w:ilvl w:val="0"/>
          <w:numId w:val="2"/>
        </w:numPr>
        <w:pBdr>
          <w:top w:val="nil"/>
          <w:left w:val="nil"/>
          <w:bottom w:val="nil"/>
          <w:right w:val="nil"/>
          <w:between w:val="nil"/>
        </w:pBdr>
        <w:spacing w:before="300" w:after="180"/>
        <w:rPr>
          <w:rFonts w:eastAsia="Century Gothic"/>
          <w:b/>
          <w:color w:val="3C69FF"/>
          <w:sz w:val="26"/>
          <w:szCs w:val="26"/>
        </w:rPr>
      </w:pPr>
      <w:r w:rsidRPr="00BB560B">
        <w:rPr>
          <w:rFonts w:eastAsia="Century Gothic"/>
          <w:b/>
          <w:color w:val="3C69FF"/>
          <w:sz w:val="26"/>
          <w:szCs w:val="26"/>
        </w:rPr>
        <w:t>Definitions</w:t>
      </w:r>
    </w:p>
    <w:p w14:paraId="59C9DBF5" w14:textId="77777777" w:rsidR="00FA23F9" w:rsidRPr="00D45C1C" w:rsidRDefault="00FB2239">
      <w:pPr>
        <w:numPr>
          <w:ilvl w:val="2"/>
          <w:numId w:val="2"/>
        </w:numPr>
        <w:pBdr>
          <w:top w:val="nil"/>
          <w:left w:val="nil"/>
          <w:bottom w:val="nil"/>
          <w:right w:val="nil"/>
          <w:between w:val="nil"/>
        </w:pBdr>
        <w:spacing w:before="0" w:after="180"/>
        <w:rPr>
          <w:rFonts w:eastAsia="Century Gothic"/>
          <w:color w:val="000000"/>
        </w:rPr>
      </w:pPr>
      <w:r w:rsidRPr="00D45C1C">
        <w:rPr>
          <w:rFonts w:eastAsia="Century Gothic"/>
          <w:b/>
          <w:color w:val="000000"/>
        </w:rPr>
        <w:t>Confidential Information</w:t>
      </w:r>
      <w:r w:rsidRPr="00D45C1C">
        <w:rPr>
          <w:rFonts w:eastAsia="Century Gothic"/>
          <w:color w:val="000000"/>
        </w:rPr>
        <w:t xml:space="preserve"> means the Input Data and any information in any form which:</w:t>
      </w:r>
    </w:p>
    <w:p w14:paraId="30081EA5" w14:textId="77777777" w:rsidR="00FA23F9" w:rsidRPr="00D45C1C" w:rsidRDefault="00FB2239">
      <w:pPr>
        <w:numPr>
          <w:ilvl w:val="3"/>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is, by its nature, confidential or non-public;</w:t>
      </w:r>
    </w:p>
    <w:p w14:paraId="428C7536" w14:textId="77777777" w:rsidR="00FA23F9" w:rsidRPr="00D45C1C" w:rsidRDefault="00FB2239">
      <w:pPr>
        <w:numPr>
          <w:ilvl w:val="3"/>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is marked or designated or confirmed by a party as confidential or proprietary at the time of its disclosure; or</w:t>
      </w:r>
    </w:p>
    <w:p w14:paraId="21796738" w14:textId="77777777" w:rsidR="00FA23F9" w:rsidRPr="00D45C1C" w:rsidRDefault="00FB2239">
      <w:pPr>
        <w:numPr>
          <w:ilvl w:val="3"/>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a Participant knows or ought to know is confidential,</w:t>
      </w:r>
    </w:p>
    <w:p w14:paraId="49799793" w14:textId="77777777" w:rsidR="00FA23F9" w:rsidRPr="00D45C1C" w:rsidRDefault="00FB2239">
      <w:pPr>
        <w:pBdr>
          <w:top w:val="nil"/>
          <w:left w:val="nil"/>
          <w:bottom w:val="nil"/>
          <w:right w:val="nil"/>
          <w:between w:val="nil"/>
        </w:pBdr>
        <w:spacing w:before="0" w:after="180"/>
        <w:ind w:left="1134" w:hanging="567"/>
        <w:rPr>
          <w:rFonts w:eastAsia="Century Gothic"/>
          <w:color w:val="000000"/>
        </w:rPr>
      </w:pPr>
      <w:r w:rsidRPr="00D45C1C">
        <w:rPr>
          <w:rFonts w:eastAsia="Century Gothic"/>
          <w:color w:val="000000"/>
        </w:rPr>
        <w:t>but excludes information that is:</w:t>
      </w:r>
    </w:p>
    <w:p w14:paraId="58B8C023" w14:textId="77777777" w:rsidR="00FA23F9" w:rsidRPr="00D45C1C" w:rsidRDefault="00FB2239">
      <w:pPr>
        <w:numPr>
          <w:ilvl w:val="3"/>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in or enters the public domain through no fault of a Participant;</w:t>
      </w:r>
    </w:p>
    <w:p w14:paraId="42AFE178" w14:textId="77777777" w:rsidR="00FA23F9" w:rsidRPr="00D45C1C" w:rsidRDefault="00FB2239">
      <w:pPr>
        <w:numPr>
          <w:ilvl w:val="3"/>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was made available to a Participant by a person (other than the person to which the Confidential Information relates) who, as far as the recipient Participant knows, has or then had the unrestricted legal right to do so; or</w:t>
      </w:r>
    </w:p>
    <w:p w14:paraId="7069A1DE" w14:textId="77777777" w:rsidR="00FA23F9" w:rsidRPr="00D45C1C" w:rsidRDefault="00FB2239">
      <w:pPr>
        <w:numPr>
          <w:ilvl w:val="3"/>
          <w:numId w:val="2"/>
        </w:numPr>
        <w:pBdr>
          <w:top w:val="nil"/>
          <w:left w:val="nil"/>
          <w:bottom w:val="nil"/>
          <w:right w:val="nil"/>
          <w:between w:val="nil"/>
        </w:pBdr>
        <w:spacing w:before="0" w:after="180"/>
        <w:rPr>
          <w:rFonts w:eastAsia="Century Gothic"/>
          <w:color w:val="000000"/>
        </w:rPr>
      </w:pPr>
      <w:r w:rsidRPr="00D45C1C">
        <w:rPr>
          <w:rFonts w:eastAsia="Century Gothic"/>
          <w:color w:val="000000"/>
        </w:rPr>
        <w:t>was developed by a person without that person relying on, referring to, or incorporating any of another Participant’s or the Institute’s Confidential Information;</w:t>
      </w:r>
    </w:p>
    <w:p w14:paraId="1F73A35B" w14:textId="77777777" w:rsidR="00FA23F9" w:rsidRPr="00D45C1C" w:rsidRDefault="00FB2239">
      <w:pPr>
        <w:numPr>
          <w:ilvl w:val="2"/>
          <w:numId w:val="2"/>
        </w:numPr>
        <w:pBdr>
          <w:top w:val="nil"/>
          <w:left w:val="nil"/>
          <w:bottom w:val="nil"/>
          <w:right w:val="nil"/>
          <w:between w:val="nil"/>
        </w:pBdr>
        <w:spacing w:before="0" w:after="180"/>
        <w:rPr>
          <w:rFonts w:eastAsia="Century Gothic"/>
          <w:color w:val="000000"/>
        </w:rPr>
      </w:pPr>
      <w:r w:rsidRPr="00D45C1C">
        <w:rPr>
          <w:rFonts w:eastAsia="Century Gothic"/>
          <w:b/>
          <w:color w:val="000000"/>
        </w:rPr>
        <w:t>Deliverables</w:t>
      </w:r>
      <w:r w:rsidRPr="00D45C1C">
        <w:rPr>
          <w:rFonts w:eastAsia="Century Gothic"/>
          <w:color w:val="000000"/>
        </w:rPr>
        <w:t xml:space="preserve"> means any analysis, insights or material, whether tangible or intangible, in any form, including documents, records, software, data and any other information, created by a Participant in relation to the Actuarial Hackathon;</w:t>
      </w:r>
    </w:p>
    <w:p w14:paraId="324EAE81" w14:textId="77777777" w:rsidR="00FA23F9" w:rsidRPr="00D45C1C" w:rsidRDefault="00FB2239">
      <w:pPr>
        <w:numPr>
          <w:ilvl w:val="2"/>
          <w:numId w:val="2"/>
        </w:numPr>
        <w:pBdr>
          <w:top w:val="nil"/>
          <w:left w:val="nil"/>
          <w:bottom w:val="nil"/>
          <w:right w:val="nil"/>
          <w:between w:val="nil"/>
        </w:pBdr>
        <w:spacing w:before="0" w:after="180"/>
        <w:rPr>
          <w:rFonts w:eastAsia="Century Gothic"/>
          <w:color w:val="000000"/>
        </w:rPr>
      </w:pPr>
      <w:r w:rsidRPr="00D45C1C">
        <w:rPr>
          <w:rFonts w:eastAsia="Century Gothic"/>
          <w:b/>
          <w:color w:val="000000"/>
        </w:rPr>
        <w:t>Input Data</w:t>
      </w:r>
      <w:r w:rsidRPr="00D45C1C">
        <w:rPr>
          <w:rFonts w:eastAsia="Century Gothic"/>
          <w:color w:val="000000"/>
        </w:rPr>
        <w:t xml:space="preserve"> means the data owned and/or supplied by not-for-profit organisations and community groups to the Institute or the volunteer actuaries in relation to the business problems;</w:t>
      </w:r>
    </w:p>
    <w:p w14:paraId="0F89598B" w14:textId="1DBD8644" w:rsidR="00FA23F9" w:rsidRPr="00D45C1C" w:rsidRDefault="00FB2239">
      <w:pPr>
        <w:numPr>
          <w:ilvl w:val="2"/>
          <w:numId w:val="2"/>
        </w:numPr>
        <w:pBdr>
          <w:top w:val="nil"/>
          <w:left w:val="nil"/>
          <w:bottom w:val="nil"/>
          <w:right w:val="nil"/>
          <w:between w:val="nil"/>
        </w:pBdr>
        <w:spacing w:before="0" w:after="180"/>
        <w:rPr>
          <w:rFonts w:eastAsia="Century Gothic"/>
          <w:color w:val="000000"/>
        </w:rPr>
      </w:pPr>
      <w:r w:rsidRPr="00D45C1C">
        <w:rPr>
          <w:rFonts w:eastAsia="Century Gothic"/>
          <w:b/>
          <w:color w:val="000000"/>
        </w:rPr>
        <w:t xml:space="preserve">Intellectual Property Rights </w:t>
      </w:r>
      <w:r w:rsidRPr="00D45C1C">
        <w:rPr>
          <w:rFonts w:eastAsia="Century Gothic"/>
          <w:color w:val="000000"/>
        </w:rPr>
        <w:t xml:space="preserve">means any intellectual and industrial property rights throughout the world including in respect of copyright (including future copyright and rights in the nature of or analogous to copyright), moral rights, inventions (including patents), </w:t>
      </w:r>
      <w:r w:rsidR="00BB560B" w:rsidRPr="00D45C1C">
        <w:rPr>
          <w:rFonts w:eastAsia="Century Gothic"/>
          <w:color w:val="000000"/>
        </w:rPr>
        <w:t>trademarks</w:t>
      </w:r>
      <w:r w:rsidRPr="00D45C1C">
        <w:rPr>
          <w:rFonts w:eastAsia="Century Gothic"/>
          <w:color w:val="000000"/>
        </w:rPr>
        <w:t xml:space="preserve">, service marks, designs, and circuit layouts, whether or not now existing and whether or not registered or registrable, and includes any right to apply for the registration of such rights and includes all renewals and extensions and any other intellectual property rights as defined in Article 2 of the World Intellectual Property Organisation Convention of 1967; </w:t>
      </w:r>
    </w:p>
    <w:p w14:paraId="233CD256" w14:textId="77777777" w:rsidR="00FA23F9" w:rsidRPr="00D45C1C" w:rsidRDefault="00FB2239">
      <w:pPr>
        <w:numPr>
          <w:ilvl w:val="2"/>
          <w:numId w:val="2"/>
        </w:numPr>
        <w:pBdr>
          <w:top w:val="nil"/>
          <w:left w:val="nil"/>
          <w:bottom w:val="nil"/>
          <w:right w:val="nil"/>
          <w:between w:val="nil"/>
        </w:pBdr>
        <w:spacing w:before="0" w:after="180"/>
        <w:rPr>
          <w:rFonts w:eastAsia="Century Gothic"/>
          <w:color w:val="000000"/>
        </w:rPr>
      </w:pPr>
      <w:r w:rsidRPr="00D45C1C">
        <w:rPr>
          <w:rFonts w:eastAsia="Century Gothic"/>
          <w:b/>
          <w:color w:val="000000"/>
        </w:rPr>
        <w:t xml:space="preserve">New Intellectual Property </w:t>
      </w:r>
      <w:r w:rsidRPr="00D45C1C">
        <w:rPr>
          <w:rFonts w:eastAsia="Century Gothic"/>
          <w:color w:val="000000"/>
        </w:rPr>
        <w:t>means all Intellectual Property Rights arising in relation to any Deliverables, article, good, work or thing developed, created or produced by or contributed to by the participant, whether alone or with others, when participating in the Actuarial Hackathon; and</w:t>
      </w:r>
    </w:p>
    <w:p w14:paraId="7F7A24E6" w14:textId="18AD93C4" w:rsidR="00FA23F9" w:rsidRPr="00BB560B" w:rsidRDefault="00FB2239" w:rsidP="00BB560B">
      <w:pPr>
        <w:numPr>
          <w:ilvl w:val="2"/>
          <w:numId w:val="2"/>
        </w:numPr>
        <w:pBdr>
          <w:top w:val="nil"/>
          <w:left w:val="nil"/>
          <w:bottom w:val="nil"/>
          <w:right w:val="nil"/>
          <w:between w:val="nil"/>
        </w:pBdr>
        <w:spacing w:before="0" w:after="180"/>
        <w:rPr>
          <w:rFonts w:eastAsia="Century Gothic"/>
          <w:color w:val="000000"/>
        </w:rPr>
      </w:pPr>
      <w:r w:rsidRPr="00D45C1C">
        <w:rPr>
          <w:rFonts w:eastAsia="Century Gothic"/>
          <w:b/>
          <w:color w:val="000000"/>
        </w:rPr>
        <w:t xml:space="preserve">Participants </w:t>
      </w:r>
      <w:r w:rsidRPr="00D45C1C">
        <w:rPr>
          <w:rFonts w:eastAsia="Century Gothic"/>
          <w:color w:val="000000"/>
        </w:rPr>
        <w:t>means volunteer actuaries, not-for-profit organisations and community groups participating in the Actuarial Hackathon. </w:t>
      </w:r>
    </w:p>
    <w:sectPr w:rsidR="00FA23F9" w:rsidRPr="00BB560B">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E4F0F"/>
    <w:multiLevelType w:val="hybridMultilevel"/>
    <w:tmpl w:val="8A7641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F100A1B"/>
    <w:multiLevelType w:val="multilevel"/>
    <w:tmpl w:val="AEBA93A6"/>
    <w:lvl w:ilvl="0">
      <w:start w:val="1"/>
      <w:numFmt w:val="decimal"/>
      <w:lvlText w:val="%1."/>
      <w:lvlJc w:val="left"/>
      <w:pPr>
        <w:ind w:left="360" w:hanging="360"/>
      </w:pPr>
    </w:lvl>
    <w:lvl w:ilvl="1">
      <w:start w:val="6"/>
      <w:numFmt w:val="decimal"/>
      <w:lvlText w:val="%1.%2"/>
      <w:lvlJc w:val="left"/>
      <w:pPr>
        <w:ind w:left="390" w:hanging="39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24D65FD6"/>
    <w:multiLevelType w:val="multilevel"/>
    <w:tmpl w:val="A5E83BA4"/>
    <w:lvl w:ilvl="0">
      <w:start w:val="1"/>
      <w:numFmt w:val="decimal"/>
      <w:lvlText w:val="%1."/>
      <w:lvlJc w:val="left"/>
      <w:pPr>
        <w:ind w:left="567" w:hanging="567"/>
      </w:pPr>
      <w:rPr>
        <w:rFonts w:ascii="Calibri" w:eastAsia="Calibri" w:hAnsi="Calibri" w:cs="Calibri"/>
        <w:sz w:val="22"/>
        <w:szCs w:val="22"/>
        <w:vertAlign w:val="baseline"/>
      </w:rPr>
    </w:lvl>
    <w:lvl w:ilvl="1">
      <w:start w:val="1"/>
      <w:numFmt w:val="lowerLetter"/>
      <w:lvlText w:val="(%2)"/>
      <w:lvlJc w:val="left"/>
      <w:pPr>
        <w:ind w:left="1134" w:hanging="567"/>
      </w:pPr>
      <w:rPr>
        <w:rFonts w:ascii="Calibri" w:eastAsia="Calibri" w:hAnsi="Calibri" w:cs="Calibri"/>
        <w:b w:val="0"/>
        <w:i w:val="0"/>
        <w:smallCaps w:val="0"/>
        <w:strike w:val="0"/>
        <w:color w:val="000000"/>
        <w:sz w:val="22"/>
        <w:szCs w:val="22"/>
        <w:vertAlign w:val="baseline"/>
      </w:rPr>
    </w:lvl>
    <w:lvl w:ilvl="2">
      <w:start w:val="1"/>
      <w:numFmt w:val="lowerRoman"/>
      <w:lvlText w:val="(%3)"/>
      <w:lvlJc w:val="left"/>
      <w:pPr>
        <w:ind w:left="1701" w:hanging="567"/>
      </w:pPr>
      <w:rPr>
        <w:rFonts w:ascii="Calibri" w:eastAsia="Calibri" w:hAnsi="Calibri" w:cs="Calibri"/>
        <w:b w:val="0"/>
        <w:i w:val="0"/>
        <w:smallCaps w:val="0"/>
        <w:strike w:val="0"/>
        <w:color w:val="000000"/>
        <w:sz w:val="22"/>
        <w:szCs w:val="22"/>
        <w:vertAlign w:val="baseline"/>
      </w:rPr>
    </w:lvl>
    <w:lvl w:ilvl="3">
      <w:start w:val="1"/>
      <w:numFmt w:val="upperLetter"/>
      <w:lvlText w:val="(%4)"/>
      <w:lvlJc w:val="left"/>
      <w:pPr>
        <w:ind w:left="2268" w:hanging="566"/>
      </w:pPr>
      <w:rPr>
        <w:rFonts w:ascii="Calibri" w:eastAsia="Calibri" w:hAnsi="Calibri" w:cs="Calibri"/>
        <w:smallCaps w:val="0"/>
        <w:strike w:val="0"/>
        <w:color w:val="000000"/>
        <w:sz w:val="22"/>
        <w:szCs w:val="22"/>
        <w:vertAlign w:val="baseline"/>
      </w:rPr>
    </w:lvl>
    <w:lvl w:ilvl="4">
      <w:start w:val="1"/>
      <w:numFmt w:val="decimal"/>
      <w:lvlText w:val=""/>
      <w:lvlJc w:val="left"/>
      <w:pPr>
        <w:ind w:left="1800" w:hanging="360"/>
      </w:pPr>
    </w:lvl>
    <w:lvl w:ilvl="5">
      <w:start w:val="1"/>
      <w:numFmt w:val="decimal"/>
      <w:lvlText w:val=""/>
      <w:lvlJc w:val="left"/>
      <w:pPr>
        <w:ind w:left="2160" w:hanging="360"/>
      </w:pPr>
    </w:lvl>
    <w:lvl w:ilvl="6">
      <w:start w:val="1"/>
      <w:numFmt w:val="decimal"/>
      <w:lvlText w:val=""/>
      <w:lvlJc w:val="left"/>
      <w:pPr>
        <w:ind w:left="2520" w:hanging="360"/>
      </w:pPr>
    </w:lvl>
    <w:lvl w:ilvl="7">
      <w:start w:val="1"/>
      <w:numFmt w:val="decimal"/>
      <w:lvlText w:val=""/>
      <w:lvlJc w:val="left"/>
      <w:pPr>
        <w:ind w:left="2880" w:hanging="360"/>
      </w:pPr>
    </w:lvl>
    <w:lvl w:ilvl="8">
      <w:start w:val="1"/>
      <w:numFmt w:val="decimal"/>
      <w:lvlText w:val=""/>
      <w:lvlJc w:val="left"/>
      <w:pPr>
        <w:ind w:left="3240" w:hanging="360"/>
      </w:pPr>
    </w:lvl>
  </w:abstractNum>
  <w:abstractNum w:abstractNumId="3" w15:restartNumberingAfterBreak="0">
    <w:nsid w:val="3D43746B"/>
    <w:multiLevelType w:val="multilevel"/>
    <w:tmpl w:val="E1563D28"/>
    <w:lvl w:ilvl="0">
      <w:start w:val="5"/>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282323A"/>
    <w:multiLevelType w:val="hybridMultilevel"/>
    <w:tmpl w:val="18524EC2"/>
    <w:lvl w:ilvl="0" w:tplc="9FE48D4C">
      <w:start w:val="4"/>
      <w:numFmt w:val="bullet"/>
      <w:lvlText w:val="-"/>
      <w:lvlJc w:val="left"/>
      <w:pPr>
        <w:ind w:left="720" w:hanging="360"/>
      </w:pPr>
      <w:rPr>
        <w:rFonts w:ascii="Arial" w:eastAsia="Century Gothic"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49F5CEB"/>
    <w:multiLevelType w:val="hybridMultilevel"/>
    <w:tmpl w:val="E512638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C070077"/>
    <w:multiLevelType w:val="hybridMultilevel"/>
    <w:tmpl w:val="06A2D6C8"/>
    <w:lvl w:ilvl="0" w:tplc="9FE48D4C">
      <w:start w:val="4"/>
      <w:numFmt w:val="bullet"/>
      <w:lvlText w:val="-"/>
      <w:lvlJc w:val="left"/>
      <w:pPr>
        <w:ind w:left="720" w:hanging="360"/>
      </w:pPr>
      <w:rPr>
        <w:rFonts w:ascii="Arial" w:eastAsia="Century Gothic"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FD2543B"/>
    <w:multiLevelType w:val="multilevel"/>
    <w:tmpl w:val="651A1262"/>
    <w:lvl w:ilvl="0">
      <w:start w:val="5"/>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6D24ADE"/>
    <w:multiLevelType w:val="multilevel"/>
    <w:tmpl w:val="0ECE5CEC"/>
    <w:lvl w:ilvl="0">
      <w:start w:val="1"/>
      <w:numFmt w:val="decimal"/>
      <w:lvlText w:val="%1."/>
      <w:lvlJc w:val="left"/>
      <w:pPr>
        <w:ind w:left="567" w:hanging="567"/>
      </w:pPr>
      <w:rPr>
        <w:rFonts w:ascii="Calibri" w:eastAsia="Calibri" w:hAnsi="Calibri" w:cs="Calibri"/>
        <w:b/>
        <w:i w:val="0"/>
        <w:smallCaps w:val="0"/>
        <w:strike w:val="0"/>
        <w:color w:val="3C69FF"/>
        <w:sz w:val="24"/>
        <w:szCs w:val="24"/>
        <w:vertAlign w:val="baseline"/>
      </w:rPr>
    </w:lvl>
    <w:lvl w:ilvl="1">
      <w:start w:val="1"/>
      <w:numFmt w:val="decimal"/>
      <w:lvlText w:val="%1.%2"/>
      <w:lvlJc w:val="left"/>
      <w:pPr>
        <w:ind w:left="567" w:hanging="567"/>
      </w:pPr>
      <w:rPr>
        <w:rFonts w:ascii="Calibri" w:eastAsia="Calibri" w:hAnsi="Calibri" w:cs="Calibri"/>
        <w:b/>
        <w:i w:val="0"/>
        <w:smallCaps w:val="0"/>
        <w:strike w:val="0"/>
        <w:color w:val="3C69FF"/>
        <w:sz w:val="22"/>
        <w:szCs w:val="22"/>
        <w:vertAlign w:val="baseline"/>
      </w:rPr>
    </w:lvl>
    <w:lvl w:ilvl="2">
      <w:start w:val="1"/>
      <w:numFmt w:val="lowerLetter"/>
      <w:lvlText w:val="(%3)"/>
      <w:lvlJc w:val="left"/>
      <w:pPr>
        <w:ind w:left="1134" w:hanging="567"/>
      </w:pPr>
      <w:rPr>
        <w:rFonts w:ascii="Calibri" w:eastAsia="Calibri" w:hAnsi="Calibri" w:cs="Calibri"/>
        <w:b w:val="0"/>
        <w:i w:val="0"/>
        <w:smallCaps w:val="0"/>
        <w:strike w:val="0"/>
        <w:color w:val="000000"/>
        <w:sz w:val="22"/>
        <w:szCs w:val="22"/>
        <w:vertAlign w:val="baseline"/>
      </w:rPr>
    </w:lvl>
    <w:lvl w:ilvl="3">
      <w:start w:val="1"/>
      <w:numFmt w:val="lowerRoman"/>
      <w:lvlText w:val="(%4)"/>
      <w:lvlJc w:val="left"/>
      <w:pPr>
        <w:ind w:left="1701" w:hanging="567"/>
      </w:pPr>
      <w:rPr>
        <w:rFonts w:ascii="Calibri" w:eastAsia="Calibri" w:hAnsi="Calibri" w:cs="Calibri"/>
        <w:b w:val="0"/>
        <w:i w:val="0"/>
        <w:smallCaps w:val="0"/>
        <w:strike w:val="0"/>
        <w:color w:val="000000"/>
        <w:sz w:val="22"/>
        <w:szCs w:val="22"/>
        <w:vertAlign w:val="baseline"/>
      </w:rPr>
    </w:lvl>
    <w:lvl w:ilvl="4">
      <w:start w:val="1"/>
      <w:numFmt w:val="upperLetter"/>
      <w:lvlText w:val="(%5)"/>
      <w:lvlJc w:val="left"/>
      <w:pPr>
        <w:ind w:left="2268" w:hanging="566"/>
      </w:pPr>
      <w:rPr>
        <w:rFonts w:ascii="Calibri" w:eastAsia="Calibri" w:hAnsi="Calibri" w:cs="Calibri"/>
        <w:b w:val="0"/>
        <w:i w:val="0"/>
        <w:smallCaps w:val="0"/>
        <w:strike w:val="0"/>
        <w:color w:val="000000"/>
        <w:sz w:val="22"/>
        <w:szCs w:val="22"/>
        <w:vertAlign w:val="baseline"/>
      </w:rPr>
    </w:lvl>
    <w:lvl w:ilvl="5">
      <w:start w:val="1"/>
      <w:numFmt w:val="decimal"/>
      <w:lvlText w:val=""/>
      <w:lvlJc w:val="left"/>
      <w:pPr>
        <w:ind w:left="2160" w:hanging="360"/>
      </w:pPr>
    </w:lvl>
    <w:lvl w:ilvl="6">
      <w:start w:val="1"/>
      <w:numFmt w:val="decimal"/>
      <w:lvlText w:val=""/>
      <w:lvlJc w:val="left"/>
      <w:pPr>
        <w:ind w:left="2520" w:hanging="360"/>
      </w:pPr>
    </w:lvl>
    <w:lvl w:ilvl="7">
      <w:start w:val="1"/>
      <w:numFmt w:val="decimal"/>
      <w:lvlText w:val=""/>
      <w:lvlJc w:val="left"/>
      <w:pPr>
        <w:ind w:left="2880" w:hanging="360"/>
      </w:pPr>
    </w:lvl>
    <w:lvl w:ilvl="8">
      <w:start w:val="1"/>
      <w:numFmt w:val="decimal"/>
      <w:lvlText w:val=""/>
      <w:lvlJc w:val="left"/>
      <w:pPr>
        <w:ind w:left="3240" w:hanging="360"/>
      </w:pPr>
    </w:lvl>
  </w:abstractNum>
  <w:abstractNum w:abstractNumId="9" w15:restartNumberingAfterBreak="0">
    <w:nsid w:val="79837519"/>
    <w:multiLevelType w:val="multilevel"/>
    <w:tmpl w:val="0F047E40"/>
    <w:lvl w:ilvl="0">
      <w:start w:val="5"/>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E6966DF"/>
    <w:multiLevelType w:val="multilevel"/>
    <w:tmpl w:val="92D215A0"/>
    <w:lvl w:ilvl="0">
      <w:start w:val="1"/>
      <w:numFmt w:val="decimal"/>
      <w:pStyle w:val="HRNumL1"/>
      <w:lvlText w:val="%1."/>
      <w:lvlJc w:val="left"/>
      <w:pPr>
        <w:tabs>
          <w:tab w:val="num" w:pos="720"/>
        </w:tabs>
        <w:ind w:left="720" w:hanging="720"/>
      </w:pPr>
    </w:lvl>
    <w:lvl w:ilvl="1">
      <w:start w:val="1"/>
      <w:numFmt w:val="decimal"/>
      <w:pStyle w:val="HRNumL2"/>
      <w:lvlText w:val="%2."/>
      <w:lvlJc w:val="left"/>
      <w:pPr>
        <w:tabs>
          <w:tab w:val="num" w:pos="1440"/>
        </w:tabs>
        <w:ind w:left="1440" w:hanging="720"/>
      </w:pPr>
    </w:lvl>
    <w:lvl w:ilvl="2">
      <w:start w:val="1"/>
      <w:numFmt w:val="decimal"/>
      <w:pStyle w:val="HRNumL3"/>
      <w:lvlText w:val="%3."/>
      <w:lvlJc w:val="left"/>
      <w:pPr>
        <w:tabs>
          <w:tab w:val="num" w:pos="2160"/>
        </w:tabs>
        <w:ind w:left="2160" w:hanging="720"/>
      </w:pPr>
    </w:lvl>
    <w:lvl w:ilvl="3">
      <w:start w:val="1"/>
      <w:numFmt w:val="decimal"/>
      <w:pStyle w:val="HRNumL4"/>
      <w:lvlText w:val="%4."/>
      <w:lvlJc w:val="left"/>
      <w:pPr>
        <w:tabs>
          <w:tab w:val="num" w:pos="2880"/>
        </w:tabs>
        <w:ind w:left="2880" w:hanging="720"/>
      </w:pPr>
    </w:lvl>
    <w:lvl w:ilvl="4">
      <w:start w:val="1"/>
      <w:numFmt w:val="decimal"/>
      <w:pStyle w:val="HRNumL5"/>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140683211">
    <w:abstractNumId w:val="2"/>
  </w:num>
  <w:num w:numId="2" w16cid:durableId="304555527">
    <w:abstractNumId w:val="8"/>
  </w:num>
  <w:num w:numId="3" w16cid:durableId="1008824654">
    <w:abstractNumId w:val="1"/>
  </w:num>
  <w:num w:numId="4" w16cid:durableId="1817798788">
    <w:abstractNumId w:val="10"/>
  </w:num>
  <w:num w:numId="5" w16cid:durableId="146207298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0349899">
    <w:abstractNumId w:val="9"/>
  </w:num>
  <w:num w:numId="7" w16cid:durableId="1231501429">
    <w:abstractNumId w:val="3"/>
  </w:num>
  <w:num w:numId="8" w16cid:durableId="1604260963">
    <w:abstractNumId w:val="7"/>
  </w:num>
  <w:num w:numId="9" w16cid:durableId="649140663">
    <w:abstractNumId w:val="5"/>
  </w:num>
  <w:num w:numId="10" w16cid:durableId="359938568">
    <w:abstractNumId w:val="0"/>
  </w:num>
  <w:num w:numId="11" w16cid:durableId="1333141460">
    <w:abstractNumId w:val="4"/>
  </w:num>
  <w:num w:numId="12" w16cid:durableId="9578808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3F9"/>
    <w:rsid w:val="0000737B"/>
    <w:rsid w:val="0010563B"/>
    <w:rsid w:val="0011103D"/>
    <w:rsid w:val="00113C3D"/>
    <w:rsid w:val="00197729"/>
    <w:rsid w:val="001A11B4"/>
    <w:rsid w:val="001B29E6"/>
    <w:rsid w:val="002B2E02"/>
    <w:rsid w:val="002F1D78"/>
    <w:rsid w:val="00304032"/>
    <w:rsid w:val="003524C0"/>
    <w:rsid w:val="003C5B63"/>
    <w:rsid w:val="004063F6"/>
    <w:rsid w:val="00434E55"/>
    <w:rsid w:val="004D2716"/>
    <w:rsid w:val="00500D67"/>
    <w:rsid w:val="00693596"/>
    <w:rsid w:val="006A0219"/>
    <w:rsid w:val="006E24BE"/>
    <w:rsid w:val="006F2891"/>
    <w:rsid w:val="008F6F5B"/>
    <w:rsid w:val="009E0FA3"/>
    <w:rsid w:val="009E41DB"/>
    <w:rsid w:val="00AC25C0"/>
    <w:rsid w:val="00B135EB"/>
    <w:rsid w:val="00B827A6"/>
    <w:rsid w:val="00BA6AAE"/>
    <w:rsid w:val="00BB560B"/>
    <w:rsid w:val="00C042BF"/>
    <w:rsid w:val="00C701E0"/>
    <w:rsid w:val="00C80E77"/>
    <w:rsid w:val="00CC4940"/>
    <w:rsid w:val="00D13B31"/>
    <w:rsid w:val="00D45C1C"/>
    <w:rsid w:val="00DB3FF7"/>
    <w:rsid w:val="00DB6319"/>
    <w:rsid w:val="00DE72F3"/>
    <w:rsid w:val="00E17782"/>
    <w:rsid w:val="00F56181"/>
    <w:rsid w:val="00F93ACD"/>
    <w:rsid w:val="00FA23F9"/>
    <w:rsid w:val="00FB2239"/>
    <w:rsid w:val="0D0FD6CC"/>
    <w:rsid w:val="0E9EDC55"/>
    <w:rsid w:val="1E33E294"/>
    <w:rsid w:val="39A2C8B9"/>
    <w:rsid w:val="7044AD8C"/>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84E88"/>
  <w15:docId w15:val="{11096BB1-B6FB-405F-B4AA-7A9366408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pPr>
        <w:spacing w:before="160" w:after="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outlineLvl w:val="0"/>
    </w:pPr>
    <w:rPr>
      <w:rFonts w:ascii="Calibri" w:eastAsia="Calibri" w:hAnsi="Calibri" w:cs="Calibri"/>
      <w:color w:val="266E8B"/>
      <w:sz w:val="32"/>
      <w:szCs w:val="32"/>
    </w:rPr>
  </w:style>
  <w:style w:type="paragraph" w:styleId="Heading2">
    <w:name w:val="heading 2"/>
    <w:basedOn w:val="Normal"/>
    <w:next w:val="Normal"/>
    <w:uiPriority w:val="9"/>
    <w:unhideWhenUsed/>
    <w:qFormat/>
    <w:pPr>
      <w:keepNext/>
      <w:keepLines/>
      <w:spacing w:before="240"/>
      <w:outlineLvl w:val="1"/>
    </w:pPr>
    <w:rPr>
      <w:rFonts w:ascii="Calibri" w:eastAsia="Calibri" w:hAnsi="Calibri" w:cs="Calibri"/>
      <w:color w:val="266E8B"/>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rFonts w:ascii="Calibri" w:eastAsia="Calibri" w:hAnsi="Calibri" w:cs="Calibri"/>
      <w:sz w:val="56"/>
      <w:szCs w:val="56"/>
    </w:rPr>
  </w:style>
  <w:style w:type="paragraph" w:styleId="Subtitle">
    <w:name w:val="Subtitle"/>
    <w:basedOn w:val="Normal"/>
    <w:next w:val="Normal"/>
    <w:uiPriority w:val="11"/>
    <w:qFormat/>
    <w:rPr>
      <w:color w:val="5A5A5A"/>
    </w:rPr>
  </w:style>
  <w:style w:type="table" w:customStyle="1" w:styleId="a">
    <w:basedOn w:val="TableNormal"/>
    <w:pPr>
      <w:spacing w:after="0" w:line="240" w:lineRule="auto"/>
    </w:pPr>
    <w:tblPr>
      <w:tblStyleRowBandSize w:val="1"/>
      <w:tblStyleColBandSize w:val="1"/>
    </w:tblPr>
    <w:tblStylePr w:type="firstRow">
      <w:rPr>
        <w:b/>
      </w:rPr>
      <w:tblPr/>
      <w:tcPr>
        <w:tcBorders>
          <w:bottom w:val="single" w:sz="12" w:space="0" w:color="ACD7CA"/>
        </w:tcBorders>
      </w:tcPr>
    </w:tblStylePr>
    <w:tblStylePr w:type="lastRow">
      <w:rPr>
        <w:b/>
      </w:rPr>
      <w:tblPr/>
      <w:tcPr>
        <w:tcBorders>
          <w:top w:val="single" w:sz="4" w:space="0" w:color="ACD7CA"/>
        </w:tcBorders>
      </w:tcPr>
    </w:tblStylePr>
    <w:tblStylePr w:type="firstCol">
      <w:rPr>
        <w:b/>
      </w:rPr>
    </w:tblStylePr>
    <w:tblStylePr w:type="lastCol">
      <w:rPr>
        <w:b/>
      </w:rPr>
    </w:tblStylePr>
  </w:style>
  <w:style w:type="table" w:customStyle="1" w:styleId="a0">
    <w:basedOn w:val="TableNormal"/>
    <w:pPr>
      <w:spacing w:after="0" w:line="240" w:lineRule="auto"/>
    </w:pPr>
    <w:tblPr>
      <w:tblStyleRowBandSize w:val="1"/>
      <w:tblStyleColBandSize w:val="1"/>
    </w:tblPr>
    <w:tblStylePr w:type="firstRow">
      <w:rPr>
        <w:b/>
      </w:rPr>
      <w:tblPr/>
      <w:tcPr>
        <w:tcBorders>
          <w:bottom w:val="single" w:sz="12" w:space="0" w:color="ACD7CA"/>
        </w:tcBorders>
      </w:tcPr>
    </w:tblStylePr>
    <w:tblStylePr w:type="lastRow">
      <w:rPr>
        <w:b/>
      </w:rPr>
      <w:tblPr/>
      <w:tcPr>
        <w:tcBorders>
          <w:top w:val="single" w:sz="4" w:space="0" w:color="ACD7CA"/>
        </w:tcBorders>
      </w:tcPr>
    </w:tblStylePr>
    <w:tblStylePr w:type="firstCol">
      <w:rPr>
        <w:b/>
      </w:rPr>
    </w:tblStylePr>
    <w:tblStylePr w:type="lastCol">
      <w:rPr>
        <w:b/>
      </w:rPr>
    </w:tblStylePr>
  </w:style>
  <w:style w:type="paragraph" w:styleId="ListParagraph">
    <w:name w:val="List Paragraph"/>
    <w:basedOn w:val="Normal"/>
    <w:uiPriority w:val="34"/>
    <w:qFormat/>
    <w:rsid w:val="00F43FFA"/>
    <w:pPr>
      <w:ind w:left="720"/>
      <w:contextualSpacing/>
    </w:pPr>
  </w:style>
  <w:style w:type="table" w:customStyle="1" w:styleId="a1">
    <w:basedOn w:val="TableNormal"/>
    <w:pPr>
      <w:spacing w:after="0" w:line="240" w:lineRule="auto"/>
    </w:pPr>
    <w:tblPr>
      <w:tblStyleRowBandSize w:val="1"/>
      <w:tblStyleColBandSize w:val="1"/>
    </w:tblPr>
    <w:tblStylePr w:type="firstRow">
      <w:rPr>
        <w:b/>
      </w:rPr>
      <w:tblPr/>
      <w:tcPr>
        <w:tcBorders>
          <w:bottom w:val="single" w:sz="12" w:space="0" w:color="ACD7CA"/>
        </w:tcBorders>
      </w:tcPr>
    </w:tblStylePr>
    <w:tblStylePr w:type="lastRow">
      <w:rPr>
        <w:b/>
      </w:rPr>
      <w:tblPr/>
      <w:tcPr>
        <w:tcBorders>
          <w:top w:val="single" w:sz="4" w:space="0" w:color="ACD7CA"/>
        </w:tcBorders>
      </w:tcPr>
    </w:tblStylePr>
    <w:tblStylePr w:type="firstCol">
      <w:rPr>
        <w:b/>
      </w:rPr>
    </w:tblStylePr>
    <w:tblStylePr w:type="lastCol">
      <w:rPr>
        <w:b/>
      </w:rPr>
    </w:tblStylePr>
  </w:style>
  <w:style w:type="table" w:customStyle="1" w:styleId="a2">
    <w:basedOn w:val="TableNormal"/>
    <w:pPr>
      <w:spacing w:after="0" w:line="240" w:lineRule="auto"/>
    </w:pPr>
    <w:tblPr>
      <w:tblStyleRowBandSize w:val="1"/>
      <w:tblStyleColBandSize w:val="1"/>
    </w:tblPr>
    <w:tblStylePr w:type="firstRow">
      <w:rPr>
        <w:b/>
      </w:rPr>
      <w:tblPr/>
      <w:tcPr>
        <w:tcBorders>
          <w:bottom w:val="single" w:sz="12" w:space="0" w:color="ACD7CA"/>
        </w:tcBorders>
      </w:tcPr>
    </w:tblStylePr>
    <w:tblStylePr w:type="lastRow">
      <w:rPr>
        <w:b/>
      </w:rPr>
      <w:tblPr/>
      <w:tcPr>
        <w:tcBorders>
          <w:top w:val="single" w:sz="4" w:space="0" w:color="ACD7CA"/>
        </w:tcBorders>
      </w:tcPr>
    </w:tblStylePr>
    <w:tblStylePr w:type="firstCol">
      <w:rPr>
        <w:b/>
      </w:rPr>
    </w:tblStylePr>
    <w:tblStylePr w:type="lastCol">
      <w:rPr>
        <w:b/>
      </w:rPr>
    </w:tblStylePr>
  </w:style>
  <w:style w:type="paragraph" w:styleId="BalloonText">
    <w:name w:val="Balloon Text"/>
    <w:basedOn w:val="Normal"/>
    <w:link w:val="BalloonTextChar"/>
    <w:uiPriority w:val="99"/>
    <w:semiHidden/>
    <w:unhideWhenUsed/>
    <w:rsid w:val="0032591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5916"/>
    <w:rPr>
      <w:rFonts w:ascii="Segoe UI" w:hAnsi="Segoe UI" w:cs="Segoe UI"/>
      <w:sz w:val="18"/>
      <w:szCs w:val="18"/>
    </w:rPr>
  </w:style>
  <w:style w:type="paragraph" w:customStyle="1" w:styleId="HRIndText">
    <w:name w:val="HRIndText"/>
    <w:qFormat/>
    <w:rsid w:val="0061049B"/>
    <w:pPr>
      <w:spacing w:before="0" w:after="180" w:line="260" w:lineRule="atLeast"/>
      <w:ind w:left="567"/>
    </w:pPr>
    <w:rPr>
      <w:rFonts w:ascii="Calibri" w:eastAsiaTheme="majorEastAsia" w:hAnsi="Calibri" w:cs="Times New Roman"/>
      <w:sz w:val="22"/>
      <w:szCs w:val="24"/>
    </w:rPr>
  </w:style>
  <w:style w:type="numbering" w:customStyle="1" w:styleId="HRList">
    <w:name w:val="HRList"/>
    <w:uiPriority w:val="99"/>
    <w:rsid w:val="0061049B"/>
  </w:style>
  <w:style w:type="paragraph" w:customStyle="1" w:styleId="HRNumL1">
    <w:name w:val="HRNumL1"/>
    <w:next w:val="HRNumL2"/>
    <w:rsid w:val="0061049B"/>
    <w:pPr>
      <w:keepNext/>
      <w:numPr>
        <w:numId w:val="4"/>
      </w:numPr>
      <w:spacing w:before="300" w:after="180" w:line="260" w:lineRule="atLeast"/>
      <w:outlineLvl w:val="0"/>
    </w:pPr>
    <w:rPr>
      <w:rFonts w:ascii="Calibri" w:eastAsiaTheme="majorEastAsia" w:hAnsi="Calibri" w:cs="Times New Roman"/>
      <w:b/>
      <w:sz w:val="24"/>
      <w:szCs w:val="24"/>
    </w:rPr>
  </w:style>
  <w:style w:type="paragraph" w:customStyle="1" w:styleId="HRNumL2">
    <w:name w:val="HRNumL2"/>
    <w:next w:val="HRNumL3"/>
    <w:rsid w:val="0061049B"/>
    <w:pPr>
      <w:keepNext/>
      <w:numPr>
        <w:ilvl w:val="1"/>
        <w:numId w:val="4"/>
      </w:numPr>
      <w:spacing w:before="0" w:after="180" w:line="260" w:lineRule="atLeast"/>
      <w:outlineLvl w:val="1"/>
    </w:pPr>
    <w:rPr>
      <w:rFonts w:ascii="Calibri" w:eastAsiaTheme="majorEastAsia" w:hAnsi="Calibri" w:cs="Times New Roman"/>
      <w:b/>
      <w:sz w:val="22"/>
      <w:szCs w:val="24"/>
    </w:rPr>
  </w:style>
  <w:style w:type="paragraph" w:customStyle="1" w:styleId="HRNumL3">
    <w:name w:val="HRNumL3"/>
    <w:rsid w:val="0061049B"/>
    <w:pPr>
      <w:numPr>
        <w:ilvl w:val="2"/>
        <w:numId w:val="4"/>
      </w:numPr>
      <w:spacing w:before="0" w:after="180" w:line="260" w:lineRule="atLeast"/>
    </w:pPr>
    <w:rPr>
      <w:rFonts w:ascii="Calibri" w:eastAsiaTheme="majorEastAsia" w:hAnsi="Calibri" w:cs="Times New Roman"/>
      <w:sz w:val="22"/>
      <w:szCs w:val="24"/>
    </w:rPr>
  </w:style>
  <w:style w:type="paragraph" w:customStyle="1" w:styleId="HRNumL4">
    <w:name w:val="HRNumL4"/>
    <w:rsid w:val="0061049B"/>
    <w:pPr>
      <w:numPr>
        <w:ilvl w:val="3"/>
        <w:numId w:val="4"/>
      </w:numPr>
      <w:spacing w:before="0" w:after="180" w:line="260" w:lineRule="atLeast"/>
    </w:pPr>
    <w:rPr>
      <w:rFonts w:ascii="Calibri" w:eastAsiaTheme="majorEastAsia" w:hAnsi="Calibri" w:cs="Times New Roman"/>
      <w:sz w:val="22"/>
      <w:szCs w:val="24"/>
    </w:rPr>
  </w:style>
  <w:style w:type="paragraph" w:customStyle="1" w:styleId="HRNumL5">
    <w:name w:val="HRNumL5"/>
    <w:rsid w:val="0061049B"/>
    <w:pPr>
      <w:numPr>
        <w:ilvl w:val="4"/>
        <w:numId w:val="4"/>
      </w:numPr>
      <w:spacing w:before="0" w:after="180" w:line="260" w:lineRule="atLeast"/>
    </w:pPr>
    <w:rPr>
      <w:rFonts w:ascii="Calibri" w:eastAsiaTheme="majorEastAsia" w:hAnsi="Calibri" w:cs="Times New Roman"/>
      <w:sz w:val="22"/>
      <w:szCs w:val="24"/>
    </w:rPr>
  </w:style>
  <w:style w:type="paragraph" w:customStyle="1" w:styleId="HRHeading">
    <w:name w:val="HRHeading"/>
    <w:next w:val="Normal"/>
    <w:qFormat/>
    <w:rsid w:val="0061049B"/>
    <w:pPr>
      <w:keepNext/>
      <w:spacing w:before="300" w:after="240" w:line="260" w:lineRule="atLeast"/>
      <w:outlineLvl w:val="0"/>
    </w:pPr>
    <w:rPr>
      <w:rFonts w:ascii="Calibri" w:eastAsiaTheme="majorEastAsia" w:hAnsi="Calibri" w:cs="Times New Roman"/>
      <w:b/>
      <w:sz w:val="24"/>
      <w:szCs w:val="24"/>
    </w:rPr>
  </w:style>
  <w:style w:type="paragraph" w:customStyle="1" w:styleId="HRListL1">
    <w:name w:val="HRListL1"/>
    <w:qFormat/>
    <w:rsid w:val="0061049B"/>
    <w:pPr>
      <w:tabs>
        <w:tab w:val="num" w:pos="720"/>
      </w:tabs>
      <w:spacing w:before="0" w:after="180" w:line="260" w:lineRule="atLeast"/>
      <w:ind w:left="720" w:hanging="720"/>
    </w:pPr>
    <w:rPr>
      <w:rFonts w:ascii="Calibri" w:eastAsiaTheme="majorEastAsia" w:hAnsi="Calibri" w:cs="Times New Roman"/>
      <w:sz w:val="22"/>
      <w:szCs w:val="24"/>
    </w:rPr>
  </w:style>
  <w:style w:type="paragraph" w:customStyle="1" w:styleId="HRListL2">
    <w:name w:val="HRListL2"/>
    <w:qFormat/>
    <w:rsid w:val="0061049B"/>
    <w:pPr>
      <w:tabs>
        <w:tab w:val="num" w:pos="1440"/>
      </w:tabs>
      <w:spacing w:before="0" w:after="180" w:line="260" w:lineRule="atLeast"/>
      <w:ind w:left="1440" w:hanging="720"/>
    </w:pPr>
    <w:rPr>
      <w:rFonts w:ascii="Calibri" w:eastAsiaTheme="majorEastAsia" w:hAnsi="Calibri" w:cs="Times New Roman"/>
      <w:sz w:val="22"/>
      <w:szCs w:val="24"/>
    </w:rPr>
  </w:style>
  <w:style w:type="paragraph" w:customStyle="1" w:styleId="HRListL3">
    <w:name w:val="HRListL3"/>
    <w:qFormat/>
    <w:rsid w:val="0061049B"/>
    <w:pPr>
      <w:tabs>
        <w:tab w:val="num" w:pos="2160"/>
      </w:tabs>
      <w:spacing w:before="0" w:after="180" w:line="260" w:lineRule="atLeast"/>
      <w:ind w:left="2160" w:hanging="720"/>
    </w:pPr>
    <w:rPr>
      <w:rFonts w:ascii="Calibri" w:eastAsiaTheme="majorEastAsia" w:hAnsi="Calibri" w:cs="Times New Roman"/>
      <w:sz w:val="22"/>
      <w:szCs w:val="24"/>
    </w:rPr>
  </w:style>
  <w:style w:type="paragraph" w:customStyle="1" w:styleId="HRListL4">
    <w:name w:val="HRListL4"/>
    <w:qFormat/>
    <w:rsid w:val="0061049B"/>
    <w:pPr>
      <w:tabs>
        <w:tab w:val="num" w:pos="2880"/>
      </w:tabs>
      <w:spacing w:before="0" w:after="180" w:line="260" w:lineRule="atLeast"/>
      <w:ind w:left="2880" w:hanging="720"/>
    </w:pPr>
    <w:rPr>
      <w:rFonts w:ascii="Calibri" w:eastAsiaTheme="majorEastAsia" w:hAnsi="Calibri" w:cs="Times New Roman"/>
      <w:sz w:val="22"/>
      <w:szCs w:val="24"/>
    </w:rPr>
  </w:style>
  <w:style w:type="character" w:styleId="Hyperlink">
    <w:name w:val="Hyperlink"/>
    <w:basedOn w:val="DefaultParagraphFont"/>
    <w:uiPriority w:val="99"/>
    <w:unhideWhenUsed/>
    <w:rsid w:val="0061049B"/>
    <w:rPr>
      <w:color w:val="0000FF" w:themeColor="hyperlink"/>
      <w:u w:val="single"/>
    </w:rPr>
  </w:style>
  <w:style w:type="table" w:customStyle="1" w:styleId="a3">
    <w:basedOn w:val="TableNormal"/>
    <w:pPr>
      <w:spacing w:after="0" w:line="240" w:lineRule="auto"/>
    </w:pPr>
    <w:tblPr>
      <w:tblStyleRowBandSize w:val="1"/>
      <w:tblStyleColBandSize w:val="1"/>
    </w:tblPr>
    <w:tblStylePr w:type="firstRow">
      <w:rPr>
        <w:b/>
      </w:rPr>
      <w:tblPr/>
      <w:tcPr>
        <w:tcBorders>
          <w:bottom w:val="single" w:sz="12" w:space="0" w:color="ACD7CA"/>
        </w:tcBorders>
      </w:tcPr>
    </w:tblStylePr>
    <w:tblStylePr w:type="lastRow">
      <w:rPr>
        <w:b/>
      </w:rPr>
      <w:tblPr/>
      <w:tcPr>
        <w:tcBorders>
          <w:top w:val="single" w:sz="4" w:space="0" w:color="ACD7CA"/>
        </w:tcBorders>
      </w:tcPr>
    </w:tblStylePr>
    <w:tblStylePr w:type="firstCol">
      <w:rPr>
        <w:b/>
      </w:rPr>
    </w:tblStylePr>
    <w:tblStylePr w:type="lastCol">
      <w:rPr>
        <w:b/>
      </w:rPr>
    </w:tblStylePr>
  </w:style>
  <w:style w:type="table" w:customStyle="1" w:styleId="a4">
    <w:basedOn w:val="TableNormal"/>
    <w:pPr>
      <w:spacing w:after="0" w:line="240" w:lineRule="auto"/>
    </w:pPr>
    <w:tblPr>
      <w:tblStyleRowBandSize w:val="1"/>
      <w:tblStyleColBandSize w:val="1"/>
    </w:tblPr>
    <w:tblStylePr w:type="firstRow">
      <w:rPr>
        <w:b/>
      </w:rPr>
      <w:tblPr/>
      <w:tcPr>
        <w:tcBorders>
          <w:bottom w:val="single" w:sz="12" w:space="0" w:color="ACD7CA"/>
        </w:tcBorders>
      </w:tcPr>
    </w:tblStylePr>
    <w:tblStylePr w:type="lastRow">
      <w:rPr>
        <w:b/>
      </w:rPr>
      <w:tblPr/>
      <w:tcPr>
        <w:tcBorders>
          <w:top w:val="single" w:sz="4" w:space="0" w:color="ACD7CA"/>
        </w:tcBorders>
      </w:tcPr>
    </w:tblStylePr>
    <w:tblStylePr w:type="firstCol">
      <w:rPr>
        <w:b/>
      </w:rPr>
    </w:tblStylePr>
    <w:tblStylePr w:type="lastCol">
      <w:rPr>
        <w:b/>
      </w:rPr>
    </w:tblStylePr>
  </w:style>
  <w:style w:type="paragraph" w:styleId="Revision">
    <w:name w:val="Revision"/>
    <w:hidden/>
    <w:uiPriority w:val="99"/>
    <w:semiHidden/>
    <w:rsid w:val="00FB2239"/>
    <w:pPr>
      <w:spacing w:before="0" w:after="0" w:line="240" w:lineRule="auto"/>
    </w:pPr>
  </w:style>
  <w:style w:type="character" w:styleId="CommentReference">
    <w:name w:val="annotation reference"/>
    <w:basedOn w:val="DefaultParagraphFont"/>
    <w:uiPriority w:val="99"/>
    <w:semiHidden/>
    <w:unhideWhenUsed/>
    <w:rsid w:val="00B135EB"/>
    <w:rPr>
      <w:sz w:val="16"/>
      <w:szCs w:val="16"/>
    </w:rPr>
  </w:style>
  <w:style w:type="paragraph" w:styleId="CommentText">
    <w:name w:val="annotation text"/>
    <w:basedOn w:val="Normal"/>
    <w:link w:val="CommentTextChar"/>
    <w:uiPriority w:val="99"/>
    <w:unhideWhenUsed/>
    <w:rsid w:val="00B135EB"/>
    <w:pPr>
      <w:spacing w:line="240" w:lineRule="auto"/>
    </w:pPr>
  </w:style>
  <w:style w:type="character" w:customStyle="1" w:styleId="CommentTextChar">
    <w:name w:val="Comment Text Char"/>
    <w:basedOn w:val="DefaultParagraphFont"/>
    <w:link w:val="CommentText"/>
    <w:uiPriority w:val="99"/>
    <w:rsid w:val="00B135EB"/>
  </w:style>
  <w:style w:type="paragraph" w:styleId="CommentSubject">
    <w:name w:val="annotation subject"/>
    <w:basedOn w:val="CommentText"/>
    <w:next w:val="CommentText"/>
    <w:link w:val="CommentSubjectChar"/>
    <w:uiPriority w:val="99"/>
    <w:semiHidden/>
    <w:unhideWhenUsed/>
    <w:rsid w:val="00B135EB"/>
    <w:rPr>
      <w:b/>
      <w:bCs/>
    </w:rPr>
  </w:style>
  <w:style w:type="character" w:customStyle="1" w:styleId="CommentSubjectChar">
    <w:name w:val="Comment Subject Char"/>
    <w:basedOn w:val="CommentTextChar"/>
    <w:link w:val="CommentSubject"/>
    <w:uiPriority w:val="99"/>
    <w:semiHidden/>
    <w:rsid w:val="00B135EB"/>
    <w:rPr>
      <w:b/>
      <w:bCs/>
    </w:rPr>
  </w:style>
  <w:style w:type="character" w:styleId="UnresolvedMention">
    <w:name w:val="Unresolved Mention"/>
    <w:basedOn w:val="DefaultParagraphFont"/>
    <w:uiPriority w:val="99"/>
    <w:semiHidden/>
    <w:unhideWhenUsed/>
    <w:rsid w:val="00DB63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pc.gov.au/inquiries-and-research/philanthropy/"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nfplaw.org.au/"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actuaries.digital/privacy/"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hyperlink" Target="https://research.qut.edu.au/australian-centre-for-philanthropy-and-nonprofit-studies/resources/giving-statistics/" TargetMode="External"/><Relationship Id="rId5" Type="http://schemas.openxmlformats.org/officeDocument/2006/relationships/customXml" Target="../customXml/item5.xml"/><Relationship Id="rId15" Type="http://schemas.openxmlformats.org/officeDocument/2006/relationships/hyperlink" Target="https://www.actuaries.asn.au/professional-development-regulation/code-of-conduct" TargetMode="External"/><Relationship Id="rId10" Type="http://schemas.openxmlformats.org/officeDocument/2006/relationships/hyperlink" Target="mailto:Melanie.saunders@justiceconnect.org.au"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dss.gov.au/system/files/documents/2024-11/d24-1528640-not-profit-sector-development-blueprint-web-accessibl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MediaLengthInSeconds xmlns="3ecdb746-c662-4e45-83f8-de6f08928d03" xsi:nil="true"/>
    <lcf76f155ced4ddcb4097134ff3c332f xmlns="3ecdb746-c662-4e45-83f8-de6f08928d03">
      <Terms xmlns="http://schemas.microsoft.com/office/infopath/2007/PartnerControls"/>
    </lcf76f155ced4ddcb4097134ff3c332f>
    <TaxCatchAll xmlns="ed15bcc2-ebd8-4432-8f72-b417d7a93d5d"/>
    <VersionDate xmlns="3ecdb746-c662-4e45-83f8-de6f08928d03" xsi:nil="true"/>
    <Doc_x0023_ xmlns="3ecdb746-c662-4e45-83f8-de6f08928d03" xsi:nil="true"/>
    <Shared_x0020_with xmlns="3ecdb746-c662-4e45-83f8-de6f08928d03" xsi:nil="true"/>
    <gl3r xmlns="3ecdb746-c662-4e45-83f8-de6f08928d03" xsi:nil="true"/>
    <_x0023_ xmlns="3ecdb746-c662-4e45-83f8-de6f08928d0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go:docsCustomData xmlns:go="http://customooxmlschemas.google.com/" roundtripDataSignature="AMtx7mhox8z/NK5j8pQWXHL+EqdCxsn7qA==">AMUW2mXYkQb7A8SgMiHCB0OqT6f90tztz5a7U+/5TIWuFcsQo9GTIj8b2VgWxl9KuwrEPcMwbkFhkVwJTkB35vM2DgcIlM5DWeDAlpqQGYOE7xuaVXjmZICRoriOg+E4d1piKL+h7GVh/3eOxKko52FAmr+34hV2B+gsP1TW2+4cbdRhWNtL7cQ=</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BF32279744D6BB4FAFE8FFEF2B51C964" ma:contentTypeVersion="23" ma:contentTypeDescription="Create a new document." ma:contentTypeScope="" ma:versionID="587607ea44de15a2825d3da59d3b1c56">
  <xsd:schema xmlns:xsd="http://www.w3.org/2001/XMLSchema" xmlns:xs="http://www.w3.org/2001/XMLSchema" xmlns:p="http://schemas.microsoft.com/office/2006/metadata/properties" xmlns:ns2="ed15bcc2-ebd8-4432-8f72-b417d7a93d5d" xmlns:ns3="3ecdb746-c662-4e45-83f8-de6f08928d03" targetNamespace="http://schemas.microsoft.com/office/2006/metadata/properties" ma:root="true" ma:fieldsID="d8d83097fddd23dfe03d42994861a825" ns2:_="" ns3:_="">
    <xsd:import namespace="ed15bcc2-ebd8-4432-8f72-b417d7a93d5d"/>
    <xsd:import namespace="3ecdb746-c662-4e45-83f8-de6f08928d0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Doc_x0023_" minOccurs="0"/>
                <xsd:element ref="ns3:Shared_x0020_with" minOccurs="0"/>
                <xsd:element ref="ns3:_x0023_" minOccurs="0"/>
                <xsd:element ref="ns3:gl3r" minOccurs="0"/>
                <xsd:element ref="ns3:MediaLengthInSeconds" minOccurs="0"/>
                <xsd:element ref="ns3:lcf76f155ced4ddcb4097134ff3c332f" minOccurs="0"/>
                <xsd:element ref="ns2:TaxCatchAll" minOccurs="0"/>
                <xsd:element ref="ns3:VersionDat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15bcc2-ebd8-4432-8f72-b417d7a93d5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ee2a510e-d68b-4e83-a087-634fc2f2cf60}" ma:internalName="TaxCatchAll" ma:showField="CatchAllData" ma:web="ed15bcc2-ebd8-4432-8f72-b417d7a93d5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ecdb746-c662-4e45-83f8-de6f08928d0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Doc_x0023_" ma:index="20" nillable="true" ma:displayName="Notes" ma:format="Dropdown" ma:internalName="Doc_x0023_">
      <xsd:simpleType>
        <xsd:restriction base="dms:Text">
          <xsd:maxLength value="255"/>
        </xsd:restriction>
      </xsd:simpleType>
    </xsd:element>
    <xsd:element name="Shared_x0020_with" ma:index="21" nillable="true" ma:displayName="Shared with" ma:internalName="Shared_x0020_with">
      <xsd:simpleType>
        <xsd:restriction base="dms:Text">
          <xsd:maxLength value="255"/>
        </xsd:restriction>
      </xsd:simpleType>
    </xsd:element>
    <xsd:element name="_x0023_" ma:index="22" nillable="true" ma:displayName="#" ma:format="Dropdown" ma:internalName="_x0023_" ma:percentage="FALSE">
      <xsd:simpleType>
        <xsd:restriction base="dms:Number"/>
      </xsd:simpleType>
    </xsd:element>
    <xsd:element name="gl3r" ma:index="23" nillable="true" ma:displayName="Shared On" ma:internalName="gl3r">
      <xsd:simpleType>
        <xsd:restriction base="dms:Text"/>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8d0cae85-dd39-499b-942f-c882d3fef49a" ma:termSetId="09814cd3-568e-fe90-9814-8d621ff8fb84" ma:anchorId="fba54fb3-c3e1-fe81-a776-ca4b69148c4d" ma:open="true" ma:isKeyword="false">
      <xsd:complexType>
        <xsd:sequence>
          <xsd:element ref="pc:Terms" minOccurs="0" maxOccurs="1"/>
        </xsd:sequence>
      </xsd:complexType>
    </xsd:element>
    <xsd:element name="VersionDate" ma:index="28" nillable="true" ma:displayName="Version Date" ma:description="28 October 2020" ma:format="Dropdown" ma:internalName="VersionDate">
      <xsd:simpleType>
        <xsd:restriction base="dms:Text">
          <xsd:maxLength value="255"/>
        </xsd:restriction>
      </xsd:simpleType>
    </xsd:element>
    <xsd:element name="MediaServiceObjectDetectorVersions" ma:index="2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2C5C6A-FF3D-4E94-BEFF-7A66FCE03030}">
  <ds:schemaRefs>
    <ds:schemaRef ds:uri="http://schemas.microsoft.com/office/2006/metadata/properties"/>
    <ds:schemaRef ds:uri="http://schemas.microsoft.com/office/infopath/2007/PartnerControls"/>
    <ds:schemaRef ds:uri="3ecdb746-c662-4e45-83f8-de6f08928d03"/>
    <ds:schemaRef ds:uri="ed15bcc2-ebd8-4432-8f72-b417d7a93d5d"/>
  </ds:schemaRefs>
</ds:datastoreItem>
</file>

<file path=customXml/itemProps2.xml><?xml version="1.0" encoding="utf-8"?>
<ds:datastoreItem xmlns:ds="http://schemas.openxmlformats.org/officeDocument/2006/customXml" ds:itemID="{59366177-335E-4A15-9493-03514F9BE1A9}">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64CF4228-FF3A-4D68-BE51-D0E4E6DB08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15bcc2-ebd8-4432-8f72-b417d7a93d5d"/>
    <ds:schemaRef ds:uri="3ecdb746-c662-4e45-83f8-de6f08928d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52F5697-A1A9-4734-82CD-F3BB471269A6}">
  <ds:schemaRefs>
    <ds:schemaRef ds:uri="http://schemas.microsoft.com/sharepoint/v3/contenttype/forms"/>
  </ds:schemaRefs>
</ds:datastoreItem>
</file>

<file path=docMetadata/LabelInfo.xml><?xml version="1.0" encoding="utf-8"?>
<clbl:labelList xmlns:clbl="http://schemas.microsoft.com/office/2020/mipLabelMetadata">
  <clbl:label id="{152db844-6082-448e-82d8-26e01007d467}" enabled="1" method="Standard" siteId="{5f8d0b25-e16a-4465-aa47-f44bb9beba20}"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3582</Words>
  <Characters>20419</Characters>
  <Application>Microsoft Office Word</Application>
  <DocSecurity>4</DocSecurity>
  <Lines>170</Lines>
  <Paragraphs>47</Paragraphs>
  <ScaleCrop>false</ScaleCrop>
  <Company/>
  <LinksUpToDate>false</LinksUpToDate>
  <CharactersWithSpaces>23954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Allen</dc:creator>
  <cp:keywords/>
  <cp:lastModifiedBy>Clare Ozich</cp:lastModifiedBy>
  <cp:revision>10</cp:revision>
  <dcterms:created xsi:type="dcterms:W3CDTF">2026-03-31T01:21:00Z</dcterms:created>
  <dcterms:modified xsi:type="dcterms:W3CDTF">2026-03-31T01:31:00Z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8a056e-981a-4d0b-83ea-062214276430_Enabled">
    <vt:lpwstr>true</vt:lpwstr>
  </property>
  <property fmtid="{D5CDD505-2E9C-101B-9397-08002B2CF9AE}" pid="3" name="MSIP_Label_7d8a056e-981a-4d0b-83ea-062214276430_SetDate">
    <vt:lpwstr>2020-11-09T04:02:53Z</vt:lpwstr>
  </property>
  <property fmtid="{D5CDD505-2E9C-101B-9397-08002B2CF9AE}" pid="4" name="MSIP_Label_7d8a056e-981a-4d0b-83ea-062214276430_Method">
    <vt:lpwstr>Standard</vt:lpwstr>
  </property>
  <property fmtid="{D5CDD505-2E9C-101B-9397-08002B2CF9AE}" pid="5" name="MSIP_Label_7d8a056e-981a-4d0b-83ea-062214276430_Name">
    <vt:lpwstr>General</vt:lpwstr>
  </property>
  <property fmtid="{D5CDD505-2E9C-101B-9397-08002B2CF9AE}" pid="6" name="MSIP_Label_7d8a056e-981a-4d0b-83ea-062214276430_SiteId">
    <vt:lpwstr>c64d49cd-d138-4cdb-a5d4-324a4040c74a</vt:lpwstr>
  </property>
  <property fmtid="{D5CDD505-2E9C-101B-9397-08002B2CF9AE}" pid="7" name="MSIP_Label_7d8a056e-981a-4d0b-83ea-062214276430_ActionId">
    <vt:lpwstr>9972f57b-5256-4315-b2ba-9457440292dc</vt:lpwstr>
  </property>
  <property fmtid="{D5CDD505-2E9C-101B-9397-08002B2CF9AE}" pid="8" name="MSIP_Label_7d8a056e-981a-4d0b-83ea-062214276430_ContentBits">
    <vt:lpwstr>0</vt:lpwstr>
  </property>
  <property fmtid="{D5CDD505-2E9C-101B-9397-08002B2CF9AE}" pid="9" name="ContentTypeId">
    <vt:lpwstr>0x010100BF32279744D6BB4FAFE8FFEF2B51C964</vt:lpwstr>
  </property>
  <property fmtid="{D5CDD505-2E9C-101B-9397-08002B2CF9AE}" pid="10" name="MSIP_Label_21ad8c97-d57d-4f8f-ae51-0d0789bbaa5c_Enabled">
    <vt:lpwstr>true</vt:lpwstr>
  </property>
  <property fmtid="{D5CDD505-2E9C-101B-9397-08002B2CF9AE}" pid="11" name="MSIP_Label_21ad8c97-d57d-4f8f-ae51-0d0789bbaa5c_SetDate">
    <vt:lpwstr>2024-01-17T06:14:37Z</vt:lpwstr>
  </property>
  <property fmtid="{D5CDD505-2E9C-101B-9397-08002B2CF9AE}" pid="12" name="MSIP_Label_21ad8c97-d57d-4f8f-ae51-0d0789bbaa5c_Method">
    <vt:lpwstr>Privileged</vt:lpwstr>
  </property>
  <property fmtid="{D5CDD505-2E9C-101B-9397-08002B2CF9AE}" pid="13" name="MSIP_Label_21ad8c97-d57d-4f8f-ae51-0d0789bbaa5c_Name">
    <vt:lpwstr>Public</vt:lpwstr>
  </property>
  <property fmtid="{D5CDD505-2E9C-101B-9397-08002B2CF9AE}" pid="14" name="MSIP_Label_21ad8c97-d57d-4f8f-ae51-0d0789bbaa5c_SiteId">
    <vt:lpwstr>43f93f8a-55a8-4263-bd84-e03688a2ab2d</vt:lpwstr>
  </property>
  <property fmtid="{D5CDD505-2E9C-101B-9397-08002B2CF9AE}" pid="15" name="MSIP_Label_21ad8c97-d57d-4f8f-ae51-0d0789bbaa5c_ActionId">
    <vt:lpwstr>ffc0a8cc-fe36-4605-8408-f4dd3533456e</vt:lpwstr>
  </property>
  <property fmtid="{D5CDD505-2E9C-101B-9397-08002B2CF9AE}" pid="16" name="MSIP_Label_21ad8c97-d57d-4f8f-ae51-0d0789bbaa5c_ContentBits">
    <vt:lpwstr>0</vt:lpwstr>
  </property>
  <property fmtid="{D5CDD505-2E9C-101B-9397-08002B2CF9AE}" pid="17" name="xd_ProgID">
    <vt:lpwstr/>
  </property>
  <property fmtid="{D5CDD505-2E9C-101B-9397-08002B2CF9AE}" pid="18" name="ComplianceAssetId">
    <vt:lpwstr/>
  </property>
  <property fmtid="{D5CDD505-2E9C-101B-9397-08002B2CF9AE}" pid="19" name="TemplateUrl">
    <vt:lpwstr/>
  </property>
  <property fmtid="{D5CDD505-2E9C-101B-9397-08002B2CF9AE}" pid="20" name="_ExtendedDescription">
    <vt:lpwstr/>
  </property>
  <property fmtid="{D5CDD505-2E9C-101B-9397-08002B2CF9AE}" pid="21" name="TriggerFlowInfo">
    <vt:lpwstr/>
  </property>
  <property fmtid="{D5CDD505-2E9C-101B-9397-08002B2CF9AE}" pid="22" name="xd_Signature">
    <vt:bool>false</vt:bool>
  </property>
  <property fmtid="{D5CDD505-2E9C-101B-9397-08002B2CF9AE}" pid="23" name="MediaServiceImageTags">
    <vt:lpwstr/>
  </property>
</Properties>
</file>