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BOP is a statistical statement that summarizes transactions between residents and non-residents during a specific period. Here are the six key standards outlined in BPM6 for BOP reporting. These six standards ensure that the BOP is comprehensive, accurate, and comparable across countries, providing valuable insights into a nation's economic transactions with the rest of the world.:</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b w:val="1"/>
          <w:rtl w:val="0"/>
        </w:rPr>
        <w:t xml:space="preserve">Current Account</w:t>
      </w:r>
      <w:r w:rsidDel="00000000" w:rsidR="00000000" w:rsidRPr="00000000">
        <w:rPr>
          <w:rtl w:val="0"/>
        </w:rPr>
        <w:t xml:space="preserve">:</w:t>
      </w:r>
    </w:p>
    <w:p w:rsidR="00000000" w:rsidDel="00000000" w:rsidP="00000000" w:rsidRDefault="00000000" w:rsidRPr="00000000" w14:paraId="00000003">
      <w:pPr>
        <w:numPr>
          <w:ilvl w:val="1"/>
          <w:numId w:val="5"/>
        </w:numPr>
        <w:spacing w:after="0" w:afterAutospacing="0" w:before="0" w:beforeAutospacing="0" w:lineRule="auto"/>
        <w:ind w:left="1440" w:hanging="360"/>
      </w:pPr>
      <w:r w:rsidDel="00000000" w:rsidR="00000000" w:rsidRPr="00000000">
        <w:rPr>
          <w:b w:val="1"/>
          <w:rtl w:val="0"/>
        </w:rPr>
        <w:t xml:space="preserve">Goods and Services</w:t>
      </w:r>
      <w:r w:rsidDel="00000000" w:rsidR="00000000" w:rsidRPr="00000000">
        <w:rPr>
          <w:rtl w:val="0"/>
        </w:rPr>
        <w:t xml:space="preserve">: Records transactions related to physical goods (exports and imports) and services (such as travel, transportation, and business services).</w:t>
      </w:r>
    </w:p>
    <w:p w:rsidR="00000000" w:rsidDel="00000000" w:rsidP="00000000" w:rsidRDefault="00000000" w:rsidRPr="00000000" w14:paraId="00000004">
      <w:pPr>
        <w:numPr>
          <w:ilvl w:val="1"/>
          <w:numId w:val="5"/>
        </w:numPr>
        <w:spacing w:after="0" w:afterAutospacing="0" w:before="0" w:beforeAutospacing="0" w:lineRule="auto"/>
        <w:ind w:left="1440" w:hanging="360"/>
      </w:pPr>
      <w:r w:rsidDel="00000000" w:rsidR="00000000" w:rsidRPr="00000000">
        <w:rPr>
          <w:b w:val="1"/>
          <w:rtl w:val="0"/>
        </w:rPr>
        <w:t xml:space="preserve">Primary Income</w:t>
      </w:r>
      <w:r w:rsidDel="00000000" w:rsidR="00000000" w:rsidRPr="00000000">
        <w:rPr>
          <w:rtl w:val="0"/>
        </w:rPr>
        <w:t xml:space="preserve">: Includes earnings from employment, investment income (interest, dividends), and other primary income flows.</w:t>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b w:val="1"/>
          <w:rtl w:val="0"/>
        </w:rPr>
        <w:t xml:space="preserve">Secondary Income</w:t>
      </w:r>
      <w:r w:rsidDel="00000000" w:rsidR="00000000" w:rsidRPr="00000000">
        <w:rPr>
          <w:rtl w:val="0"/>
        </w:rPr>
        <w:t xml:space="preserve">: Captures current transfers such as remittances, foreign aid, and other transfers where no economic value is received in return.</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Capital Account</w:t>
      </w:r>
      <w:r w:rsidDel="00000000" w:rsidR="00000000" w:rsidRPr="00000000">
        <w:rPr>
          <w:rtl w:val="0"/>
        </w:rPr>
        <w:t xml:space="preserve">:</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b w:val="1"/>
          <w:rtl w:val="0"/>
        </w:rPr>
        <w:t xml:space="preserve">Capital Transfers</w:t>
      </w:r>
      <w:r w:rsidDel="00000000" w:rsidR="00000000" w:rsidRPr="00000000">
        <w:rPr>
          <w:rtl w:val="0"/>
        </w:rPr>
        <w:t xml:space="preserve">: Includes transactions involving the transfer of ownership of fixed assets or the forgiveness of debt.</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b w:val="1"/>
          <w:rtl w:val="0"/>
        </w:rPr>
        <w:t xml:space="preserve">Acquisition/Disposal of Non-produced, Non-financial Assets</w:t>
      </w:r>
      <w:r w:rsidDel="00000000" w:rsidR="00000000" w:rsidRPr="00000000">
        <w:rPr>
          <w:rtl w:val="0"/>
        </w:rPr>
        <w:t xml:space="preserve">: Covers transactions in intangible assets like patents, copyrights, trademarks, and land associated with embassies or military bases.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Financial Account</w:t>
      </w:r>
      <w:r w:rsidDel="00000000" w:rsidR="00000000" w:rsidRPr="00000000">
        <w:rPr>
          <w:rtl w:val="0"/>
        </w:rPr>
        <w:t xml:space="preserve">:</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Direct Investment</w:t>
      </w:r>
      <w:r w:rsidDel="00000000" w:rsidR="00000000" w:rsidRPr="00000000">
        <w:rPr>
          <w:rtl w:val="0"/>
        </w:rPr>
        <w:t xml:space="preserve">: Records cross-border investments where an investor holds a significant degree of influence or control (usually 10% or more of the voting stock) over the enterprise.</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b w:val="1"/>
          <w:rtl w:val="0"/>
        </w:rPr>
        <w:t xml:space="preserve">Portfolio Investment</w:t>
      </w:r>
      <w:r w:rsidDel="00000000" w:rsidR="00000000" w:rsidRPr="00000000">
        <w:rPr>
          <w:rtl w:val="0"/>
        </w:rPr>
        <w:t xml:space="preserve">: Includes transactions in equity and debt securities that are not part of direct investment or reserve assets.</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Other Investment</w:t>
      </w:r>
      <w:r w:rsidDel="00000000" w:rsidR="00000000" w:rsidRPr="00000000">
        <w:rPr>
          <w:rtl w:val="0"/>
        </w:rPr>
        <w:t xml:space="preserve">: Captures residual categories such as trade credits, loans, currency and deposits, and other financial transactions not covered under direct or portfolio investment.</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Reserve Assets</w:t>
      </w:r>
      <w:r w:rsidDel="00000000" w:rsidR="00000000" w:rsidRPr="00000000">
        <w:rPr>
          <w:rtl w:val="0"/>
        </w:rPr>
        <w:t xml:space="preserve">: Represents the foreign financial assets available to and controlled by monetary authorities for meeting balance of payments financing needs.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Errors and Omissions</w:t>
      </w:r>
      <w:r w:rsidDel="00000000" w:rsidR="00000000" w:rsidRPr="00000000">
        <w:rPr>
          <w:rtl w:val="0"/>
        </w:rPr>
        <w:t xml:space="preserv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Balancing Item</w:t>
      </w:r>
      <w:r w:rsidDel="00000000" w:rsidR="00000000" w:rsidRPr="00000000">
        <w:rPr>
          <w:rtl w:val="0"/>
        </w:rPr>
        <w:t xml:space="preserve">: This is an adjustment for discrepancies that arise due to errors in data collection, timing differences, and misreporting. It ensures that the BOP accounts balance, as they are double-entry records.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Net Lending/Borrowing</w:t>
      </w:r>
      <w:r w:rsidDel="00000000" w:rsidR="00000000" w:rsidRPr="00000000">
        <w:rPr>
          <w:rtl w:val="0"/>
        </w:rPr>
        <w:t xml:space="preserv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Financing Requirement</w:t>
      </w:r>
      <w:r w:rsidDel="00000000" w:rsidR="00000000" w:rsidRPr="00000000">
        <w:rPr>
          <w:rtl w:val="0"/>
        </w:rPr>
        <w:t xml:space="preserve">: Reflects the net result of all transactions in the current and capital accounts. It indicates whether a country is a net lender or borrower to the rest of the world.</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Functional Classification of Financial Instruments</w:t>
      </w:r>
      <w:r w:rsidDel="00000000" w:rsidR="00000000" w:rsidRPr="00000000">
        <w:rPr>
          <w:rtl w:val="0"/>
        </w:rPr>
        <w:t xml:space="preserve">:</w:t>
      </w:r>
    </w:p>
    <w:p w:rsidR="00000000" w:rsidDel="00000000" w:rsidP="00000000" w:rsidRDefault="00000000" w:rsidRPr="00000000" w14:paraId="00000013">
      <w:pPr>
        <w:numPr>
          <w:ilvl w:val="1"/>
          <w:numId w:val="5"/>
        </w:numPr>
        <w:spacing w:after="240" w:before="0" w:beforeAutospacing="0" w:lineRule="auto"/>
        <w:ind w:left="1440" w:hanging="360"/>
      </w:pPr>
      <w:r w:rsidDel="00000000" w:rsidR="00000000" w:rsidRPr="00000000">
        <w:rPr>
          <w:b w:val="1"/>
          <w:rtl w:val="0"/>
        </w:rPr>
        <w:t xml:space="preserve">Standardization and Clarity</w:t>
      </w:r>
      <w:r w:rsidDel="00000000" w:rsidR="00000000" w:rsidRPr="00000000">
        <w:rPr>
          <w:rtl w:val="0"/>
        </w:rPr>
        <w:t xml:space="preserve">: Ensures that financial instruments are classified and reported consistently across countries, facilitating clear understanding and comparison of financial flows.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z04cjrn98i" w:id="0"/>
      <w:bookmarkEnd w:id="0"/>
      <w:r w:rsidDel="00000000" w:rsidR="00000000" w:rsidRPr="00000000">
        <w:rPr>
          <w:b w:val="1"/>
          <w:color w:val="000000"/>
          <w:sz w:val="26"/>
          <w:szCs w:val="26"/>
          <w:rtl w:val="0"/>
        </w:rPr>
        <w:t xml:space="preserve">Key Reporting Principles</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b w:val="1"/>
          <w:rtl w:val="0"/>
        </w:rPr>
        <w:t xml:space="preserve">Double-Entry Accounting</w:t>
      </w:r>
      <w:r w:rsidDel="00000000" w:rsidR="00000000" w:rsidRPr="00000000">
        <w:rPr>
          <w:rtl w:val="0"/>
        </w:rPr>
        <w:t xml:space="preserve">: Each transaction is recorded as a credit and a debit to ensure the accounts balance.</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Accrual Basis</w:t>
      </w:r>
      <w:r w:rsidDel="00000000" w:rsidR="00000000" w:rsidRPr="00000000">
        <w:rPr>
          <w:rtl w:val="0"/>
        </w:rPr>
        <w:t xml:space="preserve">: Transactions are recorded when economic value is created, transferred, exchanged, or extinguished, not necessarily when cash is exchanged.</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Market Valuation</w:t>
      </w:r>
      <w:r w:rsidDel="00000000" w:rsidR="00000000" w:rsidRPr="00000000">
        <w:rPr>
          <w:rtl w:val="0"/>
        </w:rPr>
        <w:t xml:space="preserve">: Transactions and positions are valued at market prices.</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Residence Principle</w:t>
      </w:r>
      <w:r w:rsidDel="00000000" w:rsidR="00000000" w:rsidRPr="00000000">
        <w:rPr>
          <w:rtl w:val="0"/>
        </w:rPr>
        <w:t xml:space="preserve">: Transactions are recorded based on the economic territory of the entities involved.</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mkngal0aev6" w:id="1"/>
      <w:bookmarkEnd w:id="1"/>
      <w:r w:rsidDel="00000000" w:rsidR="00000000" w:rsidRPr="00000000">
        <w:rPr>
          <w:b w:val="1"/>
          <w:color w:val="000000"/>
          <w:sz w:val="26"/>
          <w:szCs w:val="26"/>
          <w:rtl w:val="0"/>
        </w:rPr>
        <w:t xml:space="preserve">Document Flow:</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m4h9podjegd" w:id="2"/>
      <w:bookmarkEnd w:id="2"/>
      <w:r w:rsidDel="00000000" w:rsidR="00000000" w:rsidRPr="00000000">
        <w:rPr>
          <w:b w:val="1"/>
          <w:color w:val="000000"/>
          <w:sz w:val="26"/>
          <w:szCs w:val="26"/>
          <w:rtl w:val="0"/>
        </w:rPr>
        <w:t xml:space="preserve">Chapter 1: Introduction</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Purposes of the Manual</w:t>
      </w:r>
      <w:r w:rsidDel="00000000" w:rsidR="00000000" w:rsidRPr="00000000">
        <w:rPr>
          <w:rtl w:val="0"/>
        </w:rPr>
        <w:t xml:space="preserve">: Explains the objectives, such as providing a standard framework for BOP and IIP statistics, enhancing international comparability, and linking BOP/IIP statistics to other macroeconomic data.</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Structure of the Manual</w:t>
      </w:r>
      <w:r w:rsidDel="00000000" w:rsidR="00000000" w:rsidRPr="00000000">
        <w:rPr>
          <w:rtl w:val="0"/>
        </w:rPr>
        <w:t xml:space="preserve">: Describes the layout, with introductory chapters on concepts and principles, followed by chapters on each main account and a final chapter on data analysis.</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History of the Manual</w:t>
      </w:r>
      <w:r w:rsidDel="00000000" w:rsidR="00000000" w:rsidRPr="00000000">
        <w:rPr>
          <w:rtl w:val="0"/>
        </w:rPr>
        <w:t xml:space="preserve">: Traces the evolution of the manual since its first edition in 1948, noting major revisions and updates.</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b w:val="1"/>
          <w:rtl w:val="0"/>
        </w:rPr>
        <w:t xml:space="preserve">The 2008 Revision</w:t>
      </w:r>
      <w:r w:rsidDel="00000000" w:rsidR="00000000" w:rsidRPr="00000000">
        <w:rPr>
          <w:rtl w:val="0"/>
        </w:rPr>
        <w:t xml:space="preserve">: Discusses the reasons for updating the manual, including globalization, balance sheet analysis, and financial innovation.</w:t>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b w:val="1"/>
          <w:rtl w:val="0"/>
        </w:rPr>
        <w:t xml:space="preserve">Revisions between Editions of the Manual</w:t>
      </w:r>
      <w:r w:rsidDel="00000000" w:rsidR="00000000" w:rsidRPr="00000000">
        <w:rPr>
          <w:rtl w:val="0"/>
        </w:rPr>
        <w:t xml:space="preserve">: Explains the procedures for ongoing updates and the types of revisions (editorial amendments, clarifications, interpretations, and changes).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2rs9zd66pth" w:id="3"/>
      <w:bookmarkEnd w:id="3"/>
      <w:r w:rsidDel="00000000" w:rsidR="00000000" w:rsidRPr="00000000">
        <w:rPr>
          <w:b w:val="1"/>
          <w:color w:val="000000"/>
          <w:sz w:val="26"/>
          <w:szCs w:val="26"/>
          <w:rtl w:val="0"/>
        </w:rPr>
        <w:t xml:space="preserve">Chapter 2: Overview of the Framework</w:t>
        <w:br w:type="textWrapping"/>
      </w:r>
      <w:r w:rsidDel="00000000" w:rsidR="00000000" w:rsidRPr="00000000">
        <w:rPr>
          <w:b w:val="1"/>
          <w:color w:val="000000"/>
          <w:sz w:val="26"/>
          <w:szCs w:val="26"/>
        </w:rPr>
        <w:drawing>
          <wp:inline distB="114300" distT="114300" distL="114300" distR="114300">
            <wp:extent cx="5924550" cy="6086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455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Describes how the international accounts are part of the broader system of national accounts.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Structure of the Accounts</w:t>
      </w:r>
      <w:r w:rsidDel="00000000" w:rsidR="00000000" w:rsidRPr="00000000">
        <w:rPr>
          <w:rtl w:val="0"/>
        </w:rPr>
        <w:t xml:space="preserve">: Explains the overall framework, including the IIP, balance of payments, and other changes in financial assets and liabilities.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International Investment Position (IIP)</w:t>
      </w:r>
      <w:r w:rsidDel="00000000" w:rsidR="00000000" w:rsidRPr="00000000">
        <w:rPr>
          <w:rtl w:val="0"/>
        </w:rPr>
        <w:t xml:space="preserve">: Defines the IIP and explains its components and the reconciliation process.</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Balance of Payments (BOP)</w:t>
      </w:r>
      <w:r w:rsidDel="00000000" w:rsidR="00000000" w:rsidRPr="00000000">
        <w:rPr>
          <w:rtl w:val="0"/>
        </w:rPr>
        <w:t xml:space="preserve">: Describes the BOP as a statistical statement summarizing transactions between residents and nonresidents, including the current account, capital account, and financial account.</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Gross and Net Recording</w:t>
      </w:r>
      <w:r w:rsidDel="00000000" w:rsidR="00000000" w:rsidRPr="00000000">
        <w:rPr>
          <w:rtl w:val="0"/>
        </w:rPr>
        <w:t xml:space="preserve">: Distinguishes between gross terms (current and capital accounts) and net terms (financial account).</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Accumulation Accounts</w:t>
      </w:r>
      <w:r w:rsidDel="00000000" w:rsidR="00000000" w:rsidRPr="00000000">
        <w:rPr>
          <w:rtl w:val="0"/>
        </w:rPr>
        <w:t xml:space="preserve">: Describes the capital account, financial account, and other changes in financial assets and liabilities accounts.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f2qwsgg38fm" w:id="4"/>
      <w:bookmarkEnd w:id="4"/>
      <w:r w:rsidDel="00000000" w:rsidR="00000000" w:rsidRPr="00000000">
        <w:rPr>
          <w:b w:val="1"/>
          <w:color w:val="000000"/>
          <w:sz w:val="26"/>
          <w:szCs w:val="26"/>
          <w:rtl w:val="0"/>
        </w:rPr>
        <w:t xml:space="preserve">Chapter 3: Accounting Principles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Overview of key accounting principles for BOP and IIP.</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Flows and Positions</w:t>
      </w:r>
      <w:r w:rsidDel="00000000" w:rsidR="00000000" w:rsidRPr="00000000">
        <w:rPr>
          <w:rtl w:val="0"/>
        </w:rPr>
        <w:t xml:space="preserve">: Differentiates between flows (transactions) and positions (stock of assets/liabilities).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Accounting System</w:t>
      </w:r>
      <w:r w:rsidDel="00000000" w:rsidR="00000000" w:rsidRPr="00000000">
        <w:rPr>
          <w:rtl w:val="0"/>
        </w:rPr>
        <w:t xml:space="preserve">: Explains double-entry accounting, where each transaction has a debit and a credit entry.</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Time of Recording of Flows</w:t>
      </w:r>
      <w:r w:rsidDel="00000000" w:rsidR="00000000" w:rsidRPr="00000000">
        <w:rPr>
          <w:rtl w:val="0"/>
        </w:rPr>
        <w:t xml:space="preserve">: Discusses the timing for recording transactions, emphasizing accrual accounting.</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Valuation</w:t>
      </w:r>
      <w:r w:rsidDel="00000000" w:rsidR="00000000" w:rsidRPr="00000000">
        <w:rPr>
          <w:rtl w:val="0"/>
        </w:rPr>
        <w:t xml:space="preserve">: Covers the valuation of transactions and positions, including market value and fair value.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Aggregation and Netting</w:t>
      </w:r>
      <w:r w:rsidDel="00000000" w:rsidR="00000000" w:rsidRPr="00000000">
        <w:rPr>
          <w:rtl w:val="0"/>
        </w:rPr>
        <w:t xml:space="preserve">: Details how to aggregate data and net positions.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Symmetry of Reporting</w:t>
      </w:r>
      <w:r w:rsidDel="00000000" w:rsidR="00000000" w:rsidRPr="00000000">
        <w:rPr>
          <w:rtl w:val="0"/>
        </w:rPr>
        <w:t xml:space="preserve">: Ensures consistency between the data reported by different countries.</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Derived Measures</w:t>
      </w:r>
      <w:r w:rsidDel="00000000" w:rsidR="00000000" w:rsidRPr="00000000">
        <w:rPr>
          <w:rtl w:val="0"/>
        </w:rPr>
        <w:t xml:space="preserve">: Discusses derived measures like net international investment position and net lending/borrowing.</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unumls9zzclr" w:id="5"/>
      <w:bookmarkEnd w:id="5"/>
      <w:r w:rsidDel="00000000" w:rsidR="00000000" w:rsidRPr="00000000">
        <w:rPr>
          <w:b w:val="1"/>
          <w:color w:val="000000"/>
          <w:sz w:val="26"/>
          <w:szCs w:val="26"/>
          <w:rtl w:val="0"/>
        </w:rPr>
        <w:t xml:space="preserve">Chapter 4: Economic Territory, Units, Institutional Sectors, and Residence</w:t>
      </w:r>
    </w:p>
    <w:p w:rsidR="00000000" w:rsidDel="00000000" w:rsidP="00000000" w:rsidRDefault="00000000" w:rsidRPr="00000000" w14:paraId="00000032">
      <w:pPr>
        <w:numPr>
          <w:ilvl w:val="0"/>
          <w:numId w:val="11"/>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Defines economic territory, units, institutional sectors, and residence.</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Economic Territory</w:t>
      </w:r>
      <w:r w:rsidDel="00000000" w:rsidR="00000000" w:rsidRPr="00000000">
        <w:rPr>
          <w:rtl w:val="0"/>
        </w:rPr>
        <w:t xml:space="preserve">: Describes the geographical area under the jurisdiction of a government.</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Units</w:t>
      </w:r>
      <w:r w:rsidDel="00000000" w:rsidR="00000000" w:rsidRPr="00000000">
        <w:rPr>
          <w:rtl w:val="0"/>
        </w:rPr>
        <w:t xml:space="preserve">: Defines institutional units involved in economic activities.</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Institutional Sectors</w:t>
      </w:r>
      <w:r w:rsidDel="00000000" w:rsidR="00000000" w:rsidRPr="00000000">
        <w:rPr>
          <w:rtl w:val="0"/>
        </w:rPr>
        <w:t xml:space="preserve">: Classifies units into sectors like households, government, and financial corporations.</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b w:val="1"/>
          <w:rtl w:val="0"/>
        </w:rPr>
        <w:t xml:space="preserve">Residence</w:t>
      </w:r>
      <w:r w:rsidDel="00000000" w:rsidR="00000000" w:rsidRPr="00000000">
        <w:rPr>
          <w:rtl w:val="0"/>
        </w:rPr>
        <w:t xml:space="preserve">: Determines the residence of units based on their economic ties to a territory.</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b w:val="1"/>
          <w:rtl w:val="0"/>
        </w:rPr>
        <w:t xml:space="preserve">Issues Associated with Residence</w:t>
      </w:r>
      <w:r w:rsidDel="00000000" w:rsidR="00000000" w:rsidRPr="00000000">
        <w:rPr>
          <w:rtl w:val="0"/>
        </w:rPr>
        <w:t xml:space="preserve">: Addresses special cases and complexities in determining residence.</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1ev98jo76yx" w:id="6"/>
      <w:bookmarkEnd w:id="6"/>
      <w:r w:rsidDel="00000000" w:rsidR="00000000" w:rsidRPr="00000000">
        <w:rPr>
          <w:b w:val="1"/>
          <w:color w:val="000000"/>
          <w:sz w:val="26"/>
          <w:szCs w:val="26"/>
          <w:rtl w:val="0"/>
        </w:rPr>
        <w:t xml:space="preserve">Chapter 5: Classifications of Financial Assets and Liabilities</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b w:val="1"/>
          <w:rtl w:val="0"/>
        </w:rPr>
        <w:t xml:space="preserve">Definitions of Economic Assets and Liabilities</w:t>
      </w:r>
      <w:r w:rsidDel="00000000" w:rsidR="00000000" w:rsidRPr="00000000">
        <w:rPr>
          <w:rtl w:val="0"/>
        </w:rPr>
        <w:t xml:space="preserve">: Provides a comprehensive definition of financial assets and liabilities.</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Classification of Financial Assets and Liabilities by Type of Instrument</w:t>
      </w:r>
      <w:r w:rsidDel="00000000" w:rsidR="00000000" w:rsidRPr="00000000">
        <w:rPr>
          <w:rtl w:val="0"/>
        </w:rPr>
        <w:t xml:space="preserve">: Details the classification by instruments such as debt securities, loans, and equity.</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Arrears</w:t>
      </w:r>
      <w:r w:rsidDel="00000000" w:rsidR="00000000" w:rsidRPr="00000000">
        <w:rPr>
          <w:rtl w:val="0"/>
        </w:rPr>
        <w:t xml:space="preserve">: Discusses the treatment of arrears in BOP/IIP statistics.</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Classification by Maturity</w:t>
      </w:r>
      <w:r w:rsidDel="00000000" w:rsidR="00000000" w:rsidRPr="00000000">
        <w:rPr>
          <w:rtl w:val="0"/>
        </w:rPr>
        <w:t xml:space="preserve">: Classifies financial instruments by their maturity.</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Classification by Currency</w:t>
      </w:r>
      <w:r w:rsidDel="00000000" w:rsidR="00000000" w:rsidRPr="00000000">
        <w:rPr>
          <w:rtl w:val="0"/>
        </w:rPr>
        <w:t xml:space="preserve">: Classifies instruments by the currency of denomination.</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Classification by Type of Interest Rate</w:t>
      </w:r>
      <w:r w:rsidDel="00000000" w:rsidR="00000000" w:rsidRPr="00000000">
        <w:rPr>
          <w:rtl w:val="0"/>
        </w:rPr>
        <w:t xml:space="preserve">: Classifies instruments based on fixed or variable interest rates.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fjmh9uk0d761" w:id="7"/>
      <w:bookmarkEnd w:id="7"/>
      <w:r w:rsidDel="00000000" w:rsidR="00000000" w:rsidRPr="00000000">
        <w:rPr>
          <w:b w:val="1"/>
          <w:color w:val="000000"/>
          <w:sz w:val="26"/>
          <w:szCs w:val="26"/>
          <w:rtl w:val="0"/>
        </w:rPr>
        <w:t xml:space="preserve">Chapter 6: Functional Categories</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Introduces the concept of functional categories for financial transactions.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Direct Investment</w:t>
      </w:r>
      <w:r w:rsidDel="00000000" w:rsidR="00000000" w:rsidRPr="00000000">
        <w:rPr>
          <w:rtl w:val="0"/>
        </w:rPr>
        <w:t xml:space="preserve">: Defines and classifies direct investment transactions.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Portfolio Investment</w:t>
      </w:r>
      <w:r w:rsidDel="00000000" w:rsidR="00000000" w:rsidRPr="00000000">
        <w:rPr>
          <w:rtl w:val="0"/>
        </w:rPr>
        <w:t xml:space="preserve">: Describes portfolio investment, including equity and debt securities.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Financial Derivatives (Other than Reserves) and Employee Stock Options</w:t>
      </w:r>
      <w:r w:rsidDel="00000000" w:rsidR="00000000" w:rsidRPr="00000000">
        <w:rPr>
          <w:rtl w:val="0"/>
        </w:rPr>
        <w:t xml:space="preserve">: Covers financial derivatives and employee stock options.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Other Investment</w:t>
      </w:r>
      <w:r w:rsidDel="00000000" w:rsidR="00000000" w:rsidRPr="00000000">
        <w:rPr>
          <w:rtl w:val="0"/>
        </w:rPr>
        <w:t xml:space="preserve">: Includes residual categories like trade credits and loans.</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b w:val="1"/>
          <w:rtl w:val="0"/>
        </w:rPr>
        <w:t xml:space="preserve">Reserves</w:t>
      </w:r>
      <w:r w:rsidDel="00000000" w:rsidR="00000000" w:rsidRPr="00000000">
        <w:rPr>
          <w:rtl w:val="0"/>
        </w:rPr>
        <w:t xml:space="preserve">: Discusses reserve assets and their importance in BOP/IIP.</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mrsk3dioz0gn" w:id="8"/>
      <w:bookmarkEnd w:id="8"/>
      <w:r w:rsidDel="00000000" w:rsidR="00000000" w:rsidRPr="00000000">
        <w:rPr>
          <w:b w:val="1"/>
          <w:color w:val="000000"/>
          <w:sz w:val="26"/>
          <w:szCs w:val="26"/>
          <w:rtl w:val="0"/>
        </w:rPr>
        <w:t xml:space="preserve">Chapter 7: International Investment Position</w:t>
      </w:r>
    </w:p>
    <w:p w:rsidR="00000000" w:rsidDel="00000000" w:rsidP="00000000" w:rsidRDefault="00000000" w:rsidRPr="00000000" w14:paraId="00000047">
      <w:pPr>
        <w:numPr>
          <w:ilvl w:val="0"/>
          <w:numId w:val="13"/>
        </w:numPr>
        <w:spacing w:after="0" w:afterAutospacing="0" w:before="240" w:lineRule="auto"/>
        <w:ind w:left="720" w:hanging="360"/>
      </w:pPr>
      <w:r w:rsidDel="00000000" w:rsidR="00000000" w:rsidRPr="00000000">
        <w:rPr>
          <w:b w:val="1"/>
          <w:rtl w:val="0"/>
        </w:rPr>
        <w:t xml:space="preserve">Concepts and Coverage</w:t>
      </w:r>
      <w:r w:rsidDel="00000000" w:rsidR="00000000" w:rsidRPr="00000000">
        <w:rPr>
          <w:rtl w:val="0"/>
        </w:rPr>
        <w:t xml:space="preserve">: Defines the IIP and its components.</w:t>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b w:val="1"/>
          <w:rtl w:val="0"/>
        </w:rPr>
        <w:t xml:space="preserve">Direct Investment</w:t>
      </w:r>
      <w:r w:rsidDel="00000000" w:rsidR="00000000" w:rsidRPr="00000000">
        <w:rPr>
          <w:rtl w:val="0"/>
        </w:rPr>
        <w:t xml:space="preserve">: Details the classification and recording of direct investment positions.</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Portfolio Investment</w:t>
      </w:r>
      <w:r w:rsidDel="00000000" w:rsidR="00000000" w:rsidRPr="00000000">
        <w:rPr>
          <w:rtl w:val="0"/>
        </w:rPr>
        <w:t xml:space="preserve">: Describes the treatment of portfolio investment positions.</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b w:val="1"/>
          <w:rtl w:val="0"/>
        </w:rPr>
        <w:t xml:space="preserve">Financial Derivatives (Other than Reserves) and Employee Stock Options</w:t>
      </w:r>
      <w:r w:rsidDel="00000000" w:rsidR="00000000" w:rsidRPr="00000000">
        <w:rPr>
          <w:rtl w:val="0"/>
        </w:rPr>
        <w:t xml:space="preserve">: Covers the recording of financial derivatives and stock options.</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Other Investment</w:t>
      </w:r>
      <w:r w:rsidDel="00000000" w:rsidR="00000000" w:rsidRPr="00000000">
        <w:rPr>
          <w:rtl w:val="0"/>
        </w:rPr>
        <w:t xml:space="preserve">: Includes other financial assets and liabilities.</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b w:val="1"/>
          <w:rtl w:val="0"/>
        </w:rPr>
        <w:t xml:space="preserve">Reserves</w:t>
      </w:r>
      <w:r w:rsidDel="00000000" w:rsidR="00000000" w:rsidRPr="00000000">
        <w:rPr>
          <w:rtl w:val="0"/>
        </w:rPr>
        <w:t xml:space="preserve">: Discusses the classification and recording of reserve assets.</w:t>
      </w:r>
    </w:p>
    <w:p w:rsidR="00000000" w:rsidDel="00000000" w:rsidP="00000000" w:rsidRDefault="00000000" w:rsidRPr="00000000" w14:paraId="0000004D">
      <w:pPr>
        <w:numPr>
          <w:ilvl w:val="0"/>
          <w:numId w:val="13"/>
        </w:numPr>
        <w:spacing w:after="240" w:before="0" w:beforeAutospacing="0" w:lineRule="auto"/>
        <w:ind w:left="720" w:hanging="360"/>
      </w:pPr>
      <w:r w:rsidDel="00000000" w:rsidR="00000000" w:rsidRPr="00000000">
        <w:rPr>
          <w:b w:val="1"/>
          <w:rtl w:val="0"/>
        </w:rPr>
        <w:t xml:space="preserve">Off-Balance-Sheet Liabilities</w:t>
      </w:r>
      <w:r w:rsidDel="00000000" w:rsidR="00000000" w:rsidRPr="00000000">
        <w:rPr>
          <w:rtl w:val="0"/>
        </w:rPr>
        <w:t xml:space="preserve">: Addresses the treatment of off-balance-sheet liabilities.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rq92lxbe896k" w:id="9"/>
      <w:bookmarkEnd w:id="9"/>
      <w:r w:rsidDel="00000000" w:rsidR="00000000" w:rsidRPr="00000000">
        <w:rPr>
          <w:b w:val="1"/>
          <w:color w:val="000000"/>
          <w:sz w:val="26"/>
          <w:szCs w:val="26"/>
          <w:rtl w:val="0"/>
        </w:rPr>
        <w:t xml:space="preserve">Chapter 8: Financial Account</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b w:val="1"/>
          <w:rtl w:val="0"/>
        </w:rPr>
        <w:t xml:space="preserve">Concepts and Coverage</w:t>
      </w:r>
      <w:r w:rsidDel="00000000" w:rsidR="00000000" w:rsidRPr="00000000">
        <w:rPr>
          <w:rtl w:val="0"/>
        </w:rPr>
        <w:t xml:space="preserve">: Defines the financial account and its components.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Direct Investment</w:t>
      </w:r>
      <w:r w:rsidDel="00000000" w:rsidR="00000000" w:rsidRPr="00000000">
        <w:rPr>
          <w:rtl w:val="0"/>
        </w:rPr>
        <w:t xml:space="preserve">: Describes the recording of direct investment transactions.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Portfolio Investment</w:t>
      </w:r>
      <w:r w:rsidDel="00000000" w:rsidR="00000000" w:rsidRPr="00000000">
        <w:rPr>
          <w:rtl w:val="0"/>
        </w:rPr>
        <w:t xml:space="preserve">: Covers the treatment of portfolio investment transactions.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Financial Derivatives (Other than Reserves) and Employee Stock Options</w:t>
      </w:r>
      <w:r w:rsidDel="00000000" w:rsidR="00000000" w:rsidRPr="00000000">
        <w:rPr>
          <w:rtl w:val="0"/>
        </w:rPr>
        <w:t xml:space="preserve">: Discusses the recording of financial derivatives and stock options.</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Other Investment</w:t>
      </w:r>
      <w:r w:rsidDel="00000000" w:rsidR="00000000" w:rsidRPr="00000000">
        <w:rPr>
          <w:rtl w:val="0"/>
        </w:rPr>
        <w:t xml:space="preserve">: Includes other financial transactions like trade credits and loans.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Reserve Assets</w:t>
      </w:r>
      <w:r w:rsidDel="00000000" w:rsidR="00000000" w:rsidRPr="00000000">
        <w:rPr>
          <w:rtl w:val="0"/>
        </w:rPr>
        <w:t xml:space="preserve">: Details the transactions involving reserve assets.</w:t>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Arrears</w:t>
      </w:r>
      <w:r w:rsidDel="00000000" w:rsidR="00000000" w:rsidRPr="00000000">
        <w:rPr>
          <w:rtl w:val="0"/>
        </w:rPr>
        <w:t xml:space="preserve">: Discusses the treatment of arrears in the financial account.</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bkljqxj58u7i" w:id="10"/>
      <w:bookmarkEnd w:id="10"/>
      <w:r w:rsidDel="00000000" w:rsidR="00000000" w:rsidRPr="00000000">
        <w:rPr>
          <w:b w:val="1"/>
          <w:color w:val="000000"/>
          <w:sz w:val="26"/>
          <w:szCs w:val="26"/>
          <w:rtl w:val="0"/>
        </w:rPr>
        <w:t xml:space="preserve">Chapter 9: Other Changes in Financial Assets and Liabilities Account</w:t>
      </w:r>
    </w:p>
    <w:p w:rsidR="00000000" w:rsidDel="00000000" w:rsidP="00000000" w:rsidRDefault="00000000" w:rsidRPr="00000000" w14:paraId="00000057">
      <w:pPr>
        <w:numPr>
          <w:ilvl w:val="0"/>
          <w:numId w:val="14"/>
        </w:numPr>
        <w:spacing w:after="0" w:afterAutospacing="0" w:before="240" w:lineRule="auto"/>
        <w:ind w:left="720" w:hanging="360"/>
      </w:pPr>
      <w:r w:rsidDel="00000000" w:rsidR="00000000" w:rsidRPr="00000000">
        <w:rPr>
          <w:b w:val="1"/>
          <w:rtl w:val="0"/>
        </w:rPr>
        <w:t xml:space="preserve">Concepts and Coverage</w:t>
      </w:r>
      <w:r w:rsidDel="00000000" w:rsidR="00000000" w:rsidRPr="00000000">
        <w:rPr>
          <w:rtl w:val="0"/>
        </w:rPr>
        <w:t xml:space="preserve">: Defines the account and its role in reconciling the IIP and BOP.</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b w:val="1"/>
          <w:rtl w:val="0"/>
        </w:rPr>
        <w:t xml:space="preserve">Other Changes in the Volume of Financial Assets and Liabilities</w:t>
      </w:r>
      <w:r w:rsidDel="00000000" w:rsidR="00000000" w:rsidRPr="00000000">
        <w:rPr>
          <w:rtl w:val="0"/>
        </w:rPr>
        <w:t xml:space="preserve">: Covers changes due to economic events other than transactions.</w:t>
      </w:r>
    </w:p>
    <w:p w:rsidR="00000000" w:rsidDel="00000000" w:rsidP="00000000" w:rsidRDefault="00000000" w:rsidRPr="00000000" w14:paraId="00000059">
      <w:pPr>
        <w:numPr>
          <w:ilvl w:val="0"/>
          <w:numId w:val="14"/>
        </w:numPr>
        <w:spacing w:after="240" w:before="0" w:beforeAutospacing="0" w:lineRule="auto"/>
        <w:ind w:left="720" w:hanging="360"/>
      </w:pPr>
      <w:r w:rsidDel="00000000" w:rsidR="00000000" w:rsidRPr="00000000">
        <w:rPr>
          <w:b w:val="1"/>
          <w:rtl w:val="0"/>
        </w:rPr>
        <w:t xml:space="preserve">Revaluation</w:t>
      </w:r>
      <w:r w:rsidDel="00000000" w:rsidR="00000000" w:rsidRPr="00000000">
        <w:rPr>
          <w:rtl w:val="0"/>
        </w:rPr>
        <w:t xml:space="preserve">: Discusses changes in value due to price and exchange rate changes.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55gv8s848gbm" w:id="11"/>
      <w:bookmarkEnd w:id="11"/>
      <w:r w:rsidDel="00000000" w:rsidR="00000000" w:rsidRPr="00000000">
        <w:rPr>
          <w:b w:val="1"/>
          <w:color w:val="000000"/>
          <w:sz w:val="26"/>
          <w:szCs w:val="26"/>
          <w:rtl w:val="0"/>
        </w:rPr>
        <w:t xml:space="preserve">Chapter 10: Goods and Services Account</w:t>
      </w:r>
    </w:p>
    <w:p w:rsidR="00000000" w:rsidDel="00000000" w:rsidP="00000000" w:rsidRDefault="00000000" w:rsidRPr="00000000" w14:paraId="0000005B">
      <w:pPr>
        <w:numPr>
          <w:ilvl w:val="0"/>
          <w:numId w:val="15"/>
        </w:numPr>
        <w:spacing w:after="0" w:afterAutospacing="0" w:before="240" w:lineRule="auto"/>
        <w:ind w:left="720" w:hanging="360"/>
      </w:pPr>
      <w:r w:rsidDel="00000000" w:rsidR="00000000" w:rsidRPr="00000000">
        <w:rPr>
          <w:b w:val="1"/>
          <w:rtl w:val="0"/>
        </w:rPr>
        <w:t xml:space="preserve">Overview of the Goods and Services Account</w:t>
      </w:r>
      <w:r w:rsidDel="00000000" w:rsidR="00000000" w:rsidRPr="00000000">
        <w:rPr>
          <w:rtl w:val="0"/>
        </w:rPr>
        <w:t xml:space="preserve">: Defines the account and its components.</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Goods</w:t>
      </w:r>
      <w:r w:rsidDel="00000000" w:rsidR="00000000" w:rsidRPr="00000000">
        <w:rPr>
          <w:rtl w:val="0"/>
        </w:rPr>
        <w:t xml:space="preserve">: Covers transactions in physical goods.</w:t>
      </w:r>
    </w:p>
    <w:p w:rsidR="00000000" w:rsidDel="00000000" w:rsidP="00000000" w:rsidRDefault="00000000" w:rsidRPr="00000000" w14:paraId="0000005D">
      <w:pPr>
        <w:numPr>
          <w:ilvl w:val="0"/>
          <w:numId w:val="15"/>
        </w:numPr>
        <w:spacing w:after="24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 Describes transactions in services, including travel, transportation, and business services.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aryb9nqetz7p" w:id="12"/>
      <w:bookmarkEnd w:id="12"/>
      <w:r w:rsidDel="00000000" w:rsidR="00000000" w:rsidRPr="00000000">
        <w:rPr>
          <w:b w:val="1"/>
          <w:color w:val="000000"/>
          <w:sz w:val="26"/>
          <w:szCs w:val="26"/>
          <w:rtl w:val="0"/>
        </w:rPr>
        <w:t xml:space="preserve">Chapter 11: Primary Income Account</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Overview of the Primary Income Account</w:t>
      </w:r>
      <w:r w:rsidDel="00000000" w:rsidR="00000000" w:rsidRPr="00000000">
        <w:rPr>
          <w:rtl w:val="0"/>
        </w:rPr>
        <w:t xml:space="preserve">: Defines the account and its components.</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Types of Primary Income</w:t>
      </w:r>
      <w:r w:rsidDel="00000000" w:rsidR="00000000" w:rsidRPr="00000000">
        <w:rPr>
          <w:rtl w:val="0"/>
        </w:rPr>
        <w:t xml:space="preserve">: Includes compensation of employees, investment income, and other primary income.</w:t>
      </w:r>
    </w:p>
    <w:p w:rsidR="00000000" w:rsidDel="00000000" w:rsidP="00000000" w:rsidRDefault="00000000" w:rsidRPr="00000000" w14:paraId="00000061">
      <w:pPr>
        <w:numPr>
          <w:ilvl w:val="0"/>
          <w:numId w:val="1"/>
        </w:numPr>
        <w:spacing w:after="240" w:before="0" w:beforeAutospacing="0" w:lineRule="auto"/>
        <w:ind w:left="720" w:hanging="360"/>
      </w:pPr>
      <w:r w:rsidDel="00000000" w:rsidR="00000000" w:rsidRPr="00000000">
        <w:rPr>
          <w:b w:val="1"/>
          <w:rtl w:val="0"/>
        </w:rPr>
        <w:t xml:space="preserve">Investment Income and Functional Categories</w:t>
      </w:r>
      <w:r w:rsidDel="00000000" w:rsidR="00000000" w:rsidRPr="00000000">
        <w:rPr>
          <w:rtl w:val="0"/>
        </w:rPr>
        <w:t xml:space="preserve">: Discusses the recording of investment income by functional categories.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yc12uekwdt1x" w:id="13"/>
      <w:bookmarkEnd w:id="13"/>
      <w:r w:rsidDel="00000000" w:rsidR="00000000" w:rsidRPr="00000000">
        <w:rPr>
          <w:b w:val="1"/>
          <w:color w:val="000000"/>
          <w:sz w:val="26"/>
          <w:szCs w:val="26"/>
          <w:rtl w:val="0"/>
        </w:rPr>
        <w:t xml:space="preserve">Chapter 12: Secondary Income Account</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Overview of the Secondary Income Account</w:t>
      </w:r>
      <w:r w:rsidDel="00000000" w:rsidR="00000000" w:rsidRPr="00000000">
        <w:rPr>
          <w:rtl w:val="0"/>
        </w:rPr>
        <w:t xml:space="preserve">: Defines the account and its components.</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Concepts and Coverage</w:t>
      </w:r>
      <w:r w:rsidDel="00000000" w:rsidR="00000000" w:rsidRPr="00000000">
        <w:rPr>
          <w:rtl w:val="0"/>
        </w:rPr>
        <w:t xml:space="preserve">: Covers the redistribution of income through transfers.</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b w:val="1"/>
          <w:rtl w:val="0"/>
        </w:rPr>
        <w:t xml:space="preserve">Types of Current Transfers</w:t>
      </w:r>
      <w:r w:rsidDel="00000000" w:rsidR="00000000" w:rsidRPr="00000000">
        <w:rPr>
          <w:rtl w:val="0"/>
        </w:rPr>
        <w:t xml:space="preserve">: Includes personal transfers and current international assistance.</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d1fqxowz1z58" w:id="14"/>
      <w:bookmarkEnd w:id="14"/>
      <w:r w:rsidDel="00000000" w:rsidR="00000000" w:rsidRPr="00000000">
        <w:rPr>
          <w:b w:val="1"/>
          <w:color w:val="000000"/>
          <w:sz w:val="26"/>
          <w:szCs w:val="26"/>
          <w:rtl w:val="0"/>
        </w:rPr>
        <w:t xml:space="preserve">Chapter 13: Capital Account</w:t>
      </w:r>
    </w:p>
    <w:p w:rsidR="00000000" w:rsidDel="00000000" w:rsidP="00000000" w:rsidRDefault="00000000" w:rsidRPr="00000000" w14:paraId="00000067">
      <w:pPr>
        <w:numPr>
          <w:ilvl w:val="0"/>
          <w:numId w:val="16"/>
        </w:numPr>
        <w:spacing w:after="0" w:afterAutospacing="0" w:before="240" w:lineRule="auto"/>
        <w:ind w:left="720" w:hanging="360"/>
      </w:pPr>
      <w:r w:rsidDel="00000000" w:rsidR="00000000" w:rsidRPr="00000000">
        <w:rPr>
          <w:b w:val="1"/>
          <w:rtl w:val="0"/>
        </w:rPr>
        <w:t xml:space="preserve">Concepts and Coverage</w:t>
      </w:r>
      <w:r w:rsidDel="00000000" w:rsidR="00000000" w:rsidRPr="00000000">
        <w:rPr>
          <w:rtl w:val="0"/>
        </w:rPr>
        <w:t xml:space="preserve">: Defines the capital account and its components.</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Acquisitions and Disposals of Nonproduced, Nonfinancial Assets</w:t>
      </w:r>
      <w:r w:rsidDel="00000000" w:rsidR="00000000" w:rsidRPr="00000000">
        <w:rPr>
          <w:rtl w:val="0"/>
        </w:rPr>
        <w:t xml:space="preserve">: Covers transactions in nonproduced assets like land and intellectual property.</w:t>
      </w:r>
    </w:p>
    <w:p w:rsidR="00000000" w:rsidDel="00000000" w:rsidP="00000000" w:rsidRDefault="00000000" w:rsidRPr="00000000" w14:paraId="00000069">
      <w:pPr>
        <w:numPr>
          <w:ilvl w:val="0"/>
          <w:numId w:val="16"/>
        </w:numPr>
        <w:spacing w:after="240" w:before="0" w:beforeAutospacing="0" w:lineRule="auto"/>
        <w:ind w:left="720" w:hanging="360"/>
      </w:pPr>
      <w:r w:rsidDel="00000000" w:rsidR="00000000" w:rsidRPr="00000000">
        <w:rPr>
          <w:b w:val="1"/>
          <w:rtl w:val="0"/>
        </w:rPr>
        <w:t xml:space="preserve">Capital Transfers</w:t>
      </w:r>
      <w:r w:rsidDel="00000000" w:rsidR="00000000" w:rsidRPr="00000000">
        <w:rPr>
          <w:rtl w:val="0"/>
        </w:rPr>
        <w:t xml:space="preserve">: Describes capital transfers between residents and nonresidents.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151zqieua9fm" w:id="15"/>
      <w:bookmarkEnd w:id="15"/>
      <w:r w:rsidDel="00000000" w:rsidR="00000000" w:rsidRPr="00000000">
        <w:rPr>
          <w:b w:val="1"/>
          <w:color w:val="000000"/>
          <w:sz w:val="26"/>
          <w:szCs w:val="26"/>
          <w:rtl w:val="0"/>
        </w:rPr>
        <w:t xml:space="preserve">Chapter 14: Selected Issues in Balance of Payments and International Investment Position Analysis</w:t>
      </w:r>
    </w:p>
    <w:p w:rsidR="00000000" w:rsidDel="00000000" w:rsidP="00000000" w:rsidRDefault="00000000" w:rsidRPr="00000000" w14:paraId="0000006B">
      <w:pPr>
        <w:numPr>
          <w:ilvl w:val="0"/>
          <w:numId w:val="12"/>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Provides an overview of the chapter.</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b w:val="1"/>
          <w:rtl w:val="0"/>
        </w:rPr>
        <w:t xml:space="preserve">General Framework</w:t>
      </w:r>
      <w:r w:rsidDel="00000000" w:rsidR="00000000" w:rsidRPr="00000000">
        <w:rPr>
          <w:rtl w:val="0"/>
        </w:rPr>
        <w:t xml:space="preserve">: Discusses the framework for analyzing BOP and IIP data.</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b w:val="1"/>
          <w:rtl w:val="0"/>
        </w:rPr>
        <w:t xml:space="preserve">Alternative Presentations of Balance of Payments Data</w:t>
      </w:r>
      <w:r w:rsidDel="00000000" w:rsidR="00000000" w:rsidRPr="00000000">
        <w:rPr>
          <w:rtl w:val="0"/>
        </w:rPr>
        <w:t xml:space="preserve">: Explores different ways to present BOP data.</w:t>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b w:val="1"/>
          <w:rtl w:val="0"/>
        </w:rPr>
        <w:t xml:space="preserve">Financing a Current Account Deficit</w:t>
      </w:r>
      <w:r w:rsidDel="00000000" w:rsidR="00000000" w:rsidRPr="00000000">
        <w:rPr>
          <w:rtl w:val="0"/>
        </w:rPr>
        <w:t xml:space="preserve">: Discusses strategies for financing a current account deficit.</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b w:val="1"/>
          <w:rtl w:val="0"/>
        </w:rPr>
        <w:t xml:space="preserve">Balance of Payments Adjustment in Response to a Current Account Deficit</w:t>
      </w:r>
      <w:r w:rsidDel="00000000" w:rsidR="00000000" w:rsidRPr="00000000">
        <w:rPr>
          <w:rtl w:val="0"/>
        </w:rPr>
        <w:t xml:space="preserve">: Covers adjustments to BOP in response to deficits.</w:t>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b w:val="1"/>
          <w:rtl w:val="0"/>
        </w:rPr>
        <w:t xml:space="preserve">Implications of a Current Account Surplus</w:t>
      </w:r>
      <w:r w:rsidDel="00000000" w:rsidR="00000000" w:rsidRPr="00000000">
        <w:rPr>
          <w:rtl w:val="0"/>
        </w:rPr>
        <w:t xml:space="preserve">: Discusses the implications of a surplus.</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b w:val="1"/>
          <w:rtl w:val="0"/>
        </w:rPr>
        <w:t xml:space="preserve">The Balance Sheet Approach</w:t>
      </w:r>
      <w:r w:rsidDel="00000000" w:rsidR="00000000" w:rsidRPr="00000000">
        <w:rPr>
          <w:rtl w:val="0"/>
        </w:rPr>
        <w:t xml:space="preserve">: Introduces the balance sheet approach to analyzing external vulnerabilities.</w:t>
      </w:r>
    </w:p>
    <w:p w:rsidR="00000000" w:rsidDel="00000000" w:rsidP="00000000" w:rsidRDefault="00000000" w:rsidRPr="00000000" w14:paraId="00000072">
      <w:pPr>
        <w:numPr>
          <w:ilvl w:val="0"/>
          <w:numId w:val="12"/>
        </w:numPr>
        <w:spacing w:after="240" w:before="0" w:beforeAutospacing="0" w:lineRule="auto"/>
        <w:ind w:left="720" w:hanging="360"/>
      </w:pPr>
      <w:r w:rsidDel="00000000" w:rsidR="00000000" w:rsidRPr="00000000">
        <w:rPr>
          <w:b w:val="1"/>
          <w:rtl w:val="0"/>
        </w:rPr>
        <w:t xml:space="preserve">Further Information</w:t>
      </w:r>
      <w:r w:rsidDel="00000000" w:rsidR="00000000" w:rsidRPr="00000000">
        <w:rPr>
          <w:rtl w:val="0"/>
        </w:rPr>
        <w:t xml:space="preserve">: Provides additional resources and references for further study.</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