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76" w:lineRule="auto"/>
      </w:pPr>
      <w:r>
        <w:rPr>
          <w:rFonts w:ascii="맑은고딕" w:hAnsi="맑은고딕" w:eastAsia="맑은고딕" w:cs="맑은고딕"/>
          <w:b/>
          <w:sz w:val="22"/>
        </w:rPr>
        <w:t>【재민 확인 전 발송·회신·견적 직송 금지】 DEC-20260923-mail2-advisor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/>
          <w:sz w:val="22"/>
        </w:rPr>
        <w:t>BLRO 어드바이저 핸드오프 — (주)도연시스템즈 / NVH Korea · Sangfor 보안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문서번호: 20260923-분석전달-도연NVH-Sangfor보안-어드바이저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작성일: 2026-09-23 (KST) ｜ 의사결정: DEC-20260923-mail2-advisor ｜ 역할: BLRO=어드바이저, 실행=매입 파트너</w:t>
      </w:r>
    </w:p>
    <w:p>
      <w:pPr>
        <w:spacing w:before="0" w:after="24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용도: 재민 내부 전달 · 녹음정리+견적 트랙 묶음 참고용. Drive 업로드·메일 발송·CRM 수정 없음.</w:t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1. 원문 요약 (FACT)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수신: 2026-09-23 14:43:59 KST ｜ From: 양해광 → jm.park@blro.co.kr (CC: 파트너 측 참조자) ｜ hasAttachments=false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제목: Fw: RE: [파트너] (주)도연시스템즈 - NVH Korea Sangfor 보안 솔루션 제언관련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스레드 구조: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2026-09-17: 양해광 → 라성주(sjra@dysys.co.kr) 등. NVH Korea가 Sangfor HCI+SCP 사용 중 → 보안확장으로 aSEC(인프라)+EDR/EPP(단말) 제언. NGFW·NDR·IAG·SDWAN·vAD·CDP/DR 등 Full Lineup 언급. EPP·aSEC 표준 제안자료 첨부 언급.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2026-09-23 12:36: 라성주 → 양해광 (CC 방성혁). 내년 사업계획으로 랜섬웨어 예산 우선, 상세 기술은 추석 이후. 견적 4항 요청(아래).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2026-09-23 13:40: 라성주 추가. 범위 명확화 — 상포 내 VM뿐 아니라 외부 물리서버 포함 랜섬웨어 대응 방안.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2026-09-23 14:43: 양해광 → 재민 Fw. 「라성주이사 메일 전달·참조」만. 별도 지시 없음.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라성주 견적 요청 항목 (FACT):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EPP, NDR, aSEC, CDP 견적 — 본인이 찾은 기준이라 불필요 품목도 견적은 주되, 빼야 할 사유 요청.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EPP/CDP 단가 — 서버 1대 기준 단가 → 이후 *n 적용. CDP는 별도 스토리지 필요 여부·고려사항.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기술지원 비용 — 설치 + 안정화 단계 포함.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추가 장비·솔루션 — 필요 시 함께 제안.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범위 보정: Sangfor VM + 외부 물리서버.</w:t>
      </w:r>
    </w:p>
    <w:p>
      <w:pPr>
        <w:spacing w:before="0" w:after="24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의사결정(DEC-20260923-mail2-advisor): 도연·NVH는 미팅 녹음정리 + 견적 트랙 묶음. 견적 실행은 매입 파트너. BLRO는 어드바이저만. BLRO가 고객 견적을 직접 작성하거나 (주)도연시스템즈/NVH Korea에 직송하는 것은 금지.</w:t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2. 첨부 요지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오늘의 Fw(hasAttachments=false): 메일 자체에는 첨부 없음. 다만 로컬 attach-doyeon/에 9/17 제언 계열 표준자료 2건이 보존되어 확인했습니다.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확인된 첨부 (FACT):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Athena+EPP+Main+Slide+0806.pdf — Athena EPP 엔드포인트·랜섬웨어 포지셔닝 덱(영문). Pre-caution 슬라이드에 시장 포지셔닝·핵심 역량 정리.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Sangfor+HCI+aSEC+Introduction+2025Q3.pdf — HCI 상 aSEC 소개(인트라넷·호스트·클라우드·플랫폼 보안, 랜섬웨어).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/>
          <w:sz w:val="22"/>
        </w:rPr>
        <w:t>커버리지: EPP·aSEC 덱은 존재. 메일 요청 4종(EPP·NDR·aSEC·CDP) 중 NDR·CDP 첨부는 없음 → UNKNOWN.</w:t>
      </w:r>
    </w:p>
    <w:p>
      <w:pPr>
        <w:spacing w:before="0" w:after="24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본문 요청은 여전히 EPP·NDR·aSEC·CDP(+서버 1대 단가, CDP 스토리지, 설치·안정화, 추가장비)이며, 범위는 VM+외부 물리서버, 예산 우선·상세는 추석 이후입니다.</w:t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3. 해석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고객((주)도연시스템즈 → NVH Korea) 타이밍: 예산안용 견적 우선. PoC·상세 기술 논의는 추석 이후.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최초 제언은 aSEC+EDR 중심이었으나, 라성주 회신은 EPP·NDR·aSEC·CDP로 확장. EDR vs EPP 용어 혼용 → 견적 전 제품명·SKU 정리 선행.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첨부 보강 후: EPP·aSEC는 표준 자료로 포지셔닝 설명 가능. NDR·CDP는 본문 요청만 있고 첨부 근거 없음 → 파트너 질의로 보완.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BLRO 역할: 어드바이저. 범위·질문·타이밍 정리 후 견적 작성·고객 면 회신은 매입 파트너에 넘김. BLRO 견적서 작성·(주)도연/NVH 직송 없음.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고객 전달면에는 파트너명(넥시아스·이루인포 등) 비노출. 내부 핸드오프·파트너 질의 구간에서만 수신 상대로서 넥시아스 호칭 가능.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과거 삭제 초안(a16-drop 등)은 발송·부활 금지. 오늘은 라성주 견적요청으로 NEW WORK.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4. UNKNOWN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NDR·CDP 표준 제안자료·스펙 시트(첨부 없음).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NVH Korea 서버 대수(VM/물리 분리) 및 기존 HCI 노드 규모.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CDP 스토리지 용량·디스크 정책.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CRM 프로젝트 페이지 존재·ID.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과거 (주)도연시스템즈·NVH 관련 발주/견적 이력.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매입 파트너 SKU·정식 단가표(미확인). 출처 없는 단가 기재 금지.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5. 어드바이저 관점 전달 포인트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타이밍: 예산(내년 사업계획) 우선 → 견적 트랙과 상세 기술(추석 후)을 분리해 전달.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품목: EPP·NDR·aSEC·CDP(+설치·안정화 기술지원, 추가장비). 불필요 품목은 견적에 넣되 「제외 사유」를 함께.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첨부 활용: EPP·aSEC 덱은 포지셔닝·역량 설명용. NDR·CDP는 첨부 부재를 명시하고 파트너에 자료·SKU 요청.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EDR vs EPP 용어 정리: 파트너에 SKU·제품명 정리를 요청. 고객면에는 확정된 제품명만.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단가 구조: EPP/CDP는 서버 1대 기준 → *n. CDP 별도 스토리지 필요 여부 명시. 출처 없는 숫자 금지.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범위: Sangfor VM + 외부 물리서버. 물리서버 포함 시 라이선스·에이전트·설치비 차이 확인.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BLRO: 어드바이저만. 견적 작성·고객 직송 금지. 고객면 파트너명 비노출.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묶음 트랙: 미팅 녹음정리 + 견적 질의 묶음으로 진행(DEC).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6. 상대(넥시아스)에 넘길 질문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※ 아래는 내부 핸드오프용으로, 질의 수신 상대로서 넥시아스에만 전달하는 항목입니다. 고객면 문구에는 파트너명을 넣지 않습니다.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EPP / NDR / aSEC / CDP 각각의 정식 제품명·SKU·라이선스 유형(영구/구독)을 확정해 주실 수 있는지.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EPP·CDP 서버 1대 기준 단가(및 *n 산정 규칙). CDP는 별도 스토리지 필요 여부·권장 용량·고려사항.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설치 + 안정화 단계 포함 기술지원 패키지 구성·비용 산정 기준.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상포 VM뿐 아니라 외부 물리서버를 포함할 때 라이선스·에이전트·설치 범위 차이.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라성주가 요청한 4종 중 예산안 단계에서 축소·제외를 권고할 품목이 있다면 제외 사유.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필요 시 추가 장비·솔루션 제안 목록(있으면).</w:t>
      </w:r>
    </w:p>
    <w:p>
      <w:pPr>
        <w:spacing w:before="0" w:after="80" w:line="276" w:lineRule="auto"/>
        <w:ind w:left="240"/>
      </w:pPr>
      <w:r>
        <w:rPr>
          <w:rFonts w:ascii="맑은고딕" w:hAnsi="맑은고딕" w:eastAsia="맑은고딕" w:cs="맑은고딕"/>
          <w:b w:val="0"/>
          <w:sz w:val="22"/>
        </w:rPr>
        <w:t>· NDR·CDP 표준 제안자료(스펙·포지셔닝) 재전달 가능 여부. (현재 로컬에는 EPP·aSEC 덱만 확인됨)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</w:r>
    </w:p>
    <w:p>
      <w:pPr>
        <w:spacing w:before="0" w:after="160" w:line="276" w:lineRule="auto"/>
      </w:pPr>
      <w:r>
        <w:rPr>
          <w:rFonts w:ascii="맑은고딕" w:hAnsi="맑은고딕" w:eastAsia="맑은고딕" w:cs="맑은고딕"/>
          <w:b/>
          <w:sz w:val="22"/>
        </w:rPr>
        <w:t>7. 재민 확인 전 발송금지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/>
          <w:sz w:val="22"/>
        </w:rPr>
        <w:t>재민 최종 확인 전 — 외부 발송·회신·견적 직송·CRM 쓰기 금지</w:t>
      </w:r>
    </w:p>
    <w:p>
      <w:pPr>
        <w:spacing w:before="0" w:after="120" w:line="276" w:lineRule="auto"/>
      </w:pPr>
      <w:r>
        <w:rPr>
          <w:rFonts w:ascii="맑은고딕" w:hAnsi="맑은고딕" w:eastAsia="맑은고딕" w:cs="맑은고딕"/>
          <w:b w:val="0"/>
          <w:sz w:val="22"/>
        </w:rPr>
        <w:t>본 문서는 내부 어드바이저 핸드오프입니다. (주)도연시스템즈·NVH Korea 앞으로의 견적·회신 초안 작성 및 직송은 하지 않습니다. 견적 실행은 넥시아스에 위임하며, BLRO는 범위·질문·타이밍 정리만 수행합니다. NDR·CDP 첨부 UNKNOWN 상태에서 단가·범위 확정 금지.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 w:cs="맑은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고딕" w:hAnsi="맑은고딕" w:eastAsia="맑은고딕" w:cs="맑은고딕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맑은고딕" w:hAnsi="맑은고딕" w:eastAsia="맑은고딕" w:cs="맑은고딕"/>
      <w:sz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고딕" w:hAnsi="맑은고딕" w:eastAsia="맑은고딕" w:cs="맑은고딕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맑은고딕" w:hAnsi="맑은고딕" w:eastAsia="맑은고딕" w:cs="맑은고딕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고딕" w:hAnsi="맑은고딕" w:eastAsia="맑은고딕" w:cs="맑은고딕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맑은고딕" w:hAnsi="맑은고딕" w:eastAsia="맑은고딕" w:cs="맑은고딕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맑은고딕" w:hAnsi="맑은고딕" w:eastAsia="맑은고딕" w:cs="맑은고딕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맑은고딕" w:hAnsi="맑은고딕" w:eastAsia="맑은고딕" w:cs="맑은고딕"/>
      <w:sz w:val="22"/>
    </w:rPr>
  </w:style>
  <w:style w:type="table" w:default="1" w:styleId="TableNormal">
    <w:name w:val="Normal Table"/>
    <w:uiPriority w:val="99"/>
    <w:semiHidden/>
    <w:unhideWhenUsed/>
    <w:rPr>
      <w:rFonts w:ascii="맑은고딕" w:hAnsi="맑은고딕" w:eastAsia="맑은고딕" w:cs="맑은고딕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365F91" w:themeColor="accent1" w:themeShade="BF"/>
      <w:sz w:val="2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color w:val="4F81BD" w:themeColor="accent1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고딕" w:hAnsi="맑은고딕" w:eastAsia="맑은고딕" w:cs="맑은고딕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맑은고딕" w:hAnsi="맑은고딕" w:eastAsia="맑은고딕" w:cs="맑은고딕"/>
      <w:color w:val="17365D" w:themeColor="text2" w:themeShade="BF"/>
      <w:spacing w:val="5"/>
      <w:kern w:val="28"/>
      <w:sz w:val="2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F81BD" w:themeColor="accent1"/>
      <w:spacing w:val="15"/>
      <w:sz w:val="2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맑은고딕" w:hAnsi="맑은고딕" w:eastAsia="맑은고딕" w:cs="맑은고딕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맑은고딕" w:hAnsi="맑은고딕" w:eastAsia="맑은고딕" w:cs="맑은고딕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맑은고딕" w:hAnsi="맑은고딕" w:eastAsia="맑은고딕" w:cs="맑은고딕"/>
      <w:sz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맑은고딕" w:hAnsi="맑은고딕" w:eastAsia="맑은고딕" w:cs="맑은고딕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맑은고딕" w:hAnsi="맑은고딕" w:eastAsia="맑은고딕" w:cs="맑은고딕"/>
      <w:sz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맑은고딕" w:hAnsi="맑은고딕" w:eastAsia="맑은고딕" w:cs="맑은고딕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맑은고딕" w:hAnsi="맑은고딕" w:eastAsia="맑은고딕" w:cs="맑은고딕"/>
      <w:sz w:val="22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맑은고딕" w:hAnsi="맑은고딕" w:eastAsia="맑은고딕" w:cs="맑은고딕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맑은고딕" w:hAnsi="맑은고딕" w:eastAsia="맑은고딕" w:cs="맑은고딕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맑은고딕" w:hAnsi="맑은고딕" w:eastAsia="맑은고딕" w:cs="맑은고딕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맑은고딕" w:hAnsi="맑은고딕" w:eastAsia="맑은고딕" w:cs="맑은고딕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맑은고딕" w:hAnsi="맑은고딕" w:eastAsia="맑은고딕" w:cs="맑은고딕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맑은고딕" w:hAnsi="맑은고딕" w:eastAsia="맑은고딕" w:cs="맑은고딕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맑은고딕" w:hAnsi="맑은고딕" w:eastAsia="맑은고딕" w:cs="맑은고딕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고딕" w:hAnsi="맑은고딕" w:eastAsia="맑은고딕" w:cs="맑은고딕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맑은고딕" w:hAnsi="맑은고딕" w:eastAsia="맑은고딕" w:cs="맑은고딕"/>
      <w:sz w:val="22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고딕" w:hAnsi="맑은고딕" w:eastAsia="맑은고딕" w:cs="맑은고딕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맑은고딕" w:hAnsi="맑은고딕" w:eastAsia="맑은고딕" w:cs="맑은고딕"/>
      <w:i/>
      <w:iCs/>
      <w:color w:val="000000" w:themeColor="text1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color w:val="243F60" w:themeColor="accent1" w:themeShade="7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243F60" w:themeColor="accent1" w:themeShade="7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color w:val="4F81BD" w:themeColor="accent1"/>
      <w:sz w:val="2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맑은고딕" w:hAnsi="맑은고딕" w:eastAsia="맑은고딕" w:cs="맑은고딕"/>
      <w:i/>
      <w:iCs/>
      <w:color w:val="404040" w:themeColor="text1" w:themeTint="BF"/>
      <w:sz w:val="22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고딕" w:hAnsi="맑은고딕" w:eastAsia="맑은고딕" w:cs="맑은고딕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맑은고딕" w:hAnsi="맑은고딕" w:eastAsia="맑은고딕" w:cs="맑은고딕"/>
      <w:b/>
      <w:bCs/>
      <w:sz w:val="22"/>
    </w:rPr>
  </w:style>
  <w:style w:type="character" w:styleId="Emphasis">
    <w:name w:val="Emphasis"/>
    <w:basedOn w:val="DefaultParagraphFont"/>
    <w:uiPriority w:val="20"/>
    <w:qFormat/>
    <w:rsid w:val="00FC693F"/>
    <w:rPr>
      <w:rFonts w:ascii="맑은고딕" w:hAnsi="맑은고딕" w:eastAsia="맑은고딕" w:cs="맑은고딕"/>
      <w:i/>
      <w:iCs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맑은고딕" w:hAnsi="맑은고딕" w:eastAsia="맑은고딕" w:cs="맑은고딕"/>
      <w:i/>
      <w:iCs/>
      <w:color w:val="808080" w:themeColor="text1" w:themeTint="7F"/>
      <w:sz w:val="2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맑은고딕" w:hAnsi="맑은고딕" w:eastAsia="맑은고딕" w:cs="맑은고딕"/>
      <w:b/>
      <w:bCs/>
      <w:i/>
      <w:iCs/>
      <w:color w:val="4F81BD" w:themeColor="accent1"/>
      <w:sz w:val="2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맑은고딕" w:hAnsi="맑은고딕" w:eastAsia="맑은고딕" w:cs="맑은고딕"/>
      <w:smallCaps/>
      <w:color w:val="C0504D" w:themeColor="accent2"/>
      <w:sz w:val="2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맑은고딕" w:hAnsi="맑은고딕" w:eastAsia="맑은고딕" w:cs="맑은고딕"/>
      <w:b/>
      <w:bCs/>
      <w:smallCaps/>
      <w:color w:val="C0504D" w:themeColor="accent2"/>
      <w:spacing w:val="5"/>
      <w:sz w:val="2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맑은고딕" w:hAnsi="맑은고딕" w:eastAsia="맑은고딕" w:cs="맑은고딕"/>
      <w:b/>
      <w:bCs/>
      <w:smallCaps/>
      <w:spacing w:val="5"/>
      <w:sz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맑은고딕" w:hAnsi="맑은고딕" w:eastAsia="맑은고딕" w:cs="맑은고딕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000000" w:themeColor="text1" w:themeShade="BF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365F91" w:themeColor="accent1" w:themeShade="BF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943634" w:themeColor="accent2" w:themeShade="BF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76923C" w:themeColor="accent3" w:themeShade="BF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5F497A" w:themeColor="accent4" w:themeShade="BF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31849B" w:themeColor="accent5" w:themeShade="BF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맑은고딕" w:hAnsi="맑은고딕" w:eastAsia="맑은고딕" w:cs="맑은고딕"/>
      <w:color w:val="E36C0A" w:themeColor="accent6" w:themeShade="BF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맑은고딕" w:hAnsi="맑은고딕" w:eastAsia="맑은고딕" w:cs="맑은고딕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맑은고딕" w:hAnsi="맑은고딕" w:eastAsia="맑은고딕" w:cs="맑은고딕"/>
      <w:color w:val="FFFFFF" w:themeColor="background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맑은고딕" w:hAnsi="맑은고딕" w:eastAsia="맑은고딕" w:cs="맑은고딕"/>
      <w:color w:val="000000" w:themeColor="text1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