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</w:pPr>
      <w:r>
        <w:rPr>
          <w:rFonts w:ascii="맑은고딕" w:hAnsi="맑은고딕" w:eastAsia="맑은고딕" w:cs="맑은고딕"/>
          <w:b/>
          <w:sz w:val="22"/>
        </w:rPr>
        <w:t>【재민 확인 전 발송·회신·구분안 실작성 금지】 DEC-20260923-mail2-advisor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/>
          <w:sz w:val="22"/>
        </w:rPr>
        <w:t>BLRO 어드바이저 핸드오프 — (주)세연아이넷 · GS인증 베이직 모델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문서번호: 20260923-분석전달-세연아이넷-GS인증베이직-어드바이저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작성일: 2026-09-23 (KST) ｜ 의사결정: DEC-20260923-mail2-advisor ｜ 역할: BLRO=어드바이저 (구분안 실작성·회신 보류)</w:t>
      </w:r>
    </w:p>
    <w:p>
      <w:pPr>
        <w:spacing w:before="0" w:after="24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용도: 재민 내부 전달. Drive 업로드·메일 발송·CRM 프로젝트 신규 생성 없음.</w:t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1. 원문 요약 (FACT)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수신: 2026-09-23 14:23:09 KST ｜ From: 팀장 한건우 &lt;pandino@daum.net&gt; (서명: 대표이사｜휴플러스아이엔씨) ｜ To: jm.park@blro.co.kr ｜ CC: oysun@syinet.com ((주)세연아이넷) ｜ hasAttachments=true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제목: [재송부] [(주)세연아이넷] GS인증 비용 절감 및 조달 등록용 베이직 모델 기능 정리 요청의 건(대표 한건우)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본문 요지: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풀버전 GS인증 시 시험비 2,500만 원 이상(VAT 별도) → 부담. (메일 원문 FACT; 출처 없는 다른 금액 기재 금지)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조달 등록용 베이직 모델(기능 경량화)로 인증 방향 조정.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추진: (1) 필수 핵심 기능만으로 범위 축소 (2) 매뉴얼 개편 (3) 제외 기능은 폐기 아님 → 추후 커스터마이징/선택 옵션.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요청: 처음에 보내준 제품 기능 리스트를 참고해 「이번 인증 베이직(핵심)」 vs 「추후 옵션」으로 정리·전달.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이후 한건우 측: 매뉴얼 수정 + 시험기관(KTR 등)과 시험비·일정 네고.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의사결정(DEC-20260923-mail2-advisor): BLRO=어드바이저. 구분안 실작성·회신은 추가지시 전 보류. 세연 CRM 프로젝트 신규는 지금은 만들지 않음.</w:t>
      </w:r>
    </w:p>
    <w:p>
      <w:pPr>
        <w:spacing w:before="0" w:after="24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직함 주의: From 표시 「팀장」과 서명 「대표이사」혼재 → 대외 호칭은 From/서명 병기 주의.</w:t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2. 첨부 요지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재송부 zip 내용 확인 완료 (FACT):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SANFOR HCI 기능리스트_v5.xlsx — 시트명 `Sanfor HCI 기능 리스트`, 기능 87항.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250829_Sangfor_HCI_사용자가이드_V3.docx (~8MB) — 사용자 매뉴얼 원본 후보.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기능리스트 대분류 구조 (FACT, 합계 87):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컴퓨트 기술: 33항 — 중분류 예: 하이퍼바이저 / CPU·메모리 가상화 / 리소스 / PCIe / 결함 / Data Protection / vm 관리·구성 / Migration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스토리지 기술: 29항 — 물리 5 · 가상화 24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네트워크 기술: 17항 — 가상화 4 · 관리 13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모니터링: 8항 — 관리 8</w:t>
      </w:r>
    </w:p>
    <w:p>
      <w:pPr>
        <w:spacing w:before="0" w:after="240" w:line="276" w:lineRule="auto"/>
      </w:pPr>
      <w:r>
        <w:rPr>
          <w:rFonts w:ascii="맑은고딕" w:hAnsi="맑은고딕" w:eastAsia="맑은고딕" w:cs="맑은고딕"/>
          <w:b/>
          <w:sz w:val="22"/>
        </w:rPr>
        <w:t>한건우 요청(베이직 vs 옵션)의 근거 자료는 이 기능리스트입니다. 본 핸드오프에는 대분류 구조와 구분 기준 질문만 담으며, 87행 전수 구분안 매트릭스는 작성하지 않습니다.</w:t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3. 해석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요청 산출물 형태(해제 시): 기능 매트릭스(기능명 / 베이직포함 / 옵션 / 비고). 지금은 DEC상 실작성 보류.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첨부 실체는 Sangfor HCI 기능 전수 리스트 + 사용자 가이드. 메일 본문에는 제품명이 없고, GS인증 대상 SW와 Sangfor HCI 기능리스트의 관계는 UNKNOWN.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「처음에 보낸 리스트」가 이번 v5인지 여부도 UNKNOWN → 질의 후보.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회신 대상(해제 시): 한건우 + CC (주)세연아이넷(oysun). 현재는 회신 보류.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BLRO는 어드바이저만. 구분안 실작성·회신은 재민 추가지시 전까지 하지 않음.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고객·상대 전달면에 불필요한 파트너명(넥시아스·이루인포 등) 비노출.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4. UNKNOWN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메일 본문에 제품명이 없고 첨부는 Sangfor HCI 기능리스트인데, GS인증 대상 SW와의 관계.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「처음 보낸 리스트」가 이번 기능리스트 v5인지 여부·원본 송신일.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KTR(또는 시험기관) 현재 단계·희망 일정.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CRM 프로젝트 유무(신규 생성은 DEC상 보류).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5. 어드바이저 관점 전달 포인트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근거 자료는 확보됨(기능 87항·대분류 4·가이드). 그러나 BLRO=어드바이저 → 전수 구분안 실작성·회신 보류(DEC).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해제(재민 지시) 시에도 87행을 일방 채우기보다, 상대가 답한 구분 기준(조달 최소셋·시험 범위·매뉴얼 잔류·옵션 과금)으로 매트릭스를 채우는 편이 안전.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비용 맥락: 풀버전 시험비 2,500만+ VAT 별도(메일 FACT) → 베이직으로 조달 등록 진입이 목적인 건으로 해석.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후속은 상대측(매뉴얼 수정·KTR 네고). BLRO는 구분 기준 자문·질문 정리에 한정.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CRM: 세연 프로젝트 신규 생성하지 않음(DEC).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6. 상대(한건우·(주)세연아이넷)에 넘길 질문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※ 회신 보류 상태입니다. 아래는 재민 승인 후 질의할 후보 목록입니다. (전수 구분안이 아닌 구분 기준 질문)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조달 등록용 베이직의 「필수 최소셋」 기준은 무엇인지(조달 카탈로그·필수 요건 문서 유무).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시험기관(KTR 등)이 실제로 보는 시험 범위·항목은 어디까지인지. 현재 인증 단계·희망 일정.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사용자 가이드(V3)에 남길 기능 / 빼야 할 기능의 사전 선호가 있는지.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제외 기능을 커스터마이징·선택 옵션으로 둘 때 과금·라이선스 모델은 어떻게 想定하는지.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대상 제품명(정식명)과, GS인증 대상 SW와 첨부 Sangfor HCI 기능리스트의 관계.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「처음에 보내준 제품 기능 리스트」가 이번 SANFOR HCI 기능리스트_v5.xlsx인지 확인.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회신·구분안 전달 희망 기한.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7. 재민 확인 전 발송금지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/>
          <w:sz w:val="22"/>
        </w:rPr>
        <w:t>재민 최종 확인 전 — 외부 발송·회신·구분안 실작성·CRM 신규 금지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본 문서는 내부 어드바이저 핸드오프입니다. 베이직/옵션 구분안 실작성과 한건우·(주)세연아이넷 회신은 재민 추가지시 전까지 보류합니다. 제품명·GS 대상 SW 관계 UNKNOWN 상태에서 87행 전수 구분안을 확정 산출물로 만들지 않습니다.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 w:cs="맑은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고딕" w:hAnsi="맑은고딕" w:eastAsia="맑은고딕" w:cs="맑은고딕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맑은고딕" w:hAnsi="맑은고딕" w:eastAsia="맑은고딕" w:cs="맑은고딕"/>
      <w:sz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고딕" w:hAnsi="맑은고딕" w:eastAsia="맑은고딕" w:cs="맑은고딕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맑은고딕" w:hAnsi="맑은고딕" w:eastAsia="맑은고딕" w:cs="맑은고딕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맑은고딕" w:hAnsi="맑은고딕" w:eastAsia="맑은고딕" w:cs="맑은고딕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맑은고딕" w:hAnsi="맑은고딕" w:eastAsia="맑은고딕" w:cs="맑은고딕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맑은고딕" w:hAnsi="맑은고딕" w:eastAsia="맑은고딕" w:cs="맑은고딕"/>
      <w:sz w:val="22"/>
    </w:rPr>
  </w:style>
  <w:style w:type="table" w:default="1" w:styleId="TableNormal">
    <w:name w:val="Normal Table"/>
    <w:uiPriority w:val="99"/>
    <w:semiHidden/>
    <w:unhideWhenUsed/>
    <w:rPr>
      <w:rFonts w:ascii="맑은고딕" w:hAnsi="맑은고딕" w:eastAsia="맑은고딕" w:cs="맑은고딕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365F91" w:themeColor="accent1" w:themeShade="BF"/>
      <w:sz w:val="2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고딕" w:hAnsi="맑은고딕" w:eastAsia="맑은고딕" w:cs="맑은고딕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맑은고딕" w:hAnsi="맑은고딕" w:eastAsia="맑은고딕" w:cs="맑은고딕"/>
      <w:color w:val="17365D" w:themeColor="text2" w:themeShade="BF"/>
      <w:spacing w:val="5"/>
      <w:kern w:val="28"/>
      <w:sz w:val="2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F81BD" w:themeColor="accent1"/>
      <w:spacing w:val="15"/>
      <w:sz w:val="2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맑은고딕" w:hAnsi="맑은고딕" w:eastAsia="맑은고딕" w:cs="맑은고딕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맑은고딕" w:hAnsi="맑은고딕" w:eastAsia="맑은고딕" w:cs="맑은고딕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맑은고딕" w:hAnsi="맑은고딕" w:eastAsia="맑은고딕" w:cs="맑은고딕"/>
      <w:sz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맑은고딕" w:hAnsi="맑은고딕" w:eastAsia="맑은고딕" w:cs="맑은고딕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맑은고딕" w:hAnsi="맑은고딕" w:eastAsia="맑은고딕" w:cs="맑은고딕"/>
      <w:sz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맑은고딕" w:hAnsi="맑은고딕" w:eastAsia="맑은고딕" w:cs="맑은고딕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맑은고딕" w:hAnsi="맑은고딕" w:eastAsia="맑은고딕" w:cs="맑은고딕"/>
      <w:sz w:val="22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맑은고딕" w:hAnsi="맑은고딕" w:eastAsia="맑은고딕" w:cs="맑은고딕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맑은고딕" w:hAnsi="맑은고딕" w:eastAsia="맑은고딕" w:cs="맑은고딕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맑은고딕" w:hAnsi="맑은고딕" w:eastAsia="맑은고딕" w:cs="맑은고딕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맑은고딕" w:hAnsi="맑은고딕" w:eastAsia="맑은고딕" w:cs="맑은고딕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맑은고딕" w:hAnsi="맑은고딕" w:eastAsia="맑은고딕" w:cs="맑은고딕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맑은고딕" w:hAnsi="맑은고딕" w:eastAsia="맑은고딕" w:cs="맑은고딕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고딕" w:hAnsi="맑은고딕" w:eastAsia="맑은고딕" w:cs="맑은고딕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맑은고딕" w:hAnsi="맑은고딕" w:eastAsia="맑은고딕" w:cs="맑은고딕"/>
      <w:sz w:val="22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고딕" w:hAnsi="맑은고딕" w:eastAsia="맑은고딕" w:cs="맑은고딕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맑은고딕" w:hAnsi="맑은고딕" w:eastAsia="맑은고딕" w:cs="맑은고딕"/>
      <w:i/>
      <w:iCs/>
      <w:color w:val="000000" w:themeColor="text1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color w:val="243F60" w:themeColor="accent1" w:themeShade="7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243F6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color w:val="4F81BD" w:themeColor="accent1"/>
      <w:sz w:val="2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고딕" w:hAnsi="맑은고딕" w:eastAsia="맑은고딕" w:cs="맑은고딕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맑은고딕" w:hAnsi="맑은고딕" w:eastAsia="맑은고딕" w:cs="맑은고딕"/>
      <w:b/>
      <w:bCs/>
      <w:sz w:val="22"/>
    </w:rPr>
  </w:style>
  <w:style w:type="character" w:styleId="Emphasis">
    <w:name w:val="Emphasis"/>
    <w:basedOn w:val="DefaultParagraphFont"/>
    <w:uiPriority w:val="20"/>
    <w:qFormat/>
    <w:rsid w:val="00FC693F"/>
    <w:rPr>
      <w:rFonts w:ascii="맑은고딕" w:hAnsi="맑은고딕" w:eastAsia="맑은고딕" w:cs="맑은고딕"/>
      <w:i/>
      <w:iCs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맑은고딕" w:hAnsi="맑은고딕" w:eastAsia="맑은고딕" w:cs="맑은고딕"/>
      <w:i/>
      <w:iCs/>
      <w:color w:val="808080" w:themeColor="text1" w:themeTint="7F"/>
      <w:sz w:val="2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맑은고딕" w:hAnsi="맑은고딕" w:eastAsia="맑은고딕" w:cs="맑은고딕"/>
      <w:smallCaps/>
      <w:color w:val="C0504D" w:themeColor="accent2"/>
      <w:sz w:val="2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맑은고딕" w:hAnsi="맑은고딕" w:eastAsia="맑은고딕" w:cs="맑은고딕"/>
      <w:b/>
      <w:bCs/>
      <w:smallCaps/>
      <w:color w:val="C0504D" w:themeColor="accent2"/>
      <w:spacing w:val="5"/>
      <w:sz w:val="2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맑은고딕" w:hAnsi="맑은고딕" w:eastAsia="맑은고딕" w:cs="맑은고딕"/>
      <w:b/>
      <w:bCs/>
      <w:smallCaps/>
      <w:spacing w:val="5"/>
      <w:sz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맑은고딕" w:hAnsi="맑은고딕" w:eastAsia="맑은고딕" w:cs="맑은고딕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000000" w:themeColor="text1" w:themeShade="BF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365F91" w:themeColor="accent1" w:themeShade="BF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943634" w:themeColor="accent2" w:themeShade="BF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76923C" w:themeColor="accent3" w:themeShade="BF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5F497A" w:themeColor="accent4" w:themeShade="BF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31849B" w:themeColor="accent5" w:themeShade="BF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E36C0A" w:themeColor="accent6" w:themeShade="BF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