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Text"/>
      </w:pPr>
      <w:r>
        <w:t xml:space="preserve">Sangfor 제품 종합 설정 · 운영 메뉴얼</w:t>
      </w:r>
    </w:p>
    <w:p>
      <w:pPr>
        <w:pStyle w:val="SubtitleText"/>
      </w:pPr>
      <w:r>
        <w:t xml:space="preserve">현대차 감사 체크리스트 기반 고객 제공용 종합 가이드</w:t>
      </w:r>
    </w:p>
    <w:p>
      <w:pPr>
        <w:pStyle w:val="MetaText"/>
      </w:pPr>
      <w:r>
        <w:t xml:space="preserve">문서 기준 계획 ID: excel_plan_1780982395859_3d2fdb</w:t>
      </w:r>
    </w:p>
    <w:p>
      <w:pPr>
        <w:pStyle w:val="BodyText"/>
      </w:pPr>
      <w:r>
        <w:t xml:space="preserve">본 문서는 ITAC 감사 체크리스트를 기반으로 Sangfor 제품의 초기 설정, 상세 설정, 운영 절차, 보안 정책, 백업/복구, 트러블슈팅을 종합적으로 안내한다.</w:t>
      </w:r>
    </w:p>
    <w:p>
      <w:pPr>
        <w:pStyle w:val="Heading1"/>
      </w:pPr>
      <w:r>
        <w:t xml:space="preserve">1. 요약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200"/>
        <w:gridCol w:w="1200"/>
        <w:gridCol w:w="5960"/>
      </w:tblGrid>
      <w:tr>
        <w:tc>
          <w:tcPr>
            <w:tcW w:type="dxa" w:w="2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수량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항목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 체크리스트 전체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dry-run 대상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Endpoint Secure, IAG, NDR 콘솔 설정 확인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수동/외부 증적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Sangfor 콘솔 외 별도 증적 필요</w:t>
            </w:r>
          </w:p>
        </w:tc>
      </w:tr>
    </w:tbl>
    <w:p>
      <w:pPr>
        <w:pStyle w:val="Heading1"/>
      </w:pPr>
      <w:r>
        <w:t xml:space="preserve">2. 실행 원칙</w:t>
      </w:r>
    </w:p>
    <w:p>
      <w:pPr>
        <w:pStyle w:val="Bullet"/>
        <w:numPr>
          <w:ilvl w:val="0"/>
          <w:numId w:val="1"/>
        </w:numPr>
      </w:pPr>
      <w:r>
        <w:t xml:space="preserve">작업 범위는 계획 생성, 콘솔 메뉴 이동, 현재 설정 확인, 스크린샷/증적 수집으로 제한한다.</w:t>
      </w:r>
    </w:p>
    <w:p>
      <w:pPr>
        <w:pStyle w:val="Bullet"/>
        <w:numPr>
          <w:ilvl w:val="0"/>
          <w:numId w:val="1"/>
        </w:numPr>
      </w:pPr>
      <w:r>
        <w:t xml:space="preserve">Save, Apply, Delete는 dry-run 단계에서 실행하지 않는다.</w:t>
      </w:r>
    </w:p>
    <w:p>
      <w:pPr>
        <w:pStyle w:val="Bullet"/>
        <w:numPr>
          <w:ilvl w:val="0"/>
          <w:numId w:val="1"/>
        </w:numPr>
      </w:pPr>
      <w:r>
        <w:t xml:space="preserve">로컬 Chrome은 CDP 포트로 실행되어야 한다.</w:t>
      </w:r>
    </w:p>
    <w:p>
      <w:pPr>
        <w:pStyle w:val="Bullet"/>
        <w:numPr>
          <w:ilvl w:val="0"/>
          <w:numId w:val="1"/>
        </w:numPr>
      </w:pPr>
      <w:r>
        <w:t xml:space="preserve">수동/외부 증적 대상은 별도 시스템 운영 증적으로 확인한다.</w:t>
      </w:r>
    </w:p>
    <w:p>
      <w:pPr>
        <w:pStyle w:val="Heading1"/>
      </w:pPr>
      <w:r>
        <w:t xml:space="preserve">3. 제품별 설정 계획</w:t>
      </w:r>
    </w:p>
    <w:p>
      <w:pPr>
        <w:pStyle w:val="Heading2"/>
      </w:pPr>
      <w:r>
        <w:t xml:space="preserve">Endpoint Secure (7건)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2000"/>
        <w:gridCol w:w="3200"/>
        <w:gridCol w:w="32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Gap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REQ-4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Defense &gt; Malware Scan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Anti-malware scan and protection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regular engine update verification procedure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REQ-5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Defense &gt; Malware Scan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Anti-malware scan and protection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Scan scheduled at lunch daily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REQ-6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Defense &gt; Malware Scan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Anti-malware scan and protection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explicit gap text; verify checklist result and current console state.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REQ-8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Policies &gt; App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Software/application control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application control or monitoring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REQ-9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Policies &gt; App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Software/application control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application control or monitoring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REQ-10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Policies &gt; General Policies &gt; Endpoint Control &gt; USB Device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USB/device control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device control or monitoring (Only automatic scans)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REQ-11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Policies &gt; General Policies &gt; Endpoint Control &gt; USB Device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USB/device control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device control or monitoring (Only automatic scans)</w:t>
            </w:r>
          </w:p>
        </w:tc>
      </w:tr>
    </w:tbl>
    <w:p>
      <w:pPr>
        <w:pStyle w:val="Heading2"/>
      </w:pPr>
      <w:r>
        <w:t xml:space="preserve">IAG (3건)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2000"/>
        <w:gridCol w:w="3200"/>
        <w:gridCol w:w="32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Gap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REQ-14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NAC implemented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REQ-15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NAC implemented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REQ-16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Logs &gt; Internet Access Logs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 retention and audit validation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NAC implemented</w:t>
            </w:r>
          </w:p>
        </w:tc>
      </w:tr>
    </w:tbl>
    <w:p>
      <w:pPr>
        <w:pStyle w:val="Heading2"/>
      </w:pPr>
      <w:r>
        <w:t xml:space="preserve">NDR / Cyber Command (2건)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2000"/>
        <w:gridCol w:w="3200"/>
        <w:gridCol w:w="32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Gap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REQ-17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SIEM implemented but Auvik collects network logs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REQ-18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32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regular monitoring - only by events. No events are assigned so appears as no </w:t>
            </w:r>
          </w:p>
        </w:tc>
      </w:tr>
    </w:tbl>
    <w:p>
      <w:pPr>
        <w:pStyle w:val="Heading1"/>
      </w:pPr>
      <w:r>
        <w:t xml:space="preserve">4. 수동/외부 증적 수집 계획</w:t>
      </w:r>
    </w:p>
    <w:p>
      <w:pPr>
        <w:pStyle w:val="BodyText"/>
      </w:pPr>
      <w:r>
        <w:t xml:space="preserve">다음 항목은 Sangfor 제품 콘솔에서 직접 확인하기 어렵다. 고객 또는 해당 솔루션 운영 담당자로부터 별도 증적을 수집해야 한다.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600"/>
        <w:gridCol w:w="44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조치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Using SPAMOUT email filtering system, but controlled by HQ. No control over the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Logs retained for less than 1 year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Using Crowdstrike and Alyac
                <w:br/>
                Need additional evidence to see the list of assets a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files are retained, only logs are searchable through crowdstrike console. Als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DLP implemented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No DLP implemented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REQ-19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No network security logs are actively monitored
                <w:br/>
                Crowdstrike is monitored by Pack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Only alert from Crowdstrike is sent out to ITAC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Outdated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Biweekly backups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done monthly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REQ-24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Stored on offline servers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Backups tested monthly, but recovery not tested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REQ-28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Only firewall config is backed up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제품별 초기 설정 상세</w:t>
      </w:r>
    </w:p>
    <w:p>
      <w:pPr>
        <w:pStyle w:val="Heading2"/>
      </w:pPr>
      <w:r>
        <w:t xml:space="preserve">5a. Endpoint Secure (EPP) 초기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4200"/>
        <w:gridCol w:w="2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경로/방법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 콘솔 접속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HTTPS로 관리 콘솔에 접속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https://[EPP_IP]:443/hci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관리자 계정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기본 admin 계정으로 로그인 후 비밀번호 변경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Account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인터페이스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 네트워크 인터페이스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Network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시간/NTP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NTP 서버 연결로 시간 동기화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Time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배포 URL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설치 파일 다운로드 URL 확인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Agent Deployment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정책 동기화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에이전트가 관리 서버와 동기화되도록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Agent Deployment &gt; Sync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설정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외부 syslog 서버로 로그 전송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Logs &gt; Data Sync &gt; Syslog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0" name="Image 0"/>
            <a:graphic>
              <a:graphicData uri="http://schemas.openxmlformats.org/drawingml/2006/picture">
                <pic:pic>
                  <pic:nvPicPr>
                    <pic:cNvPr id="0" name="Image 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5-1. EPP 관리 콘솔 대시보드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5-2. EPP 에이전트 배포 화면</w:t>
      </w:r>
    </w:p>
    <w:p>
      <w:pPr>
        <w:pStyle w:val="Heading2"/>
      </w:pPr>
      <w:r>
        <w:t xml:space="preserve">5b. IAG 초기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4200"/>
        <w:gridCol w:w="2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경로/방법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 콘솔 접속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HTTPS로 관리 콘솔에 접속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https://[IAG_IP]:443/hci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관리자 계정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기본 admin 계정으로 로그인 후 비밀번호 변경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Account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인증 서버 연결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ADIUS/LDAP 인증 서버 연결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Authentication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시간/NTP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NTP 서버 연결로 시간 동기화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Time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영역 설정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LAN/WAN/DMZ 네트워크 영역 정의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Network &gt; Zones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초기화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기본 정책 템플릿 적용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Initial Setup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설정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외부 syslog 서버로 로그 전송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Syslog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2" name="Image 2"/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5-3. IAG 관리 콘솔 홈 화면</w:t>
      </w:r>
    </w:p>
    <w:p>
      <w:pPr>
        <w:pStyle w:val="Heading2"/>
      </w:pPr>
      <w:r>
        <w:t xml:space="preserve">5c. Cyber Command 초기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4200"/>
        <w:gridCol w:w="2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항목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경로/방법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 콘솔 접속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HTTPS로 관리 콘솔에 접속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https://[CC_IP]:443/hci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관리자 계정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기본 admin 계정으로 로그인 후 비밀번호 변경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Account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수집 시작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이벤트 소스(에이전트/네트워크) 연결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Detection &gt; Logs &gt; Sources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대시보드 구성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주요 모니터링 위젯 추가/구성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Dashboard &gt; Customize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채널 설정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이메일/SMS/Syslog 알림 채널 설정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Notification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시간/NTP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NTP 서버 연결로 시간 동기화</w:t>
            </w:r>
          </w:p>
        </w:tc>
        <w:tc>
          <w:tcPr>
            <w:tcW w:type="dxa" w:w="2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System &gt; General &gt; Time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3" name="Image 3"/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5-4. CC 대시보드</w:t>
      </w:r>
    </w:p>
    <w:p>
      <w:r>
        <w:br w:type="page"/>
      </w:r>
    </w:p>
    <w:p>
      <w:pPr>
        <w:pStyle w:val="Heading1"/>
      </w:pPr>
      <w:r>
        <w:t xml:space="preserve">6. 제품별 상세 설정 가이드</w:t>
      </w:r>
    </w:p>
    <w:p>
      <w:pPr>
        <w:pStyle w:val="Heading2"/>
      </w:pPr>
      <w:r>
        <w:t xml:space="preserve">6a. EPP 상세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영역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항목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권장값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App Control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블랙리스트 규칙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승인되지 않은 애플리케이션 차단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사용자 정의 규칙 + 카테고리 기반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App Control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화이트리스트 규칙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승인된 애플리케이션 허용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회사 표준 앱 목록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 Scan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실시간 검사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파일 접근 시 실시간 악성코드 검사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드라이브 대상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 Scan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예약 검사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정기적 전체 검사 스케줄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1회, 비업무 시간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Behavior Control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행위 기반 탐지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ransomware/변조 행위 탐지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모든 프로세스 모니터링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Device Control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USB/저장매체 제어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외부 저장매체 접근 제한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읽기 전용 허용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전송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이벤트 로그 외부 전송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서버로 전송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4" name="Image 4"/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6-1. EPP App Control 설정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5" name="Image 5"/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6-2. EPP Malware Scan 설정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6" name="Image 6"/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6-3. EPP Device Control 설정</w:t>
      </w:r>
    </w:p>
    <w:p>
      <w:pPr>
        <w:pStyle w:val="Heading2"/>
      </w:pPr>
      <w:r>
        <w:t xml:space="preserve">6b. IAG 상세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영역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항목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권장값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DLP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파일 유형별 탐지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민감 파일 유형(문서, 스프레드시트) 탐지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문서/CSV/XLSX 대상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DLP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설정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탐지 시 관리자 알림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이메일 + 대시보드 알림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URL Filtering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카테고리별 차단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악성/피싱/도박 사이트 차단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글로벌 카테고리 DB 적용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URL Filtering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사용자 그룹별 적용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부서별 차단 정책 차등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관리자 그룹 예외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NAC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접근 제어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승인되지 않은 장치 네트워크 차단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인증된 장치만 허용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인증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ADIUS/LDAP 연결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사용자 인증 서버 연동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기존 LDAP 서버 연동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Activity Audit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보존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인터넷 사용 로그 보존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최소 1년 보존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7" name="Image 7"/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6-4. IAG DLP 정책 설정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8" name="Image 8"/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6-5. IAG NAC 접근 정책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9" name="Image 9"/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6-6. IAG 엔드포인트 인증 설정</w:t>
      </w:r>
    </w:p>
    <w:p>
      <w:pPr>
        <w:pStyle w:val="Heading2"/>
      </w:pPr>
      <w:r>
        <w:t xml:space="preserve">6c. CC 상세 설정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 영역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항목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권장값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위협 탐지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위협 유형별 대응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랜섬웨어/스텔스 침입/데이터 유출 대응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중요도별 자동 대응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UEBA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이상 탐지 설정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사용자/엔드포인트 비정상 행위 탐지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학습 기반 이상 탐지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수집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이벤트 소스 연결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방화벽/IPS/서버 로그 수집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이벤트 소스 연결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수집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필터링 규칙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중요 로그 선별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INFO 이상 로그 수집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SOAR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자동 대응 플레이북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위협 탐지 시 자동 대응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격리/차단/알림 자동화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채널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이메일/SMS/Syslog 알림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관리팀 이메일 + SMS</w:t>
            </w:r>
          </w:p>
        </w:tc>
      </w:tr>
      <w:tr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임계값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발생 기준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중요도: High 이상 즉시 알림</w:t>
            </w:r>
          </w:p>
        </w:tc>
      </w:tr>
    </w:tbl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10" name="Image 10"/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6-7. CC 위협 탐지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11" name="Image 11"/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6-8. CC UEBA 이상 탐지</w:t>
      </w:r>
    </w:p>
    <w:p>
      <w:pPr>
        <w:pStyle w:val="BodyText"/>
        <w:jc w:val="center"/>
      </w:pPr>
      <w:r>
        <w:drawing>
          <wp:inline distT="0" distB="0" distL="0" distR="0">
            <wp:extent cx="5486400" cy="3474720"/>
            <wp:docPr id="12" name="Image 12"/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rPr>
          <w:i/>
          <w:color w:val="555555"/>
          <w:sz w:val="18"/>
        </w:rPr>
        <w:t xml:space="preserve">그림 6-9. CC SOAR 자동 대응</w:t>
      </w:r>
    </w:p>
    <w:p>
      <w:r>
        <w:br w:type="page"/>
      </w:r>
    </w:p>
    <w:p>
      <w:pPr>
        <w:pStyle w:val="Heading1"/>
      </w:pPr>
      <w:r>
        <w:t xml:space="preserve">7. 운영 절차 상세</w:t>
      </w:r>
    </w:p>
    <w:p>
      <w:pPr>
        <w:pStyle w:val="Heading2"/>
      </w:pPr>
      <w:r>
        <w:t xml:space="preserve">7a. 일일 모니터링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760"/>
        <w:gridCol w:w="19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시간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대시보드 확인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EPP/IAG/CC 대시보드에서 주요 지표 확인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검토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야간 발생 알림 확인 및 조치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09:30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리뷰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중요 보안 이벤트 로그 검토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점검 보고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일일 점검 결과 관리자 보고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마감 확인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일일 운영 마감, 이전 인수인계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</w:tbl>
    <w:p>
      <w:pPr>
        <w:pStyle w:val="Heading2"/>
      </w:pPr>
      <w:r>
        <w:t xml:space="preserve">7b. 주간 점검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760"/>
        <w:gridCol w:w="19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요일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업데이트 확인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제품 업데이트/패치 확인 및 적용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화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검증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설정/데이터 백업 유효성 확인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수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리뷰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정책 변경 이력 검토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목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로그 트렌드 분석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금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리포트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운영 리포트 작성/보고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</w:tbl>
    <w:p>
      <w:pPr>
        <w:pStyle w:val="Heading2"/>
      </w:pPr>
      <w:r>
        <w:t xml:space="preserve">7c. 월간 운영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760"/>
        <w:gridCol w:w="19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주차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성능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CPU/메모리/디스크 사용량 분석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감사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접근 권한/정책 변경 감사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복원 테스트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데이터 복원 테스트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4주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월간 리포트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월간 운영 리포트 작성/보고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보안 정책 관리</w:t>
      </w:r>
    </w:p>
    <w:p>
      <w:pPr>
        <w:pStyle w:val="Heading2"/>
      </w:pPr>
      <w:r>
        <w:t xml:space="preserve">8a. 접근 제어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3000"/>
        <w:gridCol w:w="2560"/>
        <w:gridCol w:w="2000"/>
      </w:tblGrid>
      <w:tr>
        <w:tc>
          <w:tcPr>
            <w:tcW w:type="dxa" w:w="18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권한 레벨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허용 작업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제한 작업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대상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최고 관리자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모든 설정 변경, 계정 관리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없음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팀장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관리자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정책 변경, 로그 조회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계정 삭제, 시스템 설정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담당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운영 담당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조회, 리포트 생성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변경, 계정 관리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감사자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조회, 리포트 조회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설정 변경 불가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감사팀</w:t>
            </w:r>
          </w:p>
        </w:tc>
      </w:tr>
    </w:tbl>
    <w:p>
      <w:pPr>
        <w:pStyle w:val="Heading2"/>
      </w:pPr>
      <w:r>
        <w:t xml:space="preserve">8b. 감사 로그</w:t>
      </w:r>
    </w:p>
    <w:p>
      <w:pPr>
        <w:pStyle w:val="Bullet"/>
        <w:numPr>
          <w:ilvl w:val="0"/>
          <w:numId w:val="1"/>
        </w:numPr>
      </w:pPr>
      <w:r>
        <w:t xml:space="preserve">보존 기간: 최소 1년 (법적 요구사항 충족)</w:t>
      </w:r>
    </w:p>
    <w:p>
      <w:pPr>
        <w:pStyle w:val="Bullet"/>
        <w:numPr>
          <w:ilvl w:val="0"/>
          <w:numId w:val="1"/>
        </w:numPr>
      </w:pPr>
      <w:r>
        <w:t xml:space="preserve">로그 유형: 접근 로그, 정책 변경 로그, 보안 이벤트 로그</w:t>
      </w:r>
    </w:p>
    <w:p>
      <w:pPr>
        <w:pStyle w:val="Bullet"/>
        <w:numPr>
          <w:ilvl w:val="0"/>
          <w:numId w:val="1"/>
        </w:numPr>
      </w:pPr>
      <w:r>
        <w:t xml:space="preserve">백업: 주 1회 syslog 서버로 백업</w:t>
      </w:r>
    </w:p>
    <w:p>
      <w:pPr>
        <w:pStyle w:val="Bullet"/>
        <w:numPr>
          <w:ilvl w:val="0"/>
          <w:numId w:val="1"/>
        </w:numPr>
      </w:pPr>
      <w:r>
        <w:t xml:space="preserve">검증: 월 1회 로그 무결성 검증</w:t>
      </w:r>
    </w:p>
    <w:p>
      <w:pPr>
        <w:pStyle w:val="Heading2"/>
      </w:pPr>
      <w:r>
        <w:t xml:space="preserve">8c. 정책 변경 관리</w:t>
      </w:r>
    </w:p>
    <w:p>
      <w:pPr>
        <w:pStyle w:val="Bullet"/>
        <w:numPr>
          <w:ilvl w:val="0"/>
          <w:numId w:val="1"/>
        </w:numPr>
      </w:pPr>
      <w:r>
        <w:t xml:space="preserve">변경 요청 → 승인 → 적용 → 검증 → 문서화</w:t>
      </w:r>
    </w:p>
    <w:p>
      <w:pPr>
        <w:pStyle w:val="Bullet"/>
        <w:numPr>
          <w:ilvl w:val="0"/>
          <w:numId w:val="1"/>
        </w:numPr>
      </w:pPr>
      <w:r>
        <w:t xml:space="preserve">긴급 변경: 사후 승인 가능하나 24시간 내 보고</w:t>
      </w:r>
    </w:p>
    <w:p>
      <w:pPr>
        <w:pStyle w:val="Bullet"/>
        <w:numPr>
          <w:ilvl w:val="0"/>
          <w:numId w:val="1"/>
        </w:numPr>
      </w:pPr>
      <w:r>
        <w:t xml:space="preserve">변경 이력: 모든 정책 변경은 로그에 기록</w:t>
      </w:r>
    </w:p>
    <w:p>
      <w:r>
        <w:br w:type="page"/>
      </w:r>
    </w:p>
    <w:p>
      <w:pPr>
        <w:pStyle w:val="Heading1"/>
      </w:pPr>
      <w:r>
        <w:t xml:space="preserve">9. 백업 및 복구</w:t>
      </w:r>
    </w:p>
    <w:p>
      <w:pPr>
        <w:pStyle w:val="Heading2"/>
      </w:pPr>
      <w:r>
        <w:t xml:space="preserve">9a. 설정 백업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백업 항목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백업 주기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보존 기간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설정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3개월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설정 내보내기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정책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변경 시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영구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버전 관리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계정 정보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 1회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1년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외부 저장소 백업</w:t>
            </w:r>
          </w:p>
        </w:tc>
      </w:tr>
    </w:tbl>
    <w:p>
      <w:pPr>
        <w:pStyle w:val="Heading2"/>
      </w:pPr>
      <w:r>
        <w:t xml:space="preserve">9b. 데이터 백업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백업 항목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백업 주기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보존 기간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로그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 1회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1년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백업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 로그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 1회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1년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백업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이벤트 데이터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6개월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DB 덤프</w:t>
            </w:r>
          </w:p>
        </w:tc>
      </w:tr>
    </w:tbl>
    <w:p>
      <w:pPr>
        <w:pStyle w:val="Heading2"/>
      </w:pPr>
      <w:r>
        <w:t xml:space="preserve">9c. 복구 절차</w:t>
      </w:r>
    </w:p>
    <w:p>
      <w:pPr>
        <w:pStyle w:val="Bullet"/>
        <w:numPr>
          <w:ilvl w:val="0"/>
          <w:numId w:val="1"/>
        </w:numPr>
      </w:pPr>
      <w:r>
        <w:t xml:space="preserve">1단계: 장애 식별 및 영향 범위 파악</w:t>
      </w:r>
    </w:p>
    <w:p>
      <w:pPr>
        <w:pStyle w:val="Bullet"/>
        <w:numPr>
          <w:ilvl w:val="0"/>
          <w:numId w:val="1"/>
        </w:numPr>
      </w:pPr>
      <w:r>
        <w:t xml:space="preserve">2단계: 백업 데이터 확인 및 복원 가능성 검증</w:t>
      </w:r>
    </w:p>
    <w:p>
      <w:pPr>
        <w:pStyle w:val="Bullet"/>
        <w:numPr>
          <w:ilvl w:val="0"/>
          <w:numId w:val="1"/>
        </w:numPr>
      </w:pPr>
      <w:r>
        <w:t xml:space="preserve">3단계: 설정 복원 (백업 설정 적용)</w:t>
      </w:r>
    </w:p>
    <w:p>
      <w:pPr>
        <w:pStyle w:val="Bullet"/>
        <w:numPr>
          <w:ilvl w:val="0"/>
          <w:numId w:val="1"/>
        </w:numPr>
      </w:pPr>
      <w:r>
        <w:t xml:space="preserve">4단계: 서비스 재개 및 정상 동작 확인</w:t>
      </w:r>
    </w:p>
    <w:p>
      <w:pPr>
        <w:pStyle w:val="Bullet"/>
        <w:numPr>
          <w:ilvl w:val="0"/>
          <w:numId w:val="1"/>
        </w:numPr>
      </w:pPr>
      <w:r>
        <w:t xml:space="preserve">5단계: 장애 원인 분석 및 재발 방지 대책 수립</w:t>
      </w:r>
    </w:p>
    <w:p>
      <w:pPr>
        <w:pStyle w:val="Bullet"/>
        <w:numPr>
          <w:ilvl w:val="0"/>
          <w:numId w:val="1"/>
        </w:numPr>
      </w:pPr>
      <w:r>
        <w:t xml:space="preserve">6단계: 장애 보고서 작성 및 관리자 보고</w:t>
      </w:r>
    </w:p>
    <w:p>
      <w:r>
        <w:br w:type="page"/>
      </w:r>
    </w:p>
    <w:p>
      <w:pPr>
        <w:pStyle w:val="Heading1"/>
      </w:pPr>
      <w:r>
        <w:t xml:space="preserve">10. 트러블슈팅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3200"/>
        <w:gridCol w:w="3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문제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증상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해결 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연결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에이전트가 관리 서버에 연결되지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연결 확인, 방화벽 포트 개방, 관리 서버 URL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수집 중단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 syslog 서버에 로그가 수신되지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연결 확인, 포트(514) 개방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CAPTCHA 인증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로그인 시 CAPTCHA 오류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새로고침 후 재시도, 브라우저 캐시 삭제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적용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변경한 정책이 적용되지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Save → Apply → 동기화 대기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성능 저하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응답 느림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CPU/메모리 사용량 확인, 로그 정리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미수신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이메일/SMS 알림이 오지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채널 설정 확인, 스팸함 확인</w:t>
            </w:r>
          </w:p>
        </w:tc>
      </w:tr>
    </w:tbl>
    <w:p>
      <w:pPr>
        <w:pStyle w:val="Heading1"/>
      </w:pPr>
      <w:r>
        <w:t xml:space="preserve">11. 벤더 지원</w:t>
      </w:r>
    </w:p>
    <w:p>
      <w:pPr>
        <w:pStyle w:val="Bullet"/>
        <w:numPr>
          <w:ilvl w:val="0"/>
          <w:numId w:val="1"/>
        </w:numPr>
      </w:pPr>
      <w:r>
        <w:t xml:space="preserve">Sangfor 기술 지원: support@sangfor.com</w:t>
      </w:r>
    </w:p>
    <w:p>
      <w:pPr>
        <w:pStyle w:val="Bullet"/>
        <w:numPr>
          <w:ilvl w:val="0"/>
          <w:numId w:val="1"/>
        </w:numPr>
      </w:pPr>
      <w:r>
        <w:t xml:space="preserve">긴급 지원 핫라인: 상황실 연락</w:t>
      </w:r>
    </w:p>
    <w:p>
      <w:pPr>
        <w:pStyle w:val="Bullet"/>
        <w:numPr>
          <w:ilvl w:val="0"/>
          <w:numId w:val="1"/>
        </w:numPr>
      </w:pPr>
      <w:r>
        <w:t xml:space="preserve">티켓팅: 지원 포털에서 이슈 등록</w:t>
      </w:r>
    </w:p>
    <w:p>
      <w:pPr>
        <w:pStyle w:val="BodyText"/>
      </w:pPr>
      <w:r>
        <w:t xml:space="preserve">원격 지원: Sangfor 엔지니어 원격 접속 협조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</w:rPr>
    </w:rPrDefault>
  </w:docDefaults>
  <w:style w:type="paragraph" w:default="1" w:styleId="BodyText">
    <w:name w:val="Body Text"/>
    <w:pPr>
      <w:spacing w:after="120" w:line="300" w:lineRule="auto"/>
    </w:pPr>
    <w:rPr>
      <w:rFonts w:ascii="Calibri" w:hAnsi="Calibri" w:eastAsia="Malgun Gothic"/>
      <w:sz w:val="22"/>
    </w:rPr>
  </w:style>
  <w:style w:type="paragraph" w:styleId="TitleText">
    <w:name w:val="Title Text"/>
    <w:pPr>
      <w:spacing w:after="120"/>
    </w:pPr>
    <w:rPr>
      <w:rFonts w:ascii="Calibri" w:hAnsi="Calibri" w:eastAsia="Malgun Gothic"/>
      <w:b/>
      <w:color w:val="0B2545"/>
      <w:sz w:val="40"/>
    </w:rPr>
  </w:style>
  <w:style w:type="paragraph" w:styleId="SubtitleText">
    <w:name w:val="Subtitle Text"/>
    <w:pPr>
      <w:spacing w:after="160"/>
    </w:pPr>
    <w:rPr>
      <w:rFonts w:ascii="Calibri" w:hAnsi="Calibri" w:eastAsia="Malgun Gothic"/>
      <w:color w:val="555555"/>
      <w:sz w:val="24"/>
    </w:rPr>
  </w:style>
  <w:style w:type="paragraph" w:styleId="MetaText">
    <w:name w:val="Meta Text"/>
    <w:pPr>
      <w:spacing w:after="120"/>
    </w:pPr>
    <w:rPr>
      <w:rFonts w:ascii="Calibri" w:hAnsi="Calibri" w:eastAsia="Malgun Gothic"/>
      <w:color w:val="555555"/>
      <w:sz w:val="20"/>
    </w:rPr>
  </w:style>
  <w:style w:type="paragraph" w:styleId="Heading1">
    <w:name w:val="heading 1"/>
    <w:pPr>
      <w:spacing w:before="360" w:after="200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pPr>
      <w:spacing w:before="280" w:after="140"/>
    </w:pPr>
    <w:rPr>
      <w:rFonts w:ascii="Calibri" w:hAnsi="Calibri" w:eastAsia="Malgun Gothic"/>
      <w:b/>
      <w:color w:val="2E74B5"/>
      <w:sz w:val="26"/>
    </w:rPr>
  </w:style>
  <w:style w:type="paragraph" w:styleId="Bullet">
    <w:name w:val="Bullet"/>
    <w:pPr>
      <w:spacing w:after="80" w:line="300" w:lineRule="auto"/>
      <w:ind w:left="540" w:hanging="270"/>
    </w:pPr>
    <w:rPr>
      <w:rFonts w:ascii="Calibri" w:hAnsi="Calibri" w:eastAsia="Malgun Gothic"/>
      <w:sz w:val="22"/>
    </w:rPr>
  </w:style>
  <w:style w:type="paragraph" w:styleId="TableText">
    <w:name w:val="Table Text"/>
    <w:pPr>
      <w:spacing w:after="0" w:line="280" w:lineRule="auto"/>
    </w:pPr>
    <w:rPr>
      <w:rFonts w:ascii="Calibri" w:hAnsi="Calibri" w:eastAsia="Malgun Gothic"/>
      <w:sz w:val="18"/>
    </w:rPr>
  </w:style>
  <w:style w:type="table" w:styleId="TableGrid">
    <w:name w:val="Table Grid"/>
    <w:tblPr>
      <w:tblBorders>
        <w:top w:val="single" w:sz="4" w:color="B8C4D4"/>
        <w:left w:val="single" w:sz="4" w:color="B8C4D4"/>
        <w:bottom w:val="single" w:sz="4" w:color="B8C4D4"/>
        <w:right w:val="single" w:sz="4" w:color="B8C4D4"/>
        <w:insideH w:val="single" w:sz="4" w:color="D2DAE5"/>
        <w:insideV w:val="single" w:sz="4" w:color="D2DAE5"/>
      </w:tblBorders>
    </w:tblPr>
  </w:style>
</w:styles>
</file>

<file path=word/_rels/document.xml.rels><?xml version="1.0" encoding="UTF-8" standalone="yes"?><Relationships xmlns="http://schemas.openxmlformats.org/package/2006/relationships">
    <Relationship Id="rId100" Type="http://schemas.openxmlformats.org/officeDocument/2006/relationships/image" Target="media/epp_01_dashboard.png"/>
    <Relationship Id="rId101" Type="http://schemas.openxmlformats.org/officeDocument/2006/relationships/image" Target="media/epp_07_agent_deploy.png"/>
    <Relationship Id="rId102" Type="http://schemas.openxmlformats.org/officeDocument/2006/relationships/image" Target="media/iag_00_home.png"/>
    <Relationship Id="rId103" Type="http://schemas.openxmlformats.org/officeDocument/2006/relationships/image" Target="media/cc_01_dashboard.png"/>
    <Relationship Id="rId104" Type="http://schemas.openxmlformats.org/officeDocument/2006/relationships/image" Target="media/epp_02_app_control.png"/>
    <Relationship Id="rId105" Type="http://schemas.openxmlformats.org/officeDocument/2006/relationships/image" Target="media/epp_03_scan_tasks.png"/>
    <Relationship Id="rId106" Type="http://schemas.openxmlformats.org/officeDocument/2006/relationships/image" Target="media/epp_05_device_control.png"/>
    <Relationship Id="rId107" Type="http://schemas.openxmlformats.org/officeDocument/2006/relationships/image" Target="media/iag_01_dlp_policies.png"/>
    <Relationship Id="rId108" Type="http://schemas.openxmlformats.org/officeDocument/2006/relationships/image" Target="media/iag_03_access_policy.png"/>
    <Relationship Id="rId109" Type="http://schemas.openxmlformats.org/officeDocument/2006/relationships/image" Target="media/iag_04_endpoint_compliance.png"/>
    <Relationship Id="rId110" Type="http://schemas.openxmlformats.org/officeDocument/2006/relationships/image" Target="media/cc_03_threats.png"/>
    <Relationship Id="rId111" Type="http://schemas.openxmlformats.org/officeDocument/2006/relationships/image" Target="media/cc_04_anomalies.png"/>
    <Relationship Id="rId112" Type="http://schemas.openxmlformats.org/officeDocument/2006/relationships/image" Target="media/cc_05_response.png"/>
</Relationships>
</file>