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Text"/>
      </w:pPr>
      <w:r>
        <w:t xml:space="preserve">Sangfor 제품 종합 운영 메뉴얼</w:t>
      </w:r>
    </w:p>
    <w:p>
      <w:pPr>
        <w:pStyle w:val="SubtitleText"/>
      </w:pPr>
      <w:r>
        <w:t xml:space="preserve">일일/주간/월간 운영 절차, 장애 대응, 백업/복구, 트러블슈팅 종합 안내</w:t>
      </w:r>
    </w:p>
    <w:p>
      <w:pPr>
        <w:pStyle w:val="Heading1"/>
      </w:pPr>
      <w:r>
        <w:t xml:space="preserve">1. 일일 모니터링 절차</w:t>
      </w:r>
    </w:p>
    <w:p>
      <w:pPr>
        <w:pStyle w:val="Heading2"/>
      </w:pPr>
      <w:r>
        <w:t xml:space="preserve">1a. 아침 점검 (09:00)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000"/>
        <w:gridCol w:w="1600"/>
        <w:gridCol w:w="4200"/>
        <w:gridCol w:w="2560"/>
      </w:tblGrid>
      <w:tr>
        <w:tc>
          <w:tcPr>
            <w:tcW w:type="dxa" w:w="1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시간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작업</w:t>
            </w:r>
          </w:p>
        </w:tc>
        <w:tc>
          <w:tcPr>
            <w:tcW w:type="dxa" w:w="4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세부 내용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확인 지표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09:00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EPP 대시보드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에이전트 연결 상태, 악성코드 탐지 건수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연결 끊긴 에이전트 0건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09:00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IAG 대시보드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네트워크 접근 현황, DLP 탐지 건수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비정상 접근 0건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09:00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CC 대시보드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위협 탐지 현황, 이상 탐지 건수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미처리 위협 0건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09:15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 검토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야간 발생 알림 확인 및 조치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미처리 알림 0건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09:30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리뷰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중요 보안 이벤트 로그 검토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이상 이벤트 0건</w:t>
            </w:r>
          </w:p>
        </w:tc>
      </w:tr>
    </w:tbl>
    <w:p>
      <w:pPr>
        <w:pStyle w:val="Heading2"/>
      </w:pPr>
      <w:r>
        <w:t xml:space="preserve">1b. 오후 점검 (14:00)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000"/>
        <w:gridCol w:w="1600"/>
        <w:gridCol w:w="4200"/>
        <w:gridCol w:w="2560"/>
      </w:tblGrid>
      <w:tr>
        <w:tc>
          <w:tcPr>
            <w:tcW w:type="dxa" w:w="1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시간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작업</w:t>
            </w:r>
          </w:p>
        </w:tc>
        <w:tc>
          <w:tcPr>
            <w:tcW w:type="dxa" w:w="4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세부 내용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확인 지표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14:00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점검 보고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일일 점검 결과 관리자 보고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보고서 작성 완료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14:00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이슈 처리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미해결 이슈 처리 현황 확인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이슈 처리율 100%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17:00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마감 확인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일일 운영 마감, 이전 인수인계</w:t>
            </w:r>
          </w:p>
        </w:tc>
        <w:tc>
          <w:tcPr>
            <w:tcW w:type="dxa" w:w="2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인수인계 완료</w:t>
            </w:r>
          </w:p>
        </w:tc>
      </w:tr>
    </w:tbl>
    <w:p>
      <w:pPr>
        <w:pStyle w:val="Heading1"/>
      </w:pPr>
      <w:r>
        <w:t xml:space="preserve">2. 주간 점검 절차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000"/>
        <w:gridCol w:w="1600"/>
        <w:gridCol w:w="4760"/>
        <w:gridCol w:w="1960"/>
      </w:tblGrid>
      <w:tr>
        <w:tc>
          <w:tcPr>
            <w:tcW w:type="dxa" w:w="1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요일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작업</w:t>
            </w:r>
          </w:p>
        </w:tc>
        <w:tc>
          <w:tcPr>
            <w:tcW w:type="dxa" w:w="4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세부 내용</w:t>
            </w:r>
          </w:p>
        </w:tc>
        <w:tc>
          <w:tcPr>
            <w:tcW w:type="dxa" w:w="19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담당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월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업데이트 확인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제품 업데이트/패치 확인 및 적용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인프라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화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백업 검증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설정/데이터 백업 유효성 확인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인프라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수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정책 리뷰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정책 변경 이력 검토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목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분석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주간 로그 트렌드 분석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금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주간 리포트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주간 운영 리포트 작성/보고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</w:tbl>
    <w:p>
      <w:pPr>
        <w:pStyle w:val="Heading1"/>
      </w:pPr>
      <w:r>
        <w:t xml:space="preserve">3. 월간 운영 절차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000"/>
        <w:gridCol w:w="1600"/>
        <w:gridCol w:w="4760"/>
        <w:gridCol w:w="1960"/>
      </w:tblGrid>
      <w:tr>
        <w:tc>
          <w:tcPr>
            <w:tcW w:type="dxa" w:w="1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주차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작업</w:t>
            </w:r>
          </w:p>
        </w:tc>
        <w:tc>
          <w:tcPr>
            <w:tcW w:type="dxa" w:w="4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세부 내용</w:t>
            </w:r>
          </w:p>
        </w:tc>
        <w:tc>
          <w:tcPr>
            <w:tcW w:type="dxa" w:w="19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담당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1주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성능 분석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CPU/메모리/디스크 사용량 분석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인프라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2주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감사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접근 권한/정책 변경 감사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3주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백업 복원 테스트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백업 데이터 복원 테스트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인프라 운영</w:t>
            </w:r>
          </w:p>
        </w:tc>
      </w:tr>
      <w:tr>
        <w:tc>
          <w:tcPr>
            <w:tcW w:type="dxa" w:w="1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4주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월간 리포트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월간 운영 리포트 작성/보고</w:t>
            </w:r>
          </w:p>
        </w:tc>
        <w:tc>
          <w:tcPr>
            <w:tcW w:type="dxa" w:w="1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장애 대응 절차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단계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작업</w:t>
            </w:r>
          </w:p>
        </w:tc>
        <w:tc>
          <w:tcPr>
            <w:tcW w:type="dxa" w:w="4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세부 내용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시간 목표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1단계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장애 감지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 수신 또는 모니터링으로 장애 감지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즉시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2단계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영향 분석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장애 범위 및 심각도 파악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10분 이내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3단계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긴급 대응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서비스 중단 방지, 임시 조치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30분 이내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4단계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원인 분석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근본 원인 파악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2시간 이내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5단계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복구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서비스 복구 및 정상화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4시간 이내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6단계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사후 조치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재발 방지 대책 수립, 보고서 작성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24시간 이내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백업 및 복구 절차</w:t>
      </w:r>
    </w:p>
    <w:p>
      <w:pPr>
        <w:pStyle w:val="Heading2"/>
      </w:pPr>
      <w:r>
        <w:t xml:space="preserve">5a. 백업 스케줄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백업 항목</w:t>
            </w:r>
          </w:p>
        </w:tc>
        <w:tc>
          <w:tcPr>
            <w:tcW w:type="dxa" w:w="14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주기</w:t>
            </w:r>
          </w:p>
        </w:tc>
        <w:tc>
          <w:tcPr>
            <w:tcW w:type="dxa" w:w="14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보존 기간</w:t>
            </w:r>
          </w:p>
        </w:tc>
        <w:tc>
          <w:tcPr>
            <w:tcW w:type="dxa" w:w="45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방법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EPP 설정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 1회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3개월</w:t>
            </w:r>
          </w:p>
        </w:tc>
        <w:tc>
          <w:tcPr>
            <w:tcW w:type="dxa" w:w="4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콘솔 설정 내보내기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IAG 설정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 1회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3개월</w:t>
            </w:r>
          </w:p>
        </w:tc>
        <w:tc>
          <w:tcPr>
            <w:tcW w:type="dxa" w:w="4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콘솔 설정 내보내기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CC 설정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주 1회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3개월</w:t>
            </w:r>
          </w:p>
        </w:tc>
        <w:tc>
          <w:tcPr>
            <w:tcW w:type="dxa" w:w="4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콘솔 설정 내보내기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로그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일 1회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1년</w:t>
            </w:r>
          </w:p>
        </w:tc>
        <w:tc>
          <w:tcPr>
            <w:tcW w:type="dxa" w:w="4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syslog 서버 백업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감사 로그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일 1회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1년</w:t>
            </w:r>
          </w:p>
        </w:tc>
        <w:tc>
          <w:tcPr>
            <w:tcW w:type="dxa" w:w="45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syslog 서버 백업</w:t>
            </w:r>
          </w:p>
        </w:tc>
      </w:tr>
    </w:tbl>
    <w:p>
      <w:pPr>
        <w:pStyle w:val="Heading2"/>
      </w:pPr>
      <w:r>
        <w:t xml:space="preserve">5b. 복구 절차</w:t>
      </w:r>
    </w:p>
    <w:p>
      <w:pPr>
        <w:pStyle w:val="Bullet"/>
        <w:numPr>
          <w:ilvl w:val="0"/>
          <w:numId w:val="1"/>
        </w:numPr>
      </w:pPr>
      <w:r>
        <w:t xml:space="preserve">1단계: 장애 식별 및 영향 범위 파악</w:t>
      </w:r>
    </w:p>
    <w:p>
      <w:pPr>
        <w:pStyle w:val="Bullet"/>
        <w:numPr>
          <w:ilvl w:val="0"/>
          <w:numId w:val="1"/>
        </w:numPr>
      </w:pPr>
      <w:r>
        <w:t xml:space="preserve">2단계: 백업 데이터 확인 및 복원 가능성 검증</w:t>
      </w:r>
    </w:p>
    <w:p>
      <w:pPr>
        <w:pStyle w:val="Bullet"/>
        <w:numPr>
          <w:ilvl w:val="0"/>
          <w:numId w:val="1"/>
        </w:numPr>
      </w:pPr>
      <w:r>
        <w:t xml:space="preserve">3단계: 설정 복원 (백업 설정 적용)</w:t>
      </w:r>
    </w:p>
    <w:p>
      <w:pPr>
        <w:pStyle w:val="Bullet"/>
        <w:numPr>
          <w:ilvl w:val="0"/>
          <w:numId w:val="1"/>
        </w:numPr>
      </w:pPr>
      <w:r>
        <w:t xml:space="preserve">4단계: 서비스 재개 및 정상 동작 확인</w:t>
      </w:r>
    </w:p>
    <w:p>
      <w:pPr>
        <w:pStyle w:val="Bullet"/>
        <w:numPr>
          <w:ilvl w:val="0"/>
          <w:numId w:val="1"/>
        </w:numPr>
      </w:pPr>
      <w:r>
        <w:t xml:space="preserve">5단계: 장애 원인 분석 및 재발 방지 대책 수립</w:t>
      </w:r>
    </w:p>
    <w:p>
      <w:pPr>
        <w:pStyle w:val="Bullet"/>
        <w:numPr>
          <w:ilvl w:val="0"/>
          <w:numId w:val="1"/>
        </w:numPr>
      </w:pPr>
      <w:r>
        <w:t xml:space="preserve">6단계: 장애 보고서 작성 및 관리자 보고</w:t>
      </w:r>
    </w:p>
    <w:p>
      <w:r>
        <w:br w:type="page"/>
      </w:r>
    </w:p>
    <w:p>
      <w:pPr>
        <w:pStyle w:val="Heading1"/>
      </w:pPr>
      <w:r>
        <w:t xml:space="preserve">6. 보안 정책 관리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000"/>
        <w:gridCol w:w="3600"/>
        <w:gridCol w:w="1600"/>
        <w:gridCol w:w="2160"/>
      </w:tblGrid>
      <w:tr>
        <w:tc>
          <w:tcPr>
            <w:tcW w:type="dxa" w:w="2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관리 항목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세부 내용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주기</w:t>
            </w:r>
          </w:p>
        </w:tc>
        <w:tc>
          <w:tcPr>
            <w:tcW w:type="dxa" w:w="21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담당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접근 권한 리뷰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관리자/운영자 권한 최소화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월 1회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정책 변경 관리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변경 요청→승인→적용→검증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변경 시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운영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감사 로그 검증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무결성 확인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월 1회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인프라 운영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보안 패치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제품 보안 패치 적용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패치 발표 시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인프라 운영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성능 모니터링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모니터링 항목</w:t>
            </w:r>
          </w:p>
        </w:tc>
        <w:tc>
          <w:tcPr>
            <w:tcW w:type="dxa" w:w="20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정상 범위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임계값</w:t>
            </w:r>
          </w:p>
        </w:tc>
        <w:tc>
          <w:tcPr>
            <w:tcW w:type="dxa" w:w="3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대응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CPU 사용률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50% 이하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80% 이상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프로세스 확인, 불필요 프로세스 종료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메모리 사용률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70% 이하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90% 이상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메모리 정리, 필요 시 리부팅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디스크 사용률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70% 이하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85% 이상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정리, 아카이브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네트워크 트래픽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정상 범위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이상 급증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트래픽 분석, 공격 탐지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세션 수</w:t>
            </w:r>
          </w:p>
        </w:tc>
        <w:tc>
          <w:tcPr>
            <w:tcW w:type="dxa" w:w="20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정상 범위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이상 증가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동시접속 제한 설정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트러블슈팅 FAQ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400"/>
        <w:gridCol w:w="3200"/>
        <w:gridCol w:w="3760"/>
      </w:tblGrid>
      <w:tr>
        <w:tc>
          <w:tcPr>
            <w:tcW w:type="dxa" w:w="24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문제</w:t>
            </w:r>
          </w:p>
        </w:tc>
        <w:tc>
          <w:tcPr>
            <w:tcW w:type="dxa" w:w="3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증상</w:t>
            </w:r>
          </w:p>
        </w:tc>
        <w:tc>
          <w:tcPr>
            <w:tcW w:type="dxa" w:w="37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해결 방법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에이전트 연결 실패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에이전트가 관리 서버에 연결되지 않음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네트워크 연결 확인, 방화벽 포트 개방, 관리 서버 URL 확인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로그 수집 중단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syslog 서버에 로그 수신 안 됨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syslog 서버 연결 확인, 포트(514) 개방 확인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CAPTCHA 인증 실패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콘솔 로그인 시 CAPTCHA 오류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새로고침 후 재시도, 브라우저 캐시 삭제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정책 적용 실패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변경한 정책이 적용되지 않음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Save → Apply → 동기화 대기 확인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성능 저하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콘솔 응답 느림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CPU/메모리 사용량 확인, 로그 정리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 미수신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이메일/SMS 알림 미수신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알림 채널 설정 확인, 스팸함 확인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/>
        <w:sz w:val="22"/>
      </w:rPr>
    </w:rPrDefault>
  </w:docDefaults>
  <w:style w:type="paragraph" w:default="1" w:styleId="BodyText">
    <w:name w:val="Body Text"/>
    <w:pPr>
      <w:spacing w:after="120" w:line="300" w:lineRule="auto"/>
    </w:pPr>
    <w:rPr>
      <w:rFonts w:ascii="Calibri" w:hAnsi="Calibri" w:eastAsia="Malgun Gothic"/>
      <w:sz w:val="22"/>
    </w:rPr>
  </w:style>
  <w:style w:type="paragraph" w:styleId="TitleText">
    <w:name w:val="Title Text"/>
    <w:pPr>
      <w:spacing w:after="120"/>
    </w:pPr>
    <w:rPr>
      <w:rFonts w:ascii="Calibri" w:hAnsi="Calibri" w:eastAsia="Malgun Gothic"/>
      <w:b/>
      <w:color w:val="0B2545"/>
      <w:sz w:val="40"/>
    </w:rPr>
  </w:style>
  <w:style w:type="paragraph" w:styleId="SubtitleText">
    <w:name w:val="Subtitle Text"/>
    <w:pPr>
      <w:spacing w:after="160"/>
    </w:pPr>
    <w:rPr>
      <w:rFonts w:ascii="Calibri" w:hAnsi="Calibri" w:eastAsia="Malgun Gothic"/>
      <w:color w:val="555555"/>
      <w:sz w:val="24"/>
    </w:rPr>
  </w:style>
  <w:style w:type="paragraph" w:styleId="MetaText">
    <w:name w:val="Meta Text"/>
    <w:pPr>
      <w:spacing w:after="120"/>
    </w:pPr>
    <w:rPr>
      <w:rFonts w:ascii="Calibri" w:hAnsi="Calibri" w:eastAsia="Malgun Gothic"/>
      <w:color w:val="555555"/>
      <w:sz w:val="20"/>
    </w:rPr>
  </w:style>
  <w:style w:type="paragraph" w:styleId="Heading1">
    <w:name w:val="heading 1"/>
    <w:pPr>
      <w:spacing w:before="360" w:after="200"/>
    </w:pPr>
    <w:rPr>
      <w:rFonts w:ascii="Calibri" w:hAnsi="Calibri" w:eastAsia="Malgun Gothic"/>
      <w:b/>
      <w:color w:val="2E74B5"/>
      <w:sz w:val="32"/>
    </w:rPr>
  </w:style>
  <w:style w:type="paragraph" w:styleId="Heading2">
    <w:name w:val="heading 2"/>
    <w:pPr>
      <w:spacing w:before="280" w:after="140"/>
    </w:pPr>
    <w:rPr>
      <w:rFonts w:ascii="Calibri" w:hAnsi="Calibri" w:eastAsia="Malgun Gothic"/>
      <w:b/>
      <w:color w:val="2E74B5"/>
      <w:sz w:val="26"/>
    </w:rPr>
  </w:style>
  <w:style w:type="paragraph" w:styleId="Bullet">
    <w:name w:val="Bullet"/>
    <w:pPr>
      <w:spacing w:after="80" w:line="300" w:lineRule="auto"/>
      <w:ind w:left="540" w:hanging="270"/>
    </w:pPr>
    <w:rPr>
      <w:rFonts w:ascii="Calibri" w:hAnsi="Calibri" w:eastAsia="Malgun Gothic"/>
      <w:sz w:val="22"/>
    </w:rPr>
  </w:style>
  <w:style w:type="paragraph" w:styleId="TableText">
    <w:name w:val="Table Text"/>
    <w:pPr>
      <w:spacing w:after="0" w:line="280" w:lineRule="auto"/>
    </w:pPr>
    <w:rPr>
      <w:rFonts w:ascii="Calibri" w:hAnsi="Calibri" w:eastAsia="Malgun Gothic"/>
      <w:sz w:val="18"/>
    </w:rPr>
  </w:style>
  <w:style w:type="table" w:styleId="TableGrid">
    <w:name w:val="Table Grid"/>
    <w:tblPr>
      <w:tblBorders>
        <w:top w:val="single" w:sz="4" w:color="B8C4D4"/>
        <w:left w:val="single" w:sz="4" w:color="B8C4D4"/>
        <w:bottom w:val="single" w:sz="4" w:color="B8C4D4"/>
        <w:right w:val="single" w:sz="4" w:color="B8C4D4"/>
        <w:insideH w:val="single" w:sz="4" w:color="D2DAE5"/>
        <w:insideV w:val="single" w:sz="4" w:color="D2DAE5"/>
      </w:tblBorders>
    </w:tblPr>
  </w:style>
</w:styles>
</file>

<file path=word/_rels/document.xml.rels><?xml version="1.0" encoding="UTF-8" standalone="yes"?><Relationships xmlns="http://schemas.openxmlformats.org/package/2006/relationships"/>
</file>