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Text"/>
      </w:pPr>
      <w:r>
        <w:t xml:space="preserve">Sangfor 제품 설정 Dry-run 가이드</w:t>
      </w:r>
    </w:p>
    <w:p>
      <w:pPr>
        <w:pStyle w:val="SubtitleText"/>
      </w:pPr>
      <w:r>
        <w:t xml:space="preserve">현대차 감사 체크리스트 기반 고객 제공용 설정 계획서</w:t>
      </w:r>
    </w:p>
    <w:p>
      <w:pPr>
        <w:pStyle w:val="MetaText"/>
      </w:pPr>
      <w:r>
        <w:t xml:space="preserve">문서 기준 계획 ID: excel_plan_1780936155396_2a13d0</w:t>
      </w:r>
    </w:p>
    <w:p>
      <w:pPr>
        <w:pStyle w:val="BodyText"/>
      </w:pPr>
      <w:r>
        <w:t xml:space="preserve">본 문서는 제공된 ITAC 감사 체크리스트를 기준으로 Sangfor 제품 콘솔에서 확인 가능한 설정 항목과 수동/외부 증적 항목을 분리하고, 제품별 메뉴 경로와 dry-run 작업 절차를 제시한다.</w:t>
      </w:r>
    </w:p>
    <w:p>
      <w:pPr>
        <w:pStyle w:val="Heading1"/>
      </w:pPr>
      <w:r>
        <w:t xml:space="preserve">1. 요약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200"/>
        <w:gridCol w:w="1200"/>
        <w:gridCol w:w="5960"/>
      </w:tblGrid>
      <w:tr>
        <w:tc>
          <w:tcPr>
            <w:tcW w:type="dxa" w:w="2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수량</w:t>
            </w:r>
          </w:p>
        </w:tc>
        <w:tc>
          <w:tcPr>
            <w:tcW w:type="dxa" w:w="5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전체 우선 처리 항목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△, 낮은 점수, 미흡 사유가 있는 감사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제품 콘솔 dry-run 대상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Endpoint Secure, IAG, NDR 콘솔에서 현재값과 증적을 확인할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수동/외부 증적 대상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SPAMOUT, CrowdStrike/Alyac, DLP, 백업 운영 등 Sangfor 콘솔 직접 설정 대상이 아닌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실제 변경 수행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본 단계에서는 Save/Apply/Delete 및 정책 활성화 작업을 수행하지 않음</w:t>
            </w:r>
          </w:p>
        </w:tc>
      </w:tr>
    </w:tbl>
    <w:p>
      <w:pPr>
        <w:pStyle w:val="Heading1"/>
      </w:pPr>
      <w:r>
        <w:t xml:space="preserve">2. 실행 원칙</w:t>
      </w:r>
    </w:p>
    <w:p>
      <w:pPr>
        <w:pStyle w:val="Bullet"/>
        <w:numPr>
          <w:ilvl w:val="0"/>
          <w:numId w:val="1"/>
        </w:numPr>
      </w:pPr>
      <w:r>
        <w:t xml:space="preserve">작업 범위는 계획 생성, 콘솔 메뉴 이동, 현재 설정 확인, 스크린샷/증적 수집으로 제한한다.</w:t>
      </w:r>
    </w:p>
    <w:p>
      <w:pPr>
        <w:pStyle w:val="Bullet"/>
        <w:numPr>
          <w:ilvl w:val="0"/>
          <w:numId w:val="1"/>
        </w:numPr>
      </w:pPr>
      <w:r>
        <w:t xml:space="preserve">Save, Apply, Delete, Commit, Policy Enable, Agent Deployment, SOAR Response Action은 dry-run 단계에서 실행하지 않는다.</w:t>
      </w:r>
    </w:p>
    <w:p>
      <w:pPr>
        <w:pStyle w:val="Bullet"/>
        <w:numPr>
          <w:ilvl w:val="0"/>
          <w:numId w:val="1"/>
        </w:numPr>
      </w:pPr>
      <w:r>
        <w:t xml:space="preserve">로컬 Chrome은 CDP 포트로 실행되어야 하며, MCP operator sessionId가 있어야 콘솔 dry-run을 수행한다.</w:t>
      </w:r>
    </w:p>
    <w:p>
      <w:pPr>
        <w:pStyle w:val="Bullet"/>
        <w:numPr>
          <w:ilvl w:val="0"/>
          <w:numId w:val="1"/>
        </w:numPr>
      </w:pPr>
      <w:r>
        <w:t xml:space="preserve">수동/외부 증적 대상은 Sangfor 콘솔에 접속하지 않고 별도 시스템 소유자 또는 운영 증적으로 확인한다.</w:t>
      </w:r>
    </w:p>
    <w:p>
      <w:pPr>
        <w:pStyle w:val="Heading1"/>
      </w:pPr>
      <w:r>
        <w:t xml:space="preserve">3. 제품별 설정 계획</w:t>
      </w:r>
    </w:p>
    <w:p>
      <w:pPr>
        <w:pStyle w:val="Heading2"/>
      </w:pPr>
      <w:r>
        <w:t xml:space="preserve">Endpoint Secure (7건)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700"/>
        <w:gridCol w:w="1700"/>
        <w:gridCol w:w="26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설정/확인 항목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증적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REQ-4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바이러스 백신 엔진은 정기적으로 업데이트됩니까?
                <w:br/>
                Gap: No regular engine update verification procedure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REQ-5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바이러스 백신 및 EDR 솔루션을 사용하여 주기적인 검사가 수행됩니까?
                <w:br/>
                Gap: Scan scheduled at lunch daily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REQ-6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바이러스 백신 및 EDR 프로그램이 임의로 제거되거나 비활성화되지 않도록 보장됩니까?
                <w:br/>
                Gap: No explicit gap text; verify checklist result and current console state.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REQ-8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Software Control | ③Malware Infection Prevention | 조직 내에서 승인되지 않은 소프트웨어 사용은 감시 및 통제되고 있습니까?
                <w:br/>
                Gap: No application control or monitoring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REQ-9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Software Control | ⑦Incident Analysis and Response | 무단 소프트웨어 탐지/차단 로그 및 감사 로그(정책 변경, 권한 변경 등)는 지정된 기간(최소 1년) 동안 보관됩니까?
                <w:br/>
                Gap: No application control or monitoring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incident/alert/playbook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Device Control | ⑤Information Leakage Prevention | 조직 내 저장 매체 사용은 통제되고 있습니까?
                <w:br/>
                Gap: No device control or monitoring (Only automatic scans)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REQ-11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Device Control | ⑦Incident Analysis and Response | 저장 매체 차단/사용 로그 및 감사 로그(정책 변경, 권한 변경 등)는 지정된 기간(최소 1년) 동안 보존됩니까?
                <w:br/>
                Gap: No device control or monitoring (Only automatic scans)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incident/alert/playbook evidence</w:t>
            </w:r>
          </w:p>
        </w:tc>
      </w:tr>
    </w:tbl>
    <w:p>
      <w:pPr>
        <w:pStyle w:val="Heading2"/>
      </w:pPr>
      <w:r>
        <w:t xml:space="preserve">IAG (3건)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700"/>
        <w:gridCol w:w="1700"/>
        <w:gridCol w:w="26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설정/확인 항목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증적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REQ-14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Access Control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Internet/URL/application access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Network Access Contro | ②Unauthorized External Access Defense | 조직 내에서 승인되지 않은 장치의 접근을 제한하기 위해 네트워크 접근 제어가 시행되고 있습니까?
                <w:br/>
                Gap: No NAC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policy/auth configuration screenshot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REQ-15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Access Control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Internet/URL/application access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Network Access Contro | ②Unauthorized External Access Defense | 보안 프로그램 설치가 필수이며, 해당 프로그램이 설치되지 않은 경우 네트워크 접속이 차단됩니까?
                <w:br/>
                Gap: No NAC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policy/auth configuration screenshot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REQ-16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Logs &gt; Internet Access Logs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 retention and audit validation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Network Access Contro | ⑦Incident Analysis and Response | 이벤트 로그와 감사 로그는 지정된 기간(최소 1년) 동안 보존됩니까?
                <w:br/>
                Gap: No NAC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incident/alert/playbook evidence</w:t>
            </w:r>
          </w:p>
        </w:tc>
      </w:tr>
    </w:tbl>
    <w:p>
      <w:pPr>
        <w:pStyle w:val="Heading2"/>
      </w:pPr>
      <w:r>
        <w:t xml:space="preserve">NDR / Cyber Command (2건)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700"/>
        <w:gridCol w:w="1700"/>
        <w:gridCol w:w="26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설정/확인 항목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증적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REQ-17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Events &gt; Event Sources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 source/sensor integration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Log Management | ①Intrusion Threat Detection | 다양한 보안 솔루션의 이벤트 로그와 감사 로그는 중앙에서 관리됩니까?
                <w:br/>
                Gap: No SIEM implemented but Auvik collects network logs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REQ-18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Events &gt; Event Sources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 source/sensor integration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Log Management | ①Intrusion Threat Detection | 시스템 및 보안 로그는 정기적으로 검토됩니까?
                <w:br/>
                Gap: No regular monitoring - only by events. No events are assigned so appears as no one is actually reviewing them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수동/외부 증적 수집 계획</w:t>
      </w:r>
    </w:p>
    <w:p>
      <w:pPr>
        <w:pStyle w:val="BodyText"/>
      </w:pPr>
      <w:r>
        <w:t xml:space="preserve">다음 항목은 현재 범위의 Sangfor 제품 콘솔에서 직접 설정하거나 확인하기 어렵다. 고객 또는 해당 솔루션 운영 담당자로부터 별도 증적을 수집해야 한다.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600"/>
        <w:gridCol w:w="44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type="dxa" w:w="4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조치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Anti-Spam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Anti-Spam | ③Malware Infection Prevention | 스팸 메일과 바이러스에 감염된 이메일이 내부 네트워크로 유입되는 것을 차단하는 정책이 마련되어 있습니까?
                <w:br/>
                Gap: Using SPAMOUT email filtering system, but controlled by HQ. No control over the tool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Anti-Spam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Anti-Spam | ⑦Incident Analysis and Response | 이벤트 로그와 감사 로그는 지정된 기간(최소 1년) 동안 보존됩니까?
                <w:br/>
                Gap: Logs retained for less than 1 year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Anti-Virus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조직 내 모든 PC와 서버에 안티바이러스 및 EDR과 같은 악성코드 탐지 솔루션이 설치되어 실행 중입니까?
                <w:br/>
                Gap: Using Crowdstrike and Alyac
                <w:br/>
                Need additional evidence to see the list of assets and the installation status (Alyac and Crowdstrike)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REQ-7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Anti-Virus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⑦Incident Analysis and Response | 악성코드 탐지 로그와 격리된 파일은 지정된 기간(최소 1년) 동안 보관됩니까?
                <w:br/>
                Gap: No files are retained, only logs are searchable through crowdstrike console. Also, need a verification from Alyac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Data Loss Prevention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Data Loss Prevention | ⑤Information Leakage Prevention | 내부 데이터의 외부 유출을 감지하기 위해 데이터 손실 방지(DLP) 시스템이 구현되어 있습니까?
                <w:br/>
                Gap: No DLP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Data Loss Prevention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Data Loss Prevention | ⑦Incident Analysis and Response | 대용량 첨부 파일(예: 50MB 이상) 전송 기록은 지정된 기간(최소 1년) 동안 보관됩니까?
                <w:br/>
                Gap: No DLP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REQ-19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Security Monitoring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Security Monitoring | ①Intrusion Threat Detection | 보안 시스템 로그(예: 방화벽, VPN, IPS, WAF)가 보안 모니터링과 통합되어 있습니까?
                <w:br/>
                Gap: No network security logs are actively monitored
                <w:br/>
                Crowdstrike is monitored by Packetwatch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Security Monitoring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Security Monitoring | ①Intrusion Threat Detection | 이상 징후 탐지 기준이 설정되어 있고, 이상 징후가 감지되는 즉시 관리자에게 이메일이나 SMS로 알림을 보내는 경보 시스템이 구성되어 있습니까?
                <w:br/>
                Gap: Only alert from Crowdstrike is sent out to ITAC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REQ-21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복구 우선순위와 복구 목표가 수립되었습니까?
                <w:br/>
                Gap: Outdated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핵심 애플리케이션, 데이터베이스 및 중요 파일은 매일 또는 정기적으로 백업됩니까?
                <w:br/>
                Gap: Biweekly backups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백업 데이터의 무결성은 정기적으로 검증됩니까?
                <w:br/>
                Gap: Backup done monthly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REQ-24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백업 데이터는 안전한 저장소에 저장됩니까?
                <w:br/>
                Gap: Stored on offline servers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REQ-27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백업 및 복구 테스트는 정기적으로 계획되고 실행됩니까?
                <w:br/>
                Gap: Backups tested monthly, but recovery not tested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REQ-28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보안 솔루션 구성 및 보안 정책은 정기적으로 백업됩니까?
                <w:br/>
                Gap: Only firewall config is backed up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</w:tbl>
    <w:p>
      <w:pPr>
        <w:pStyle w:val="Heading1"/>
      </w:pPr>
      <w:r>
        <w:t xml:space="preserve">5. Dry-run 수행 절차</w:t>
      </w:r>
    </w:p>
    <w:p>
      <w:pPr>
        <w:pStyle w:val="Heading2"/>
      </w:pPr>
      <w:r>
        <w:t xml:space="preserve">Step 1. Chrome CDP 준비</w:t>
      </w:r>
    </w:p>
    <w:p>
      <w:pPr>
        <w:pStyle w:val="BodyText"/>
      </w:pPr>
      <w:r>
        <w:t xml:space="preserve">Chrome을 remote-debugging-port=9222 옵션으로 실행하고, 대상 제품 콘솔에 로그인한다.</w:t>
      </w:r>
    </w:p>
    <w:p>
      <w:pPr>
        <w:pStyle w:val="Heading2"/>
      </w:pPr>
      <w:r>
        <w:t xml:space="preserve">Step 2. Operator session 생성</w:t>
      </w:r>
    </w:p>
    <w:p>
      <w:pPr>
        <w:pStyle w:val="BodyText"/>
      </w:pPr>
      <w:r>
        <w:t xml:space="preserve">MCP의 sangfor.start_operator_session 도구로 제품, targetUrl, CDP endpoint를 지정한다.</w:t>
      </w:r>
    </w:p>
    <w:p>
      <w:pPr>
        <w:pStyle w:val="Heading2"/>
      </w:pPr>
      <w:r>
        <w:t xml:space="preserve">Step 3. 계획 기반 dry-run 실행</w:t>
      </w:r>
    </w:p>
    <w:p>
      <w:pPr>
        <w:pStyle w:val="BodyText"/>
      </w:pPr>
      <w:r>
        <w:t xml:space="preserve">sangfor.dry_run_product_change에 생성된 계획서와 sessionId를 전달한다. 작업은 메뉴 이동, 현재값 확인, 증적 수집에서 멈춘다.</w:t>
      </w:r>
    </w:p>
    <w:p>
      <w:pPr>
        <w:pStyle w:val="Heading2"/>
      </w:pPr>
      <w:r>
        <w:t xml:space="preserve">Step 4. 결과 검토</w:t>
      </w:r>
    </w:p>
    <w:p>
      <w:pPr>
        <w:pStyle w:val="BodyText"/>
      </w:pPr>
      <w:r>
        <w:t xml:space="preserve">증적이 누락된 항목, 메뉴 미발견 항목, 권한 부족 항목은 고객 확인 필요 사항으로 분리한다.</w:t>
      </w:r>
    </w:p>
    <w:p>
      <w:pPr>
        <w:pStyle w:val="Heading1"/>
      </w:pPr>
      <w:r>
        <w:t xml:space="preserve">6. 고객 확인 필요 사항</w:t>
      </w:r>
    </w:p>
    <w:p>
      <w:pPr>
        <w:pStyle w:val="Bullet"/>
        <w:numPr>
          <w:ilvl w:val="0"/>
          <w:numId w:val="1"/>
        </w:numPr>
      </w:pPr>
      <w:r>
        <w:t xml:space="preserve">Endpoint Secure 콘솔 접근 권한 및 정책 조회 권한</w:t>
      </w:r>
    </w:p>
    <w:p>
      <w:pPr>
        <w:pStyle w:val="Bullet"/>
        <w:numPr>
          <w:ilvl w:val="0"/>
          <w:numId w:val="1"/>
        </w:numPr>
      </w:pPr>
      <w:r>
        <w:t xml:space="preserve">IAG 콘솔 접근 권한 및 NAC/접근제어/로그 메뉴 조회 권한</w:t>
      </w:r>
    </w:p>
    <w:p>
      <w:pPr>
        <w:pStyle w:val="Bullet"/>
        <w:numPr>
          <w:ilvl w:val="0"/>
          <w:numId w:val="1"/>
        </w:numPr>
      </w:pPr>
      <w:r>
        <w:t xml:space="preserve">NDR 또는 Cyber Command 콘솔 접근 권한 및 이벤트 소스/로그 관리 메뉴 조회 권한</w:t>
      </w:r>
    </w:p>
    <w:p>
      <w:pPr>
        <w:pStyle w:val="Bullet"/>
        <w:numPr>
          <w:ilvl w:val="0"/>
          <w:numId w:val="1"/>
        </w:numPr>
      </w:pPr>
      <w:r>
        <w:t xml:space="preserve">SPAMOUT, CrowdStrike, Alyac, DLP, 백업 운영 관련 별도 증적 제공 담당자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</w:rPr>
    </w:rPrDefault>
  </w:docDefaults>
  <w:style w:type="paragraph" w:default="1" w:styleId="BodyText">
    <w:name w:val="Body Text"/>
    <w:pPr>
      <w:spacing w:after="120" w:line="300" w:lineRule="auto"/>
    </w:pPr>
    <w:rPr>
      <w:rFonts w:ascii="Calibri" w:hAnsi="Calibri" w:eastAsia="Malgun Gothic"/>
      <w:sz w:val="22"/>
    </w:rPr>
  </w:style>
  <w:style w:type="paragraph" w:styleId="TitleText">
    <w:name w:val="Title Text"/>
    <w:pPr>
      <w:spacing w:after="120"/>
    </w:pPr>
    <w:rPr>
      <w:rFonts w:ascii="Calibri" w:hAnsi="Calibri" w:eastAsia="Malgun Gothic"/>
      <w:b/>
      <w:color w:val="0B2545"/>
      <w:sz w:val="40"/>
    </w:rPr>
  </w:style>
  <w:style w:type="paragraph" w:styleId="SubtitleText">
    <w:name w:val="Subtitle Text"/>
    <w:pPr>
      <w:spacing w:after="160"/>
    </w:pPr>
    <w:rPr>
      <w:rFonts w:ascii="Calibri" w:hAnsi="Calibri" w:eastAsia="Malgun Gothic"/>
      <w:color w:val="555555"/>
      <w:sz w:val="24"/>
    </w:rPr>
  </w:style>
  <w:style w:type="paragraph" w:styleId="MetaText">
    <w:name w:val="Meta Text"/>
    <w:pPr>
      <w:spacing w:after="120"/>
    </w:pPr>
    <w:rPr>
      <w:rFonts w:ascii="Calibri" w:hAnsi="Calibri" w:eastAsia="Malgun Gothic"/>
      <w:color w:val="555555"/>
      <w:sz w:val="20"/>
    </w:rPr>
  </w:style>
  <w:style w:type="paragraph" w:styleId="Heading1">
    <w:name w:val="heading 1"/>
    <w:pPr>
      <w:spacing w:before="360" w:after="200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 2"/>
    <w:pPr>
      <w:spacing w:before="280" w:after="140"/>
    </w:pPr>
    <w:rPr>
      <w:rFonts w:ascii="Calibri" w:hAnsi="Calibri" w:eastAsia="Malgun Gothic"/>
      <w:b/>
      <w:color w:val="2E74B5"/>
      <w:sz w:val="26"/>
    </w:rPr>
  </w:style>
  <w:style w:type="paragraph" w:styleId="Bullet">
    <w:name w:val="Bullet"/>
    <w:pPr>
      <w:spacing w:after="80" w:line="300" w:lineRule="auto"/>
      <w:ind w:left="540" w:hanging="270"/>
    </w:pPr>
    <w:rPr>
      <w:rFonts w:ascii="Calibri" w:hAnsi="Calibri" w:eastAsia="Malgun Gothic"/>
      <w:sz w:val="22"/>
    </w:rPr>
  </w:style>
  <w:style w:type="paragraph" w:styleId="TableText">
    <w:name w:val="Table Text"/>
    <w:pPr>
      <w:spacing w:after="0" w:line="280" w:lineRule="auto"/>
    </w:pPr>
    <w:rPr>
      <w:rFonts w:ascii="Calibri" w:hAnsi="Calibri" w:eastAsia="Malgun Gothic"/>
      <w:sz w:val="18"/>
    </w:rPr>
  </w:style>
  <w:style w:type="table" w:styleId="TableGrid">
    <w:name w:val="Table Grid"/>
    <w:tblPr>
      <w:tblBorders>
        <w:top w:val="single" w:sz="4" w:color="B8C4D4"/>
        <w:left w:val="single" w:sz="4" w:color="B8C4D4"/>
        <w:bottom w:val="single" w:sz="4" w:color="B8C4D4"/>
        <w:right w:val="single" w:sz="4" w:color="B8C4D4"/>
        <w:insideH w:val="single" w:sz="4" w:color="D2DAE5"/>
        <w:insideV w:val="single" w:sz="4" w:color="D2DAE5"/>
      </w:tblBorders>
    </w:tblPr>
  </w:style>
</w:styles>
</file>

<file path=word/_rels/document.xml.rels><?xml version="1.0" encoding="UTF-8" standalone="yes"?><Relationships xmlns="http://schemas.openxmlformats.org/package/2006/relationships"/>
</file>