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2.1 Activity Diagrams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785813</wp:posOffset>
            </wp:positionH>
            <wp:positionV relativeFrom="paragraph">
              <wp:posOffset>114300</wp:posOffset>
            </wp:positionV>
            <wp:extent cx="5272088" cy="6218003"/>
            <wp:effectExtent b="12700" l="12700" r="12700" t="12700"/>
            <wp:wrapSquare wrapText="bothSides" distB="114300" distT="11430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7453" l="13782" r="254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62180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3261" cy="7577138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261" cy="75771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6987" cy="5224463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987" cy="5224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2.2 Structural Modeling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color w:val="00796b"/>
        </w:rPr>
        <w:drawing>
          <wp:inline distB="114300" distT="114300" distL="114300" distR="114300">
            <wp:extent cx="5943600" cy="44069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2.3 Behavior Modeling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240" w:before="240" w:line="240" w:lineRule="auto"/>
        <w:ind w:left="720" w:firstLine="0"/>
        <w:jc w:val="center"/>
        <w:rPr/>
      </w:pPr>
      <w:bookmarkStart w:colFirst="0" w:colLast="0" w:name="_gatzpdjaywic" w:id="0"/>
      <w:bookmarkEnd w:id="0"/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</w:rPr>
        <w:drawing>
          <wp:inline distB="114300" distT="114300" distL="114300" distR="114300">
            <wp:extent cx="4624178" cy="3195638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2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178" cy="31956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