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344" w:rsidRDefault="00B65344" w:rsidP="00F050B8">
      <w:pPr>
        <w:shd w:val="clear" w:color="auto" w:fill="FFFFFF"/>
        <w:spacing w:after="240" w:line="450" w:lineRule="atLeast"/>
        <w:jc w:val="center"/>
        <w:outlineLvl w:val="2"/>
        <w:rPr>
          <w:rFonts w:ascii="Segoe UI" w:eastAsia="Times New Roman" w:hAnsi="Segoe UI" w:cs="Segoe UI"/>
          <w:b/>
          <w:bCs/>
          <w:color w:val="0F1115"/>
          <w:sz w:val="40"/>
          <w:szCs w:val="40"/>
        </w:rPr>
      </w:pPr>
      <w:r w:rsidRPr="00B65344">
        <w:rPr>
          <w:rFonts w:ascii="Segoe UI" w:eastAsia="Times New Roman" w:hAnsi="Segoe UI" w:cs="Segoe UI"/>
          <w:b/>
          <w:bCs/>
          <w:color w:val="0F1115"/>
          <w:sz w:val="40"/>
          <w:szCs w:val="40"/>
        </w:rPr>
        <w:t xml:space="preserve">Operational Guidelines </w:t>
      </w:r>
      <w:r w:rsidR="00480876">
        <w:rPr>
          <w:rFonts w:ascii="Segoe UI" w:eastAsia="Times New Roman" w:hAnsi="Segoe UI" w:cs="Segoe UI"/>
          <w:b/>
          <w:bCs/>
          <w:color w:val="0F1115"/>
          <w:sz w:val="40"/>
          <w:szCs w:val="40"/>
        </w:rPr>
        <w:t>for</w:t>
      </w:r>
      <w:r>
        <w:rPr>
          <w:rFonts w:ascii="Segoe UI" w:eastAsia="Times New Roman" w:hAnsi="Segoe UI" w:cs="Segoe UI"/>
          <w:b/>
          <w:bCs/>
          <w:color w:val="0F1115"/>
          <w:sz w:val="40"/>
          <w:szCs w:val="40"/>
        </w:rPr>
        <w:t xml:space="preserve"> </w:t>
      </w:r>
      <w:r w:rsidRPr="00B65344">
        <w:rPr>
          <w:rFonts w:ascii="Segoe UI" w:eastAsia="Times New Roman" w:hAnsi="Segoe UI" w:cs="Segoe UI"/>
          <w:b/>
          <w:bCs/>
          <w:color w:val="0F1115"/>
          <w:sz w:val="40"/>
          <w:szCs w:val="40"/>
        </w:rPr>
        <w:t>Whence Financial Services</w:t>
      </w:r>
    </w:p>
    <w:p w:rsidR="00480876" w:rsidRPr="00B65344" w:rsidRDefault="00480876" w:rsidP="00F050B8">
      <w:pPr>
        <w:shd w:val="clear" w:color="auto" w:fill="FFFFFF"/>
        <w:spacing w:after="240" w:line="450" w:lineRule="atLeast"/>
        <w:jc w:val="center"/>
        <w:outlineLvl w:val="2"/>
        <w:rPr>
          <w:rFonts w:ascii="Segoe UI" w:eastAsia="Times New Roman" w:hAnsi="Segoe UI" w:cs="Segoe UI"/>
          <w:b/>
          <w:bCs/>
          <w:color w:val="0F1115"/>
          <w:sz w:val="40"/>
          <w:szCs w:val="40"/>
        </w:rPr>
      </w:pPr>
    </w:p>
    <w:p w:rsidR="00B65344" w:rsidRPr="00BC4A3C" w:rsidRDefault="00B65344" w:rsidP="00B65344">
      <w:pPr>
        <w:shd w:val="clear" w:color="auto" w:fill="FFFFFF"/>
        <w:spacing w:before="240" w:after="120" w:line="420" w:lineRule="atLeast"/>
        <w:outlineLvl w:val="3"/>
        <w:rPr>
          <w:rFonts w:ascii="Segoe UI" w:eastAsia="Times New Roman" w:hAnsi="Segoe UI" w:cs="Segoe UI"/>
          <w:b/>
          <w:bCs/>
          <w:color w:val="00B0F0"/>
          <w:sz w:val="24"/>
          <w:szCs w:val="24"/>
        </w:rPr>
      </w:pPr>
      <w:r w:rsidRPr="00BC4A3C">
        <w:rPr>
          <w:rFonts w:ascii="Segoe UI" w:eastAsia="Times New Roman" w:hAnsi="Segoe UI" w:cs="Segoe UI"/>
          <w:b/>
          <w:bCs/>
          <w:color w:val="00B0F0"/>
          <w:sz w:val="24"/>
          <w:szCs w:val="24"/>
        </w:rPr>
        <w:t>1. Branch Structure &amp; Staffing</w:t>
      </w:r>
    </w:p>
    <w:p w:rsidR="00B65344" w:rsidRPr="00B65344" w:rsidRDefault="00B65344" w:rsidP="00480876">
      <w:pPr>
        <w:numPr>
          <w:ilvl w:val="0"/>
          <w:numId w:val="9"/>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Each branch operates with an average of </w:t>
      </w:r>
      <w:r w:rsidRPr="00B65344">
        <w:rPr>
          <w:rFonts w:ascii="Segoe UI" w:eastAsia="Times New Roman" w:hAnsi="Segoe UI" w:cs="Segoe UI"/>
          <w:b/>
          <w:bCs/>
          <w:color w:val="0F1115"/>
          <w:sz w:val="24"/>
          <w:szCs w:val="24"/>
        </w:rPr>
        <w:t>10 Loan Consultants (LCs)</w:t>
      </w:r>
      <w:r w:rsidRPr="00B65344">
        <w:rPr>
          <w:rFonts w:ascii="Segoe UI" w:eastAsia="Times New Roman" w:hAnsi="Segoe UI" w:cs="Segoe UI"/>
          <w:color w:val="0F1115"/>
          <w:sz w:val="24"/>
          <w:szCs w:val="24"/>
        </w:rPr>
        <w:t>, though this number can vary based on office space availability.</w:t>
      </w:r>
      <w:r w:rsidR="00480876">
        <w:rPr>
          <w:rFonts w:ascii="Segoe UI" w:eastAsia="Times New Roman" w:hAnsi="Segoe UI" w:cs="Segoe UI"/>
          <w:color w:val="0F1115"/>
          <w:sz w:val="24"/>
          <w:szCs w:val="24"/>
        </w:rPr>
        <w:t xml:space="preserve"> Currently, the least number of LCs at a branch is eight (08) and the highest is fifteen (15).</w:t>
      </w:r>
    </w:p>
    <w:p w:rsidR="00B65344" w:rsidRPr="00B65344" w:rsidRDefault="00B65344" w:rsidP="00480876">
      <w:pPr>
        <w:numPr>
          <w:ilvl w:val="0"/>
          <w:numId w:val="9"/>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Branches may operate </w:t>
      </w:r>
      <w:r w:rsidRPr="00B65344">
        <w:rPr>
          <w:rFonts w:ascii="Segoe UI" w:eastAsia="Times New Roman" w:hAnsi="Segoe UI" w:cs="Segoe UI"/>
          <w:b/>
          <w:bCs/>
          <w:color w:val="0F1115"/>
          <w:sz w:val="24"/>
          <w:szCs w:val="24"/>
        </w:rPr>
        <w:t>satellite offices</w:t>
      </w:r>
      <w:r w:rsidRPr="00B65344">
        <w:rPr>
          <w:rFonts w:ascii="Segoe UI" w:eastAsia="Times New Roman" w:hAnsi="Segoe UI" w:cs="Segoe UI"/>
          <w:color w:val="0F1115"/>
          <w:sz w:val="24"/>
          <w:szCs w:val="24"/>
        </w:rPr>
        <w:t> managed by the same branch manager.</w:t>
      </w:r>
    </w:p>
    <w:p w:rsidR="00B65344" w:rsidRPr="00B65344" w:rsidRDefault="00B65344" w:rsidP="00480876">
      <w:pPr>
        <w:numPr>
          <w:ilvl w:val="0"/>
          <w:numId w:val="9"/>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The institution currently has </w:t>
      </w:r>
      <w:r w:rsidRPr="00B65344">
        <w:rPr>
          <w:rFonts w:ascii="Segoe UI" w:eastAsia="Times New Roman" w:hAnsi="Segoe UI" w:cs="Segoe UI"/>
          <w:b/>
          <w:bCs/>
          <w:color w:val="0F1115"/>
          <w:sz w:val="24"/>
          <w:szCs w:val="24"/>
        </w:rPr>
        <w:t>40 active branches</w:t>
      </w:r>
      <w:r w:rsidRPr="00B65344">
        <w:rPr>
          <w:rFonts w:ascii="Segoe UI" w:eastAsia="Times New Roman" w:hAnsi="Segoe UI" w:cs="Segoe UI"/>
          <w:color w:val="0F1115"/>
          <w:sz w:val="24"/>
          <w:szCs w:val="24"/>
        </w:rPr>
        <w:t xml:space="preserve">, with plans to </w:t>
      </w:r>
      <w:r w:rsidR="00480876">
        <w:rPr>
          <w:rFonts w:ascii="Segoe UI" w:eastAsia="Times New Roman" w:hAnsi="Segoe UI" w:cs="Segoe UI"/>
          <w:color w:val="0F1115"/>
          <w:sz w:val="24"/>
          <w:szCs w:val="24"/>
        </w:rPr>
        <w:t xml:space="preserve">continue </w:t>
      </w:r>
      <w:r w:rsidRPr="00B65344">
        <w:rPr>
          <w:rFonts w:ascii="Segoe UI" w:eastAsia="Times New Roman" w:hAnsi="Segoe UI" w:cs="Segoe UI"/>
          <w:color w:val="0F1115"/>
          <w:sz w:val="24"/>
          <w:szCs w:val="24"/>
        </w:rPr>
        <w:t>expand</w:t>
      </w:r>
      <w:r w:rsidR="00480876">
        <w:rPr>
          <w:rFonts w:ascii="Segoe UI" w:eastAsia="Times New Roman" w:hAnsi="Segoe UI" w:cs="Segoe UI"/>
          <w:color w:val="0F1115"/>
          <w:sz w:val="24"/>
          <w:szCs w:val="24"/>
        </w:rPr>
        <w:t>ing</w:t>
      </w:r>
      <w:r w:rsidR="00AB7EF3">
        <w:rPr>
          <w:rFonts w:ascii="Segoe UI" w:eastAsia="Times New Roman" w:hAnsi="Segoe UI" w:cs="Segoe UI"/>
          <w:color w:val="0F1115"/>
          <w:sz w:val="24"/>
          <w:szCs w:val="24"/>
        </w:rPr>
        <w:t>,</w:t>
      </w:r>
      <w:r w:rsidR="00480876">
        <w:rPr>
          <w:rFonts w:ascii="Segoe UI" w:eastAsia="Times New Roman" w:hAnsi="Segoe UI" w:cs="Segoe UI"/>
          <w:color w:val="0F1115"/>
          <w:sz w:val="24"/>
          <w:szCs w:val="24"/>
        </w:rPr>
        <w:t xml:space="preserve"> aimed at reaching 100 in pursuit of the </w:t>
      </w:r>
      <w:r w:rsidR="00AB7EF3">
        <w:rPr>
          <w:rFonts w:ascii="Segoe UI" w:eastAsia="Times New Roman" w:hAnsi="Segoe UI" w:cs="Segoe UI"/>
          <w:color w:val="0F1115"/>
          <w:sz w:val="24"/>
          <w:szCs w:val="24"/>
        </w:rPr>
        <w:t xml:space="preserve">USD </w:t>
      </w:r>
      <w:r w:rsidR="00480876">
        <w:rPr>
          <w:rFonts w:ascii="Segoe UI" w:eastAsia="Times New Roman" w:hAnsi="Segoe UI" w:cs="Segoe UI"/>
          <w:color w:val="0F1115"/>
          <w:sz w:val="24"/>
          <w:szCs w:val="24"/>
        </w:rPr>
        <w:t xml:space="preserve">$100M </w:t>
      </w:r>
      <w:r w:rsidR="00AB7EF3">
        <w:rPr>
          <w:rFonts w:ascii="Segoe UI" w:eastAsia="Times New Roman" w:hAnsi="Segoe UI" w:cs="Segoe UI"/>
          <w:color w:val="0F1115"/>
          <w:sz w:val="24"/>
          <w:szCs w:val="24"/>
        </w:rPr>
        <w:t xml:space="preserve">five-year </w:t>
      </w:r>
      <w:r w:rsidR="00480876">
        <w:rPr>
          <w:rFonts w:ascii="Segoe UI" w:eastAsia="Times New Roman" w:hAnsi="Segoe UI" w:cs="Segoe UI"/>
          <w:color w:val="0F1115"/>
          <w:sz w:val="24"/>
          <w:szCs w:val="24"/>
        </w:rPr>
        <w:t>va</w:t>
      </w:r>
      <w:r w:rsidR="00AB7EF3">
        <w:rPr>
          <w:rFonts w:ascii="Segoe UI" w:eastAsia="Times New Roman" w:hAnsi="Segoe UI" w:cs="Segoe UI"/>
          <w:color w:val="0F1115"/>
          <w:sz w:val="24"/>
          <w:szCs w:val="24"/>
        </w:rPr>
        <w:t>luation target, from the current USD $5M valuation.</w:t>
      </w:r>
    </w:p>
    <w:p w:rsidR="00B65344" w:rsidRDefault="00B65344" w:rsidP="00480876">
      <w:pPr>
        <w:numPr>
          <w:ilvl w:val="0"/>
          <w:numId w:val="9"/>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Total workforce is approximately </w:t>
      </w:r>
      <w:r w:rsidRPr="00B65344">
        <w:rPr>
          <w:rFonts w:ascii="Segoe UI" w:eastAsia="Times New Roman" w:hAnsi="Segoe UI" w:cs="Segoe UI"/>
          <w:b/>
          <w:bCs/>
          <w:color w:val="0F1115"/>
          <w:sz w:val="24"/>
          <w:szCs w:val="24"/>
        </w:rPr>
        <w:t>400 employees</w:t>
      </w:r>
      <w:r w:rsidRPr="00B65344">
        <w:rPr>
          <w:rFonts w:ascii="Segoe UI" w:eastAsia="Times New Roman" w:hAnsi="Segoe UI" w:cs="Segoe UI"/>
          <w:color w:val="0F1115"/>
          <w:sz w:val="24"/>
          <w:szCs w:val="24"/>
        </w:rPr>
        <w:t> and growing.</w:t>
      </w:r>
    </w:p>
    <w:p w:rsidR="00BC4A3C" w:rsidRPr="00B65344" w:rsidRDefault="00BC4A3C" w:rsidP="00BC4A3C">
      <w:pPr>
        <w:shd w:val="clear" w:color="auto" w:fill="FFFFFF"/>
        <w:spacing w:before="100" w:beforeAutospacing="1" w:after="0" w:line="240" w:lineRule="auto"/>
        <w:ind w:left="360"/>
        <w:rPr>
          <w:rFonts w:ascii="Segoe UI" w:eastAsia="Times New Roman" w:hAnsi="Segoe UI" w:cs="Segoe UI"/>
          <w:color w:val="0F1115"/>
          <w:sz w:val="24"/>
          <w:szCs w:val="24"/>
        </w:rPr>
      </w:pPr>
    </w:p>
    <w:p w:rsidR="00B65344" w:rsidRPr="00BC4A3C" w:rsidRDefault="00B65344" w:rsidP="00B65344">
      <w:pPr>
        <w:shd w:val="clear" w:color="auto" w:fill="FFFFFF"/>
        <w:spacing w:before="240" w:after="120" w:line="420" w:lineRule="atLeast"/>
        <w:outlineLvl w:val="3"/>
        <w:rPr>
          <w:rFonts w:ascii="Segoe UI" w:eastAsia="Times New Roman" w:hAnsi="Segoe UI" w:cs="Segoe UI"/>
          <w:b/>
          <w:bCs/>
          <w:color w:val="00B0F0"/>
          <w:sz w:val="24"/>
          <w:szCs w:val="24"/>
        </w:rPr>
      </w:pPr>
      <w:r w:rsidRPr="00BC4A3C">
        <w:rPr>
          <w:rFonts w:ascii="Segoe UI" w:eastAsia="Times New Roman" w:hAnsi="Segoe UI" w:cs="Segoe UI"/>
          <w:b/>
          <w:bCs/>
          <w:color w:val="00B0F0"/>
          <w:sz w:val="24"/>
          <w:szCs w:val="24"/>
        </w:rPr>
        <w:t>2. Loan Consultant Performance &amp; Targets</w:t>
      </w:r>
    </w:p>
    <w:p w:rsidR="00B65344" w:rsidRPr="00B65344" w:rsidRDefault="00B65344" w:rsidP="00480876">
      <w:pPr>
        <w:numPr>
          <w:ilvl w:val="0"/>
          <w:numId w:val="10"/>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Each LC has a minimum monthly disbursement target of </w:t>
      </w:r>
      <w:r w:rsidRPr="00B65344">
        <w:rPr>
          <w:rFonts w:ascii="Segoe UI" w:eastAsia="Times New Roman" w:hAnsi="Segoe UI" w:cs="Segoe UI"/>
          <w:b/>
          <w:bCs/>
          <w:color w:val="0F1115"/>
          <w:sz w:val="24"/>
          <w:szCs w:val="24"/>
        </w:rPr>
        <w:t>K40,000.00</w:t>
      </w:r>
      <w:r w:rsidR="00480876">
        <w:rPr>
          <w:rFonts w:ascii="Segoe UI" w:eastAsia="Times New Roman" w:hAnsi="Segoe UI" w:cs="Segoe UI"/>
          <w:color w:val="0F1115"/>
          <w:sz w:val="24"/>
          <w:szCs w:val="24"/>
        </w:rPr>
        <w:t xml:space="preserve"> in their first month</w:t>
      </w:r>
      <w:r w:rsidR="00AB7EF3">
        <w:rPr>
          <w:rFonts w:ascii="Segoe UI" w:eastAsia="Times New Roman" w:hAnsi="Segoe UI" w:cs="Segoe UI"/>
          <w:color w:val="0F1115"/>
          <w:sz w:val="24"/>
          <w:szCs w:val="24"/>
        </w:rPr>
        <w:t xml:space="preserve"> of joining the institution. A</w:t>
      </w:r>
      <w:r w:rsidR="00480876">
        <w:rPr>
          <w:rFonts w:ascii="Segoe UI" w:eastAsia="Times New Roman" w:hAnsi="Segoe UI" w:cs="Segoe UI"/>
          <w:color w:val="0F1115"/>
          <w:sz w:val="24"/>
          <w:szCs w:val="24"/>
        </w:rPr>
        <w:t>fterward</w:t>
      </w:r>
      <w:r w:rsidR="00AB7EF3">
        <w:rPr>
          <w:rFonts w:ascii="Segoe UI" w:eastAsia="Times New Roman" w:hAnsi="Segoe UI" w:cs="Segoe UI"/>
          <w:color w:val="0F1115"/>
          <w:sz w:val="24"/>
          <w:szCs w:val="24"/>
        </w:rPr>
        <w:t>s</w:t>
      </w:r>
      <w:r w:rsidR="00480876">
        <w:rPr>
          <w:rFonts w:ascii="Segoe UI" w:eastAsia="Times New Roman" w:hAnsi="Segoe UI" w:cs="Segoe UI"/>
          <w:color w:val="0F1115"/>
          <w:sz w:val="24"/>
          <w:szCs w:val="24"/>
        </w:rPr>
        <w:t>, the target becomes giving out at least K40,000.00 each month and reducing the previous month disbursed amount with interest to below K5,000.00. This means, save for the first month in the institution</w:t>
      </w:r>
      <w:r w:rsidR="00AB7EF3">
        <w:rPr>
          <w:rFonts w:ascii="Segoe UI" w:eastAsia="Times New Roman" w:hAnsi="Segoe UI" w:cs="Segoe UI"/>
          <w:color w:val="0F1115"/>
          <w:sz w:val="24"/>
          <w:szCs w:val="24"/>
        </w:rPr>
        <w:t>,</w:t>
      </w:r>
      <w:r w:rsidR="00480876">
        <w:rPr>
          <w:rFonts w:ascii="Segoe UI" w:eastAsia="Times New Roman" w:hAnsi="Segoe UI" w:cs="Segoe UI"/>
          <w:color w:val="0F1115"/>
          <w:sz w:val="24"/>
          <w:szCs w:val="24"/>
        </w:rPr>
        <w:t xml:space="preserve"> giving out loans </w:t>
      </w:r>
      <w:r w:rsidR="00AB7EF3">
        <w:rPr>
          <w:rFonts w:ascii="Segoe UI" w:eastAsia="Times New Roman" w:hAnsi="Segoe UI" w:cs="Segoe UI"/>
          <w:color w:val="0F1115"/>
          <w:sz w:val="24"/>
          <w:szCs w:val="24"/>
        </w:rPr>
        <w:t>of at least K40,000.00 but failing to reduce the previous month’s outstanding due amount to below K5,000.00 is failing to meet one’s target.</w:t>
      </w:r>
    </w:p>
    <w:p w:rsidR="00B65344" w:rsidRPr="00B65344" w:rsidRDefault="00B65344" w:rsidP="00480876">
      <w:pPr>
        <w:numPr>
          <w:ilvl w:val="0"/>
          <w:numId w:val="10"/>
        </w:numPr>
        <w:shd w:val="clear" w:color="auto" w:fill="FFFFFF"/>
        <w:spacing w:before="100" w:beforeAutospacing="1" w:after="12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Bonus structure:</w:t>
      </w:r>
    </w:p>
    <w:p w:rsidR="00B65344" w:rsidRPr="00B65344" w:rsidRDefault="00B65344" w:rsidP="00480876">
      <w:pPr>
        <w:numPr>
          <w:ilvl w:val="1"/>
          <w:numId w:val="10"/>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b/>
          <w:bCs/>
          <w:color w:val="0F1115"/>
          <w:sz w:val="24"/>
          <w:szCs w:val="24"/>
        </w:rPr>
        <w:t>K50,000.00+</w:t>
      </w:r>
      <w:r w:rsidRPr="00B65344">
        <w:rPr>
          <w:rFonts w:ascii="Segoe UI" w:eastAsia="Times New Roman" w:hAnsi="Segoe UI" w:cs="Segoe UI"/>
          <w:color w:val="0F1115"/>
          <w:sz w:val="24"/>
          <w:szCs w:val="24"/>
        </w:rPr>
        <w:t> disbursed: Net bonus of K1,000.00 (approx. 13% of staff achieve this).</w:t>
      </w:r>
    </w:p>
    <w:p w:rsidR="00B65344" w:rsidRPr="00B65344" w:rsidRDefault="00B65344" w:rsidP="00480876">
      <w:pPr>
        <w:numPr>
          <w:ilvl w:val="1"/>
          <w:numId w:val="10"/>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b/>
          <w:bCs/>
          <w:color w:val="0F1115"/>
          <w:sz w:val="24"/>
          <w:szCs w:val="24"/>
        </w:rPr>
        <w:t>K80,000.00+ (double target)</w:t>
      </w:r>
      <w:r w:rsidRPr="00B65344">
        <w:rPr>
          <w:rFonts w:ascii="Segoe UI" w:eastAsia="Times New Roman" w:hAnsi="Segoe UI" w:cs="Segoe UI"/>
          <w:color w:val="0F1115"/>
          <w:sz w:val="24"/>
          <w:szCs w:val="24"/>
        </w:rPr>
        <w:t>: Net bonus of K3,000.00 (approx. 0.8% of staff achieve this).</w:t>
      </w:r>
    </w:p>
    <w:p w:rsidR="00B65344" w:rsidRPr="00B65344" w:rsidRDefault="00B65344" w:rsidP="00480876">
      <w:pPr>
        <w:numPr>
          <w:ilvl w:val="1"/>
          <w:numId w:val="10"/>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b/>
          <w:bCs/>
          <w:color w:val="0F1115"/>
          <w:sz w:val="24"/>
          <w:szCs w:val="24"/>
        </w:rPr>
        <w:t>K120,000.00+ (triple target)</w:t>
      </w:r>
      <w:r w:rsidRPr="00B65344">
        <w:rPr>
          <w:rFonts w:ascii="Segoe UI" w:eastAsia="Times New Roman" w:hAnsi="Segoe UI" w:cs="Segoe UI"/>
          <w:color w:val="0F1115"/>
          <w:sz w:val="24"/>
          <w:szCs w:val="24"/>
        </w:rPr>
        <w:t>: Net bonus of K4,000.00 (rare, only 3 staff have achieved historically).</w:t>
      </w:r>
    </w:p>
    <w:p w:rsidR="00B65344" w:rsidRPr="00B65344" w:rsidRDefault="00B65344" w:rsidP="00480876">
      <w:pPr>
        <w:numPr>
          <w:ilvl w:val="0"/>
          <w:numId w:val="10"/>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LCs must have </w:t>
      </w:r>
      <w:r w:rsidRPr="00B65344">
        <w:rPr>
          <w:rFonts w:ascii="Segoe UI" w:eastAsia="Times New Roman" w:hAnsi="Segoe UI" w:cs="Segoe UI"/>
          <w:b/>
          <w:bCs/>
          <w:color w:val="0F1115"/>
          <w:sz w:val="24"/>
          <w:szCs w:val="24"/>
        </w:rPr>
        <w:t>uncollected amounts below K5,000.00</w:t>
      </w:r>
      <w:r w:rsidRPr="00B65344">
        <w:rPr>
          <w:rFonts w:ascii="Segoe UI" w:eastAsia="Times New Roman" w:hAnsi="Segoe UI" w:cs="Segoe UI"/>
          <w:color w:val="0F1115"/>
          <w:sz w:val="24"/>
          <w:szCs w:val="24"/>
        </w:rPr>
        <w:t> from the previous cycle to be allowed to disburse more than K40,000.00.</w:t>
      </w:r>
      <w:r w:rsidR="00AB7EF3">
        <w:rPr>
          <w:rFonts w:ascii="Segoe UI" w:eastAsia="Times New Roman" w:hAnsi="Segoe UI" w:cs="Segoe UI"/>
          <w:color w:val="0F1115"/>
          <w:sz w:val="24"/>
          <w:szCs w:val="24"/>
        </w:rPr>
        <w:t xml:space="preserve"> This is meant to prevent LCs with a poor payment history to manage a bigger portfolio as this usually leads to defaults.</w:t>
      </w:r>
    </w:p>
    <w:p w:rsidR="00B65344" w:rsidRDefault="00B65344" w:rsidP="00480876">
      <w:pPr>
        <w:numPr>
          <w:ilvl w:val="0"/>
          <w:numId w:val="10"/>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lastRenderedPageBreak/>
        <w:t>High-performing LCs may temporarily take over the portfolios of underperforming LCs until their uncollected amounts are reduced</w:t>
      </w:r>
      <w:r w:rsidR="00AB7EF3">
        <w:rPr>
          <w:rFonts w:ascii="Segoe UI" w:eastAsia="Times New Roman" w:hAnsi="Segoe UI" w:cs="Segoe UI"/>
          <w:color w:val="0F1115"/>
          <w:sz w:val="24"/>
          <w:szCs w:val="24"/>
        </w:rPr>
        <w:t xml:space="preserve"> to below K5,000.00</w:t>
      </w:r>
      <w:r w:rsidRPr="00B65344">
        <w:rPr>
          <w:rFonts w:ascii="Segoe UI" w:eastAsia="Times New Roman" w:hAnsi="Segoe UI" w:cs="Segoe UI"/>
          <w:color w:val="0F1115"/>
          <w:sz w:val="24"/>
          <w:szCs w:val="24"/>
        </w:rPr>
        <w:t>.</w:t>
      </w:r>
    </w:p>
    <w:p w:rsidR="00BC4A3C" w:rsidRPr="00B65344" w:rsidRDefault="00BC4A3C" w:rsidP="00BC4A3C">
      <w:pPr>
        <w:shd w:val="clear" w:color="auto" w:fill="FFFFFF"/>
        <w:spacing w:before="100" w:beforeAutospacing="1" w:after="0" w:line="240" w:lineRule="auto"/>
        <w:ind w:left="720"/>
        <w:rPr>
          <w:rFonts w:ascii="Segoe UI" w:eastAsia="Times New Roman" w:hAnsi="Segoe UI" w:cs="Segoe UI"/>
          <w:color w:val="0F1115"/>
          <w:sz w:val="24"/>
          <w:szCs w:val="24"/>
        </w:rPr>
      </w:pPr>
    </w:p>
    <w:p w:rsidR="00B65344" w:rsidRPr="00BC4A3C" w:rsidRDefault="00B65344" w:rsidP="00B65344">
      <w:pPr>
        <w:shd w:val="clear" w:color="auto" w:fill="FFFFFF"/>
        <w:spacing w:before="240" w:after="120" w:line="420" w:lineRule="atLeast"/>
        <w:outlineLvl w:val="3"/>
        <w:rPr>
          <w:rFonts w:ascii="Segoe UI" w:eastAsia="Times New Roman" w:hAnsi="Segoe UI" w:cs="Segoe UI"/>
          <w:b/>
          <w:bCs/>
          <w:color w:val="00B0F0"/>
          <w:sz w:val="24"/>
          <w:szCs w:val="24"/>
        </w:rPr>
      </w:pPr>
      <w:r w:rsidRPr="00BC4A3C">
        <w:rPr>
          <w:rFonts w:ascii="Segoe UI" w:eastAsia="Times New Roman" w:hAnsi="Segoe UI" w:cs="Segoe UI"/>
          <w:b/>
          <w:bCs/>
          <w:color w:val="00B0F0"/>
          <w:sz w:val="24"/>
          <w:szCs w:val="24"/>
        </w:rPr>
        <w:t>3. Loan Products &amp; Interest Rates</w:t>
      </w:r>
    </w:p>
    <w:p w:rsidR="00B65344" w:rsidRPr="00B65344" w:rsidRDefault="00B65344" w:rsidP="00B65344">
      <w:pPr>
        <w:numPr>
          <w:ilvl w:val="0"/>
          <w:numId w:val="3"/>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Standard loan amounts range from </w:t>
      </w:r>
      <w:r w:rsidRPr="00B65344">
        <w:rPr>
          <w:rFonts w:ascii="Segoe UI" w:eastAsia="Times New Roman" w:hAnsi="Segoe UI" w:cs="Segoe UI"/>
          <w:b/>
          <w:bCs/>
          <w:color w:val="0F1115"/>
          <w:sz w:val="24"/>
          <w:szCs w:val="24"/>
        </w:rPr>
        <w:t>K500.00 to K3,500.00</w:t>
      </w:r>
      <w:r w:rsidRPr="00B65344">
        <w:rPr>
          <w:rFonts w:ascii="Segoe UI" w:eastAsia="Times New Roman" w:hAnsi="Segoe UI" w:cs="Segoe UI"/>
          <w:color w:val="0F1115"/>
          <w:sz w:val="24"/>
          <w:szCs w:val="24"/>
        </w:rPr>
        <w:t>, up to </w:t>
      </w:r>
      <w:r w:rsidRPr="00B65344">
        <w:rPr>
          <w:rFonts w:ascii="Segoe UI" w:eastAsia="Times New Roman" w:hAnsi="Segoe UI" w:cs="Segoe UI"/>
          <w:b/>
          <w:bCs/>
          <w:color w:val="0F1115"/>
          <w:sz w:val="24"/>
          <w:szCs w:val="24"/>
        </w:rPr>
        <w:t>K5,000.00</w:t>
      </w:r>
      <w:r w:rsidRPr="00B65344">
        <w:rPr>
          <w:rFonts w:ascii="Segoe UI" w:eastAsia="Times New Roman" w:hAnsi="Segoe UI" w:cs="Segoe UI"/>
          <w:color w:val="0F1115"/>
          <w:sz w:val="24"/>
          <w:szCs w:val="24"/>
        </w:rPr>
        <w:t> for trusted clients.</w:t>
      </w:r>
    </w:p>
    <w:p w:rsidR="00B65344" w:rsidRPr="00B65344" w:rsidRDefault="00B65344" w:rsidP="00B65344">
      <w:pPr>
        <w:numPr>
          <w:ilvl w:val="0"/>
          <w:numId w:val="3"/>
        </w:numPr>
        <w:shd w:val="clear" w:color="auto" w:fill="FFFFFF"/>
        <w:spacing w:before="100" w:beforeAutospacing="1" w:after="12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Interest rates are tiered based on repayment period:</w:t>
      </w:r>
    </w:p>
    <w:p w:rsidR="00B65344" w:rsidRPr="00B65344" w:rsidRDefault="00B65344" w:rsidP="00B65344">
      <w:pPr>
        <w:numPr>
          <w:ilvl w:val="1"/>
          <w:numId w:val="3"/>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b/>
          <w:bCs/>
          <w:color w:val="0F1115"/>
          <w:sz w:val="24"/>
          <w:szCs w:val="24"/>
        </w:rPr>
        <w:t>15%</w:t>
      </w:r>
      <w:r w:rsidRPr="00B65344">
        <w:rPr>
          <w:rFonts w:ascii="Segoe UI" w:eastAsia="Times New Roman" w:hAnsi="Segoe UI" w:cs="Segoe UI"/>
          <w:color w:val="0F1115"/>
          <w:sz w:val="24"/>
          <w:szCs w:val="24"/>
        </w:rPr>
        <w:t> if repaid within 1 week (~5.35% of clients</w:t>
      </w:r>
      <w:r w:rsidR="000C30A1">
        <w:rPr>
          <w:rFonts w:ascii="Segoe UI" w:eastAsia="Times New Roman" w:hAnsi="Segoe UI" w:cs="Segoe UI"/>
          <w:color w:val="0F1115"/>
          <w:sz w:val="24"/>
          <w:szCs w:val="24"/>
        </w:rPr>
        <w:t xml:space="preserve"> pay at this rate</w:t>
      </w:r>
      <w:r w:rsidRPr="00B65344">
        <w:rPr>
          <w:rFonts w:ascii="Segoe UI" w:eastAsia="Times New Roman" w:hAnsi="Segoe UI" w:cs="Segoe UI"/>
          <w:color w:val="0F1115"/>
          <w:sz w:val="24"/>
          <w:szCs w:val="24"/>
        </w:rPr>
        <w:t>)</w:t>
      </w:r>
    </w:p>
    <w:p w:rsidR="00B65344" w:rsidRPr="00B65344" w:rsidRDefault="00B65344" w:rsidP="00B65344">
      <w:pPr>
        <w:numPr>
          <w:ilvl w:val="1"/>
          <w:numId w:val="3"/>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b/>
          <w:bCs/>
          <w:color w:val="0F1115"/>
          <w:sz w:val="24"/>
          <w:szCs w:val="24"/>
        </w:rPr>
        <w:t>30%</w:t>
      </w:r>
      <w:r w:rsidRPr="00B65344">
        <w:rPr>
          <w:rFonts w:ascii="Segoe UI" w:eastAsia="Times New Roman" w:hAnsi="Segoe UI" w:cs="Segoe UI"/>
          <w:color w:val="0F1115"/>
          <w:sz w:val="24"/>
          <w:szCs w:val="24"/>
        </w:rPr>
        <w:t> if repaid within 2 weeks (~3.65% of clients</w:t>
      </w:r>
      <w:r w:rsidR="000C30A1">
        <w:rPr>
          <w:rFonts w:ascii="Segoe UI" w:eastAsia="Times New Roman" w:hAnsi="Segoe UI" w:cs="Segoe UI"/>
          <w:color w:val="0F1115"/>
          <w:sz w:val="24"/>
          <w:szCs w:val="24"/>
        </w:rPr>
        <w:t xml:space="preserve"> pay at this rate</w:t>
      </w:r>
      <w:r w:rsidRPr="00B65344">
        <w:rPr>
          <w:rFonts w:ascii="Segoe UI" w:eastAsia="Times New Roman" w:hAnsi="Segoe UI" w:cs="Segoe UI"/>
          <w:color w:val="0F1115"/>
          <w:sz w:val="24"/>
          <w:szCs w:val="24"/>
        </w:rPr>
        <w:t>)</w:t>
      </w:r>
    </w:p>
    <w:p w:rsidR="00B65344" w:rsidRPr="00B65344" w:rsidRDefault="00B65344" w:rsidP="00B65344">
      <w:pPr>
        <w:numPr>
          <w:ilvl w:val="1"/>
          <w:numId w:val="3"/>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b/>
          <w:bCs/>
          <w:color w:val="0F1115"/>
          <w:sz w:val="24"/>
          <w:szCs w:val="24"/>
        </w:rPr>
        <w:t>35%</w:t>
      </w:r>
      <w:r w:rsidRPr="00B65344">
        <w:rPr>
          <w:rFonts w:ascii="Segoe UI" w:eastAsia="Times New Roman" w:hAnsi="Segoe UI" w:cs="Segoe UI"/>
          <w:color w:val="0F1115"/>
          <w:sz w:val="24"/>
          <w:szCs w:val="24"/>
        </w:rPr>
        <w:t> if repaid within 3 weeks (~3.87% of clients</w:t>
      </w:r>
      <w:r w:rsidR="000C30A1">
        <w:rPr>
          <w:rFonts w:ascii="Segoe UI" w:eastAsia="Times New Roman" w:hAnsi="Segoe UI" w:cs="Segoe UI"/>
          <w:color w:val="0F1115"/>
          <w:sz w:val="24"/>
          <w:szCs w:val="24"/>
        </w:rPr>
        <w:t xml:space="preserve"> pay at this rate</w:t>
      </w:r>
      <w:r w:rsidRPr="00B65344">
        <w:rPr>
          <w:rFonts w:ascii="Segoe UI" w:eastAsia="Times New Roman" w:hAnsi="Segoe UI" w:cs="Segoe UI"/>
          <w:color w:val="0F1115"/>
          <w:sz w:val="24"/>
          <w:szCs w:val="24"/>
        </w:rPr>
        <w:t>)</w:t>
      </w:r>
    </w:p>
    <w:p w:rsidR="00B65344" w:rsidRDefault="00B65344" w:rsidP="00B65344">
      <w:pPr>
        <w:numPr>
          <w:ilvl w:val="1"/>
          <w:numId w:val="3"/>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b/>
          <w:bCs/>
          <w:color w:val="0F1115"/>
          <w:sz w:val="24"/>
          <w:szCs w:val="24"/>
        </w:rPr>
        <w:t>40%</w:t>
      </w:r>
      <w:r w:rsidRPr="00B65344">
        <w:rPr>
          <w:rFonts w:ascii="Segoe UI" w:eastAsia="Times New Roman" w:hAnsi="Segoe UI" w:cs="Segoe UI"/>
          <w:color w:val="0F1115"/>
          <w:sz w:val="24"/>
          <w:szCs w:val="24"/>
        </w:rPr>
        <w:t> if repaid within 1 month (~87.31% of clients</w:t>
      </w:r>
      <w:r w:rsidR="000C30A1">
        <w:rPr>
          <w:rFonts w:ascii="Segoe UI" w:eastAsia="Times New Roman" w:hAnsi="Segoe UI" w:cs="Segoe UI"/>
          <w:color w:val="0F1115"/>
          <w:sz w:val="24"/>
          <w:szCs w:val="24"/>
        </w:rPr>
        <w:t xml:space="preserve"> pay at this rate</w:t>
      </w:r>
      <w:r w:rsidRPr="00B65344">
        <w:rPr>
          <w:rFonts w:ascii="Segoe UI" w:eastAsia="Times New Roman" w:hAnsi="Segoe UI" w:cs="Segoe UI"/>
          <w:color w:val="0F1115"/>
          <w:sz w:val="24"/>
          <w:szCs w:val="24"/>
        </w:rPr>
        <w:t>)</w:t>
      </w:r>
    </w:p>
    <w:p w:rsidR="00802064" w:rsidRPr="00802064" w:rsidRDefault="00802064" w:rsidP="00802064">
      <w:pPr>
        <w:pStyle w:val="ListParagraph"/>
        <w:numPr>
          <w:ilvl w:val="0"/>
          <w:numId w:val="3"/>
        </w:numPr>
        <w:shd w:val="clear" w:color="auto" w:fill="FFFFFF"/>
        <w:spacing w:before="240" w:after="240" w:line="240" w:lineRule="auto"/>
        <w:rPr>
          <w:rFonts w:ascii="Segoe UI" w:eastAsia="Times New Roman" w:hAnsi="Segoe UI" w:cs="Segoe UI"/>
          <w:color w:val="0F1115"/>
          <w:sz w:val="24"/>
          <w:szCs w:val="24"/>
        </w:rPr>
      </w:pPr>
      <w:r w:rsidRPr="00802064">
        <w:rPr>
          <w:rFonts w:ascii="Segoe UI" w:eastAsia="Times New Roman" w:hAnsi="Segoe UI" w:cs="Segoe UI"/>
          <w:b/>
          <w:bCs/>
          <w:color w:val="0F1115"/>
          <w:sz w:val="24"/>
          <w:szCs w:val="24"/>
        </w:rPr>
        <w:t>Interest Rate &amp; Repayment Profile (Current 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2"/>
        <w:gridCol w:w="1864"/>
        <w:gridCol w:w="2379"/>
        <w:gridCol w:w="2605"/>
      </w:tblGrid>
      <w:tr w:rsidR="00802064" w:rsidRPr="00F64950" w:rsidTr="00D04056">
        <w:trPr>
          <w:trHeight w:val="605"/>
          <w:tblHeader/>
        </w:trPr>
        <w:tc>
          <w:tcPr>
            <w:tcW w:w="0" w:type="auto"/>
            <w:tcMar>
              <w:top w:w="150" w:type="dxa"/>
              <w:left w:w="0" w:type="dxa"/>
              <w:bottom w:w="150" w:type="dxa"/>
              <w:right w:w="240" w:type="dxa"/>
            </w:tcMar>
            <w:vAlign w:val="center"/>
            <w:hideMark/>
          </w:tcPr>
          <w:p w:rsidR="00802064" w:rsidRPr="00F64950" w:rsidRDefault="00802064" w:rsidP="00D04056">
            <w:pPr>
              <w:spacing w:after="0" w:line="375" w:lineRule="atLeast"/>
              <w:rPr>
                <w:rFonts w:ascii="Segoe UI" w:eastAsia="Times New Roman" w:hAnsi="Segoe UI" w:cs="Segoe UI"/>
                <w:sz w:val="23"/>
                <w:szCs w:val="23"/>
              </w:rPr>
            </w:pPr>
            <w:r w:rsidRPr="00F64950">
              <w:rPr>
                <w:rFonts w:ascii="Segoe UI" w:eastAsia="Times New Roman" w:hAnsi="Segoe UI" w:cs="Segoe UI"/>
                <w:b/>
                <w:bCs/>
                <w:sz w:val="23"/>
                <w:szCs w:val="23"/>
              </w:rPr>
              <w:t>Repayment Period</w:t>
            </w:r>
          </w:p>
        </w:tc>
        <w:tc>
          <w:tcPr>
            <w:tcW w:w="0" w:type="auto"/>
            <w:tcMar>
              <w:top w:w="150" w:type="dxa"/>
              <w:left w:w="240" w:type="dxa"/>
              <w:bottom w:w="150" w:type="dxa"/>
              <w:right w:w="240" w:type="dxa"/>
            </w:tcMar>
            <w:vAlign w:val="center"/>
            <w:hideMark/>
          </w:tcPr>
          <w:p w:rsidR="00802064" w:rsidRPr="00F64950" w:rsidRDefault="00802064" w:rsidP="00D04056">
            <w:pPr>
              <w:spacing w:after="0" w:line="375" w:lineRule="atLeast"/>
              <w:rPr>
                <w:rFonts w:ascii="Segoe UI" w:eastAsia="Times New Roman" w:hAnsi="Segoe UI" w:cs="Segoe UI"/>
                <w:sz w:val="23"/>
                <w:szCs w:val="23"/>
              </w:rPr>
            </w:pPr>
            <w:r w:rsidRPr="00F64950">
              <w:rPr>
                <w:rFonts w:ascii="Segoe UI" w:eastAsia="Times New Roman" w:hAnsi="Segoe UI" w:cs="Segoe UI"/>
                <w:b/>
                <w:bCs/>
                <w:sz w:val="23"/>
                <w:szCs w:val="23"/>
              </w:rPr>
              <w:t>Interest Rate</w:t>
            </w:r>
          </w:p>
        </w:tc>
        <w:tc>
          <w:tcPr>
            <w:tcW w:w="2379" w:type="dxa"/>
            <w:tcMar>
              <w:top w:w="150" w:type="dxa"/>
              <w:left w:w="240" w:type="dxa"/>
              <w:bottom w:w="150" w:type="dxa"/>
              <w:right w:w="240" w:type="dxa"/>
            </w:tcMar>
            <w:vAlign w:val="center"/>
            <w:hideMark/>
          </w:tcPr>
          <w:p w:rsidR="00802064" w:rsidRPr="00F64950" w:rsidRDefault="00802064" w:rsidP="00D04056">
            <w:pPr>
              <w:spacing w:after="0" w:line="375" w:lineRule="atLeast"/>
              <w:rPr>
                <w:rFonts w:ascii="Segoe UI" w:eastAsia="Times New Roman" w:hAnsi="Segoe UI" w:cs="Segoe UI"/>
                <w:sz w:val="23"/>
                <w:szCs w:val="23"/>
              </w:rPr>
            </w:pPr>
            <w:r w:rsidRPr="00F64950">
              <w:rPr>
                <w:rFonts w:ascii="Segoe UI" w:eastAsia="Times New Roman" w:hAnsi="Segoe UI" w:cs="Segoe UI"/>
                <w:b/>
                <w:bCs/>
                <w:sz w:val="23"/>
                <w:szCs w:val="23"/>
              </w:rPr>
              <w:t>% of Clients</w:t>
            </w:r>
          </w:p>
        </w:tc>
        <w:tc>
          <w:tcPr>
            <w:tcW w:w="2605" w:type="dxa"/>
            <w:tcMar>
              <w:top w:w="150" w:type="dxa"/>
              <w:left w:w="240" w:type="dxa"/>
              <w:bottom w:w="150" w:type="dxa"/>
              <w:right w:w="240" w:type="dxa"/>
            </w:tcMar>
            <w:vAlign w:val="center"/>
            <w:hideMark/>
          </w:tcPr>
          <w:p w:rsidR="00802064" w:rsidRPr="00F64950" w:rsidRDefault="00802064" w:rsidP="00D04056">
            <w:pPr>
              <w:spacing w:after="0" w:line="375" w:lineRule="atLeast"/>
              <w:rPr>
                <w:rFonts w:ascii="Segoe UI" w:eastAsia="Times New Roman" w:hAnsi="Segoe UI" w:cs="Segoe UI"/>
                <w:sz w:val="23"/>
                <w:szCs w:val="23"/>
              </w:rPr>
            </w:pPr>
            <w:r w:rsidRPr="00F64950">
              <w:rPr>
                <w:rFonts w:ascii="Segoe UI" w:eastAsia="Times New Roman" w:hAnsi="Segoe UI" w:cs="Segoe UI"/>
                <w:b/>
                <w:bCs/>
                <w:sz w:val="23"/>
                <w:szCs w:val="23"/>
              </w:rPr>
              <w:t>Weighted Interest Contribution</w:t>
            </w:r>
          </w:p>
        </w:tc>
      </w:tr>
      <w:tr w:rsidR="00802064" w:rsidRPr="00F64950" w:rsidTr="00D04056">
        <w:trPr>
          <w:trHeight w:val="173"/>
        </w:trPr>
        <w:tc>
          <w:tcPr>
            <w:tcW w:w="0" w:type="auto"/>
            <w:tcMar>
              <w:top w:w="150" w:type="dxa"/>
              <w:left w:w="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Within 1 Week</w:t>
            </w:r>
          </w:p>
        </w:tc>
        <w:tc>
          <w:tcPr>
            <w:tcW w:w="0" w:type="auto"/>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15%</w:t>
            </w:r>
          </w:p>
        </w:tc>
        <w:tc>
          <w:tcPr>
            <w:tcW w:w="2379" w:type="dxa"/>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5.35%</w:t>
            </w:r>
          </w:p>
        </w:tc>
        <w:tc>
          <w:tcPr>
            <w:tcW w:w="2605" w:type="dxa"/>
            <w:tcMar>
              <w:top w:w="150" w:type="dxa"/>
              <w:left w:w="240" w:type="dxa"/>
              <w:bottom w:w="150" w:type="dxa"/>
              <w:right w:w="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0.80%</w:t>
            </w:r>
          </w:p>
        </w:tc>
      </w:tr>
      <w:tr w:rsidR="00802064" w:rsidRPr="00F64950" w:rsidTr="00D04056">
        <w:trPr>
          <w:trHeight w:val="308"/>
        </w:trPr>
        <w:tc>
          <w:tcPr>
            <w:tcW w:w="2502" w:type="dxa"/>
            <w:tcMar>
              <w:top w:w="150" w:type="dxa"/>
              <w:left w:w="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Within 2 Weeks</w:t>
            </w:r>
          </w:p>
        </w:tc>
        <w:tc>
          <w:tcPr>
            <w:tcW w:w="1864" w:type="dxa"/>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30%</w:t>
            </w:r>
          </w:p>
        </w:tc>
        <w:tc>
          <w:tcPr>
            <w:tcW w:w="2379" w:type="dxa"/>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3.65%</w:t>
            </w:r>
          </w:p>
        </w:tc>
        <w:tc>
          <w:tcPr>
            <w:tcW w:w="2605" w:type="dxa"/>
            <w:tcMar>
              <w:top w:w="150" w:type="dxa"/>
              <w:left w:w="240" w:type="dxa"/>
              <w:bottom w:w="150" w:type="dxa"/>
              <w:right w:w="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1.10%</w:t>
            </w:r>
          </w:p>
        </w:tc>
      </w:tr>
      <w:tr w:rsidR="00802064" w:rsidRPr="00F64950" w:rsidTr="00D04056">
        <w:tc>
          <w:tcPr>
            <w:tcW w:w="0" w:type="auto"/>
            <w:tcMar>
              <w:top w:w="150" w:type="dxa"/>
              <w:left w:w="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Within 3 Weeks</w:t>
            </w:r>
          </w:p>
        </w:tc>
        <w:tc>
          <w:tcPr>
            <w:tcW w:w="0" w:type="auto"/>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35%</w:t>
            </w:r>
          </w:p>
        </w:tc>
        <w:tc>
          <w:tcPr>
            <w:tcW w:w="2379" w:type="dxa"/>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3.87%</w:t>
            </w:r>
          </w:p>
        </w:tc>
        <w:tc>
          <w:tcPr>
            <w:tcW w:w="2605" w:type="dxa"/>
            <w:tcMar>
              <w:top w:w="150" w:type="dxa"/>
              <w:left w:w="240" w:type="dxa"/>
              <w:bottom w:w="150" w:type="dxa"/>
              <w:right w:w="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1.35%</w:t>
            </w:r>
          </w:p>
        </w:tc>
      </w:tr>
      <w:tr w:rsidR="00802064" w:rsidRPr="00F64950" w:rsidTr="00D04056">
        <w:tc>
          <w:tcPr>
            <w:tcW w:w="0" w:type="auto"/>
            <w:tcMar>
              <w:top w:w="150" w:type="dxa"/>
              <w:left w:w="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Within 1 Month</w:t>
            </w:r>
          </w:p>
        </w:tc>
        <w:tc>
          <w:tcPr>
            <w:tcW w:w="0" w:type="auto"/>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40%</w:t>
            </w:r>
          </w:p>
        </w:tc>
        <w:tc>
          <w:tcPr>
            <w:tcW w:w="2379" w:type="dxa"/>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87.31%</w:t>
            </w:r>
          </w:p>
        </w:tc>
        <w:tc>
          <w:tcPr>
            <w:tcW w:w="2605" w:type="dxa"/>
            <w:tcMar>
              <w:top w:w="150" w:type="dxa"/>
              <w:left w:w="240" w:type="dxa"/>
              <w:bottom w:w="150" w:type="dxa"/>
              <w:right w:w="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sz w:val="20"/>
                <w:szCs w:val="20"/>
              </w:rPr>
              <w:t>34.92%</w:t>
            </w:r>
          </w:p>
        </w:tc>
      </w:tr>
      <w:tr w:rsidR="00802064" w:rsidRPr="00F64950" w:rsidTr="00D04056">
        <w:tc>
          <w:tcPr>
            <w:tcW w:w="0" w:type="auto"/>
            <w:tcMar>
              <w:top w:w="150" w:type="dxa"/>
              <w:left w:w="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b/>
                <w:bCs/>
                <w:sz w:val="20"/>
                <w:szCs w:val="20"/>
              </w:rPr>
              <w:t>Total</w:t>
            </w:r>
          </w:p>
        </w:tc>
        <w:tc>
          <w:tcPr>
            <w:tcW w:w="0" w:type="auto"/>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p>
        </w:tc>
        <w:tc>
          <w:tcPr>
            <w:tcW w:w="2379" w:type="dxa"/>
            <w:tcMar>
              <w:top w:w="150" w:type="dxa"/>
              <w:left w:w="240" w:type="dxa"/>
              <w:bottom w:w="150" w:type="dxa"/>
              <w:right w:w="24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b/>
                <w:bCs/>
                <w:sz w:val="20"/>
                <w:szCs w:val="20"/>
              </w:rPr>
              <w:t>100.00%</w:t>
            </w:r>
          </w:p>
        </w:tc>
        <w:tc>
          <w:tcPr>
            <w:tcW w:w="2605" w:type="dxa"/>
            <w:tcMar>
              <w:top w:w="150" w:type="dxa"/>
              <w:left w:w="240" w:type="dxa"/>
              <w:bottom w:w="150" w:type="dxa"/>
              <w:right w:w="0" w:type="dxa"/>
            </w:tcMar>
            <w:vAlign w:val="center"/>
            <w:hideMark/>
          </w:tcPr>
          <w:p w:rsidR="00802064" w:rsidRPr="00B33DB6" w:rsidRDefault="00802064" w:rsidP="00D04056">
            <w:pPr>
              <w:spacing w:after="0" w:line="375" w:lineRule="atLeast"/>
              <w:rPr>
                <w:rFonts w:ascii="Segoe UI" w:eastAsia="Times New Roman" w:hAnsi="Segoe UI" w:cs="Segoe UI"/>
                <w:sz w:val="20"/>
                <w:szCs w:val="20"/>
              </w:rPr>
            </w:pPr>
            <w:r w:rsidRPr="00B33DB6">
              <w:rPr>
                <w:rFonts w:ascii="Segoe UI" w:eastAsia="Times New Roman" w:hAnsi="Segoe UI" w:cs="Segoe UI"/>
                <w:b/>
                <w:bCs/>
                <w:sz w:val="20"/>
                <w:szCs w:val="20"/>
              </w:rPr>
              <w:t>38.17% (</w:t>
            </w:r>
            <w:proofErr w:type="spellStart"/>
            <w:r w:rsidRPr="00B33DB6">
              <w:rPr>
                <w:rFonts w:ascii="Segoe UI" w:eastAsia="Times New Roman" w:hAnsi="Segoe UI" w:cs="Segoe UI"/>
                <w:b/>
                <w:bCs/>
                <w:sz w:val="20"/>
                <w:szCs w:val="20"/>
              </w:rPr>
              <w:t>Avg</w:t>
            </w:r>
            <w:proofErr w:type="spellEnd"/>
            <w:r w:rsidRPr="00B33DB6">
              <w:rPr>
                <w:rFonts w:ascii="Segoe UI" w:eastAsia="Times New Roman" w:hAnsi="Segoe UI" w:cs="Segoe UI"/>
                <w:b/>
                <w:bCs/>
                <w:sz w:val="20"/>
                <w:szCs w:val="20"/>
              </w:rPr>
              <w:t xml:space="preserve"> Effective Rate)</w:t>
            </w:r>
          </w:p>
        </w:tc>
      </w:tr>
    </w:tbl>
    <w:p w:rsidR="00802064" w:rsidRPr="00802064" w:rsidRDefault="00802064" w:rsidP="00802064">
      <w:pPr>
        <w:pStyle w:val="ListParagraph"/>
        <w:numPr>
          <w:ilvl w:val="0"/>
          <w:numId w:val="3"/>
        </w:numPr>
        <w:shd w:val="clear" w:color="auto" w:fill="FFFFFF"/>
        <w:spacing w:before="240" w:after="240" w:line="240" w:lineRule="auto"/>
        <w:rPr>
          <w:rFonts w:ascii="Segoe UI" w:eastAsia="Times New Roman" w:hAnsi="Segoe UI" w:cs="Segoe UI"/>
          <w:color w:val="0F1115"/>
          <w:sz w:val="24"/>
          <w:szCs w:val="24"/>
        </w:rPr>
      </w:pPr>
      <w:r w:rsidRPr="00802064">
        <w:rPr>
          <w:rFonts w:ascii="Segoe UI" w:eastAsia="Times New Roman" w:hAnsi="Segoe UI" w:cs="Segoe UI"/>
          <w:b/>
          <w:i/>
          <w:iCs/>
          <w:color w:val="0F1115"/>
          <w:sz w:val="24"/>
          <w:szCs w:val="24"/>
        </w:rPr>
        <w:t>Note</w:t>
      </w:r>
      <w:r w:rsidRPr="00802064">
        <w:rPr>
          <w:rFonts w:ascii="Segoe UI" w:eastAsia="Times New Roman" w:hAnsi="Segoe UI" w:cs="Segoe UI"/>
          <w:i/>
          <w:iCs/>
          <w:color w:val="0F1115"/>
          <w:sz w:val="24"/>
          <w:szCs w:val="24"/>
        </w:rPr>
        <w:t>: Minor rounding differences exist. The effective interest rate used for projections is </w:t>
      </w:r>
      <w:r w:rsidRPr="00802064">
        <w:rPr>
          <w:rFonts w:ascii="Segoe UI" w:eastAsia="Times New Roman" w:hAnsi="Segoe UI" w:cs="Segoe UI"/>
          <w:b/>
          <w:bCs/>
          <w:i/>
          <w:iCs/>
          <w:color w:val="0F1115"/>
          <w:sz w:val="24"/>
          <w:szCs w:val="24"/>
        </w:rPr>
        <w:t>38.2%</w:t>
      </w:r>
      <w:r w:rsidRPr="00802064">
        <w:rPr>
          <w:rFonts w:ascii="Segoe UI" w:eastAsia="Times New Roman" w:hAnsi="Segoe UI" w:cs="Segoe UI"/>
          <w:i/>
          <w:iCs/>
          <w:color w:val="0F1115"/>
          <w:sz w:val="24"/>
          <w:szCs w:val="24"/>
        </w:rPr>
        <w:t>.</w:t>
      </w:r>
    </w:p>
    <w:p w:rsidR="00B65344" w:rsidRPr="00B65344" w:rsidRDefault="00B65344" w:rsidP="00B65344">
      <w:pPr>
        <w:numPr>
          <w:ilvl w:val="0"/>
          <w:numId w:val="3"/>
        </w:numPr>
        <w:shd w:val="clear" w:color="auto" w:fill="FFFFFF"/>
        <w:spacing w:before="100" w:beforeAutospacing="1" w:after="120" w:line="240" w:lineRule="auto"/>
        <w:rPr>
          <w:rFonts w:ascii="Segoe UI" w:eastAsia="Times New Roman" w:hAnsi="Segoe UI" w:cs="Segoe UI"/>
          <w:color w:val="0F1115"/>
          <w:sz w:val="24"/>
          <w:szCs w:val="24"/>
        </w:rPr>
      </w:pPr>
      <w:r w:rsidRPr="00B65344">
        <w:rPr>
          <w:rFonts w:ascii="Segoe UI" w:eastAsia="Times New Roman" w:hAnsi="Segoe UI" w:cs="Segoe UI"/>
          <w:b/>
          <w:bCs/>
          <w:color w:val="0F1115"/>
          <w:sz w:val="24"/>
          <w:szCs w:val="24"/>
        </w:rPr>
        <w:t>Motor Vehicle Loan Product</w:t>
      </w:r>
      <w:r w:rsidRPr="00B65344">
        <w:rPr>
          <w:rFonts w:ascii="Segoe UI" w:eastAsia="Times New Roman" w:hAnsi="Segoe UI" w:cs="Segoe UI"/>
          <w:color w:val="0F1115"/>
          <w:sz w:val="24"/>
          <w:szCs w:val="24"/>
        </w:rPr>
        <w:t>:</w:t>
      </w:r>
    </w:p>
    <w:p w:rsidR="00B65344" w:rsidRPr="00B65344" w:rsidRDefault="00B65344" w:rsidP="00B65344">
      <w:pPr>
        <w:numPr>
          <w:ilvl w:val="1"/>
          <w:numId w:val="3"/>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Managed centrally from HQ in Lusaka.</w:t>
      </w:r>
    </w:p>
    <w:p w:rsidR="00B65344" w:rsidRPr="00B65344" w:rsidRDefault="00B65344" w:rsidP="00B65344">
      <w:pPr>
        <w:numPr>
          <w:ilvl w:val="1"/>
          <w:numId w:val="3"/>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Loan range: </w:t>
      </w:r>
      <w:r w:rsidRPr="00B65344">
        <w:rPr>
          <w:rFonts w:ascii="Segoe UI" w:eastAsia="Times New Roman" w:hAnsi="Segoe UI" w:cs="Segoe UI"/>
          <w:b/>
          <w:bCs/>
          <w:color w:val="0F1115"/>
          <w:sz w:val="24"/>
          <w:szCs w:val="24"/>
        </w:rPr>
        <w:t>K5,000.00 to K100,000.00</w:t>
      </w:r>
      <w:r w:rsidRPr="00B65344">
        <w:rPr>
          <w:rFonts w:ascii="Segoe UI" w:eastAsia="Times New Roman" w:hAnsi="Segoe UI" w:cs="Segoe UI"/>
          <w:color w:val="0F1115"/>
          <w:sz w:val="24"/>
          <w:szCs w:val="24"/>
        </w:rPr>
        <w:t>.</w:t>
      </w:r>
    </w:p>
    <w:p w:rsidR="00B65344" w:rsidRPr="00B65344" w:rsidRDefault="00B65344" w:rsidP="00B65344">
      <w:pPr>
        <w:numPr>
          <w:ilvl w:val="1"/>
          <w:numId w:val="3"/>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lastRenderedPageBreak/>
        <w:t>Branches can refer clients and share profits with the central department.</w:t>
      </w:r>
    </w:p>
    <w:p w:rsidR="00B65344" w:rsidRPr="00BC4A3C" w:rsidRDefault="00B65344" w:rsidP="00B65344">
      <w:pPr>
        <w:shd w:val="clear" w:color="auto" w:fill="FFFFFF"/>
        <w:spacing w:before="240" w:after="120" w:line="420" w:lineRule="atLeast"/>
        <w:outlineLvl w:val="3"/>
        <w:rPr>
          <w:rFonts w:ascii="Segoe UI" w:eastAsia="Times New Roman" w:hAnsi="Segoe UI" w:cs="Segoe UI"/>
          <w:b/>
          <w:bCs/>
          <w:color w:val="00B0F0"/>
          <w:sz w:val="24"/>
          <w:szCs w:val="24"/>
        </w:rPr>
      </w:pPr>
      <w:r w:rsidRPr="00BC4A3C">
        <w:rPr>
          <w:rFonts w:ascii="Segoe UI" w:eastAsia="Times New Roman" w:hAnsi="Segoe UI" w:cs="Segoe UI"/>
          <w:b/>
          <w:bCs/>
          <w:color w:val="00B0F0"/>
          <w:sz w:val="24"/>
          <w:szCs w:val="24"/>
        </w:rPr>
        <w:t>4. Risk Management &amp; Defaults</w:t>
      </w:r>
    </w:p>
    <w:p w:rsidR="00BC4A3C" w:rsidRPr="00BC4A3C" w:rsidRDefault="00BC4A3C" w:rsidP="00BC4A3C">
      <w:pPr>
        <w:shd w:val="clear" w:color="auto" w:fill="FFFFFF"/>
        <w:spacing w:before="240" w:after="120" w:line="420" w:lineRule="atLeast"/>
        <w:outlineLvl w:val="3"/>
        <w:rPr>
          <w:rFonts w:ascii="Segoe UI" w:eastAsia="Times New Roman" w:hAnsi="Segoe UI" w:cs="Segoe UI"/>
          <w:b/>
          <w:bCs/>
          <w:color w:val="0F1115"/>
          <w:sz w:val="24"/>
          <w:szCs w:val="24"/>
        </w:rPr>
      </w:pPr>
      <w:r w:rsidRPr="00BC4A3C">
        <w:rPr>
          <w:rFonts w:ascii="Segoe UI" w:eastAsia="Times New Roman" w:hAnsi="Segoe UI" w:cs="Segoe UI"/>
          <w:b/>
          <w:bCs/>
          <w:color w:val="0F1115"/>
          <w:sz w:val="24"/>
          <w:szCs w:val="24"/>
        </w:rPr>
        <w:t>1. Default Rate Definition &amp; Initial Recognition</w:t>
      </w:r>
    </w:p>
    <w:p w:rsidR="00BC4A3C" w:rsidRPr="00BC4A3C" w:rsidRDefault="00BC4A3C" w:rsidP="00BC4A3C">
      <w:pPr>
        <w:numPr>
          <w:ilvl w:val="0"/>
          <w:numId w:val="13"/>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color w:val="0F1115"/>
          <w:sz w:val="24"/>
          <w:szCs w:val="24"/>
        </w:rPr>
        <w:t>The institution's </w:t>
      </w:r>
      <w:r w:rsidRPr="00BC4A3C">
        <w:rPr>
          <w:rFonts w:ascii="Segoe UI" w:eastAsia="Times New Roman" w:hAnsi="Segoe UI" w:cs="Segoe UI"/>
          <w:b/>
          <w:bCs/>
          <w:color w:val="0F1115"/>
          <w:sz w:val="24"/>
          <w:szCs w:val="24"/>
        </w:rPr>
        <w:t>annual default rate is 28.36%</w:t>
      </w:r>
      <w:r w:rsidRPr="00BC4A3C">
        <w:rPr>
          <w:rFonts w:ascii="Segoe UI" w:eastAsia="Times New Roman" w:hAnsi="Segoe UI" w:cs="Segoe UI"/>
          <w:color w:val="0F1115"/>
          <w:sz w:val="24"/>
          <w:szCs w:val="24"/>
        </w:rPr>
        <w:t>. This is defined as the percentage of the total principal + interest due in a given month (Month-1) that is not collected by the end of that month.</w:t>
      </w:r>
    </w:p>
    <w:p w:rsidR="00BC4A3C" w:rsidRPr="00BC4A3C" w:rsidRDefault="00BC4A3C" w:rsidP="00BC4A3C">
      <w:pPr>
        <w:numPr>
          <w:ilvl w:val="0"/>
          <w:numId w:val="13"/>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Crucially, a "default" in Month-1 is not a total loss.</w:t>
      </w:r>
      <w:r w:rsidRPr="00BC4A3C">
        <w:rPr>
          <w:rFonts w:ascii="Segoe UI" w:eastAsia="Times New Roman" w:hAnsi="Segoe UI" w:cs="Segoe UI"/>
          <w:color w:val="0F1115"/>
          <w:sz w:val="24"/>
          <w:szCs w:val="24"/>
        </w:rPr>
        <w:t> It represents delayed collections, which are pursued through a structured, multi-month recovery process.</w:t>
      </w:r>
    </w:p>
    <w:p w:rsidR="00BC4A3C" w:rsidRPr="00BC4A3C" w:rsidRDefault="00BC4A3C" w:rsidP="00BC4A3C">
      <w:pPr>
        <w:shd w:val="clear" w:color="auto" w:fill="FFFFFF"/>
        <w:spacing w:before="240" w:after="240" w:line="420" w:lineRule="atLeast"/>
        <w:outlineLvl w:val="3"/>
        <w:rPr>
          <w:rFonts w:ascii="Segoe UI" w:eastAsia="Times New Roman" w:hAnsi="Segoe UI" w:cs="Segoe UI"/>
          <w:b/>
          <w:bCs/>
          <w:color w:val="0F1115"/>
          <w:sz w:val="24"/>
          <w:szCs w:val="24"/>
        </w:rPr>
      </w:pPr>
      <w:r w:rsidRPr="00BC4A3C">
        <w:rPr>
          <w:rFonts w:ascii="Segoe UI" w:eastAsia="Times New Roman" w:hAnsi="Segoe UI" w:cs="Segoe UI"/>
          <w:b/>
          <w:bCs/>
          <w:color w:val="0F1115"/>
          <w:sz w:val="24"/>
          <w:szCs w:val="24"/>
        </w:rPr>
        <w:t>2. Collections Waterfall (Post-Month-1 Recovery)</w:t>
      </w:r>
    </w:p>
    <w:p w:rsidR="00BC4A3C" w:rsidRPr="00BC4A3C" w:rsidRDefault="00BC4A3C" w:rsidP="00BC4A3C">
      <w:pPr>
        <w:shd w:val="clear" w:color="auto" w:fill="FFFFFF"/>
        <w:spacing w:before="240" w:after="240" w:line="240" w:lineRule="auto"/>
        <w:rPr>
          <w:rFonts w:ascii="Segoe UI" w:eastAsia="Times New Roman" w:hAnsi="Segoe UI" w:cs="Segoe UI"/>
          <w:color w:val="0F1115"/>
          <w:sz w:val="24"/>
          <w:szCs w:val="24"/>
        </w:rPr>
      </w:pPr>
      <w:r w:rsidRPr="00BC4A3C">
        <w:rPr>
          <w:rFonts w:ascii="Segoe UI" w:eastAsia="Times New Roman" w:hAnsi="Segoe UI" w:cs="Segoe UI"/>
          <w:color w:val="0F1115"/>
          <w:sz w:val="24"/>
          <w:szCs w:val="24"/>
        </w:rPr>
        <w:t>Analysis of historical data reveals the following recovery pattern for amounts defaulted in Month-1:</w:t>
      </w:r>
    </w:p>
    <w:tbl>
      <w:tblPr>
        <w:tblW w:w="101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5"/>
        <w:gridCol w:w="3835"/>
        <w:gridCol w:w="3668"/>
      </w:tblGrid>
      <w:tr w:rsidR="00BC4A3C" w:rsidRPr="00BC4A3C" w:rsidTr="00ED08F0">
        <w:trPr>
          <w:tblHeader/>
        </w:trPr>
        <w:tc>
          <w:tcPr>
            <w:tcW w:w="0" w:type="auto"/>
            <w:tcMar>
              <w:top w:w="150" w:type="dxa"/>
              <w:left w:w="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sz w:val="23"/>
                <w:szCs w:val="23"/>
              </w:rPr>
              <w:t>Recovery Month</w:t>
            </w:r>
          </w:p>
        </w:tc>
        <w:tc>
          <w:tcPr>
            <w:tcW w:w="3835" w:type="dxa"/>
            <w:tcMar>
              <w:top w:w="150" w:type="dxa"/>
              <w:left w:w="24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sz w:val="23"/>
                <w:szCs w:val="23"/>
              </w:rPr>
              <w:t>% of Month-1 Defaults Recovered</w:t>
            </w:r>
          </w:p>
        </w:tc>
        <w:tc>
          <w:tcPr>
            <w:tcW w:w="3668" w:type="dxa"/>
            <w:tcMar>
              <w:top w:w="150" w:type="dxa"/>
              <w:left w:w="24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sz w:val="23"/>
                <w:szCs w:val="23"/>
              </w:rPr>
              <w:t>Cumulative Recovery %</w:t>
            </w:r>
          </w:p>
        </w:tc>
      </w:tr>
      <w:tr w:rsidR="00BC4A3C" w:rsidRPr="00BC4A3C" w:rsidTr="00ED08F0">
        <w:tc>
          <w:tcPr>
            <w:tcW w:w="0" w:type="auto"/>
            <w:tcMar>
              <w:top w:w="150" w:type="dxa"/>
              <w:left w:w="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b/>
                <w:bCs/>
                <w:sz w:val="23"/>
                <w:szCs w:val="23"/>
              </w:rPr>
              <w:t>Month-2</w:t>
            </w:r>
          </w:p>
        </w:tc>
        <w:tc>
          <w:tcPr>
            <w:tcW w:w="3835" w:type="dxa"/>
            <w:tcMar>
              <w:top w:w="150" w:type="dxa"/>
              <w:left w:w="24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b/>
                <w:bCs/>
                <w:sz w:val="23"/>
                <w:szCs w:val="23"/>
              </w:rPr>
              <w:t>36.74%</w:t>
            </w:r>
          </w:p>
        </w:tc>
        <w:tc>
          <w:tcPr>
            <w:tcW w:w="3668" w:type="dxa"/>
            <w:tcMar>
              <w:top w:w="150" w:type="dxa"/>
              <w:left w:w="240" w:type="dxa"/>
              <w:bottom w:w="150" w:type="dxa"/>
              <w:right w:w="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sz w:val="23"/>
                <w:szCs w:val="23"/>
              </w:rPr>
              <w:t>36.74%</w:t>
            </w:r>
          </w:p>
        </w:tc>
      </w:tr>
      <w:tr w:rsidR="00BC4A3C" w:rsidRPr="00BC4A3C" w:rsidTr="00ED08F0">
        <w:tc>
          <w:tcPr>
            <w:tcW w:w="0" w:type="auto"/>
            <w:tcMar>
              <w:top w:w="150" w:type="dxa"/>
              <w:left w:w="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b/>
                <w:bCs/>
                <w:sz w:val="23"/>
                <w:szCs w:val="23"/>
              </w:rPr>
              <w:t>Month-3</w:t>
            </w:r>
          </w:p>
        </w:tc>
        <w:tc>
          <w:tcPr>
            <w:tcW w:w="3835" w:type="dxa"/>
            <w:tcMar>
              <w:top w:w="150" w:type="dxa"/>
              <w:left w:w="24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b/>
                <w:bCs/>
                <w:sz w:val="23"/>
                <w:szCs w:val="23"/>
              </w:rPr>
              <w:t>13.17%</w:t>
            </w:r>
          </w:p>
        </w:tc>
        <w:tc>
          <w:tcPr>
            <w:tcW w:w="3668" w:type="dxa"/>
            <w:tcMar>
              <w:top w:w="150" w:type="dxa"/>
              <w:left w:w="240" w:type="dxa"/>
              <w:bottom w:w="150" w:type="dxa"/>
              <w:right w:w="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sz w:val="23"/>
                <w:szCs w:val="23"/>
              </w:rPr>
              <w:t>49.91%</w:t>
            </w:r>
          </w:p>
        </w:tc>
      </w:tr>
      <w:tr w:rsidR="00BC4A3C" w:rsidRPr="00BC4A3C" w:rsidTr="00ED08F0">
        <w:tc>
          <w:tcPr>
            <w:tcW w:w="0" w:type="auto"/>
            <w:tcMar>
              <w:top w:w="150" w:type="dxa"/>
              <w:left w:w="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b/>
                <w:bCs/>
                <w:sz w:val="23"/>
                <w:szCs w:val="23"/>
              </w:rPr>
              <w:t>Month-4</w:t>
            </w:r>
          </w:p>
        </w:tc>
        <w:tc>
          <w:tcPr>
            <w:tcW w:w="3835" w:type="dxa"/>
            <w:tcMar>
              <w:top w:w="150" w:type="dxa"/>
              <w:left w:w="24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b/>
                <w:bCs/>
                <w:sz w:val="23"/>
                <w:szCs w:val="23"/>
              </w:rPr>
              <w:t>6.14%</w:t>
            </w:r>
          </w:p>
        </w:tc>
        <w:tc>
          <w:tcPr>
            <w:tcW w:w="3668" w:type="dxa"/>
            <w:tcMar>
              <w:top w:w="150" w:type="dxa"/>
              <w:left w:w="240" w:type="dxa"/>
              <w:bottom w:w="150" w:type="dxa"/>
              <w:right w:w="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sz w:val="23"/>
                <w:szCs w:val="23"/>
              </w:rPr>
              <w:t>56.05%</w:t>
            </w:r>
          </w:p>
        </w:tc>
      </w:tr>
      <w:tr w:rsidR="00BC4A3C" w:rsidRPr="00BC4A3C" w:rsidTr="00ED08F0">
        <w:tc>
          <w:tcPr>
            <w:tcW w:w="0" w:type="auto"/>
            <w:tcMar>
              <w:top w:w="150" w:type="dxa"/>
              <w:left w:w="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b/>
                <w:bCs/>
                <w:sz w:val="23"/>
                <w:szCs w:val="23"/>
              </w:rPr>
              <w:t>Beyond Month-4</w:t>
            </w:r>
          </w:p>
        </w:tc>
        <w:tc>
          <w:tcPr>
            <w:tcW w:w="3835" w:type="dxa"/>
            <w:tcMar>
              <w:top w:w="150" w:type="dxa"/>
              <w:left w:w="240" w:type="dxa"/>
              <w:bottom w:w="150" w:type="dxa"/>
              <w:right w:w="24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b/>
                <w:bCs/>
                <w:sz w:val="23"/>
                <w:szCs w:val="23"/>
              </w:rPr>
              <w:t>43.95%</w:t>
            </w:r>
          </w:p>
        </w:tc>
        <w:tc>
          <w:tcPr>
            <w:tcW w:w="3668" w:type="dxa"/>
            <w:tcMar>
              <w:top w:w="150" w:type="dxa"/>
              <w:left w:w="240" w:type="dxa"/>
              <w:bottom w:w="150" w:type="dxa"/>
              <w:right w:w="0" w:type="dxa"/>
            </w:tcMar>
            <w:vAlign w:val="center"/>
            <w:hideMark/>
          </w:tcPr>
          <w:p w:rsidR="00BC4A3C" w:rsidRPr="00BC4A3C" w:rsidRDefault="00BC4A3C" w:rsidP="00BC4A3C">
            <w:pPr>
              <w:spacing w:after="0" w:line="375" w:lineRule="atLeast"/>
              <w:rPr>
                <w:rFonts w:ascii="Segoe UI" w:eastAsia="Times New Roman" w:hAnsi="Segoe UI" w:cs="Segoe UI"/>
                <w:sz w:val="23"/>
                <w:szCs w:val="23"/>
              </w:rPr>
            </w:pPr>
            <w:r w:rsidRPr="00BC4A3C">
              <w:rPr>
                <w:rFonts w:ascii="Segoe UI" w:eastAsia="Times New Roman" w:hAnsi="Segoe UI" w:cs="Segoe UI"/>
                <w:sz w:val="23"/>
                <w:szCs w:val="23"/>
              </w:rPr>
              <w:t>100.00%</w:t>
            </w:r>
          </w:p>
        </w:tc>
      </w:tr>
    </w:tbl>
    <w:p w:rsidR="00BC4A3C" w:rsidRPr="00BC4A3C" w:rsidRDefault="00BC4A3C" w:rsidP="00BC4A3C">
      <w:pPr>
        <w:shd w:val="clear" w:color="auto" w:fill="FFFFFF"/>
        <w:spacing w:before="240" w:after="24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Interpretation &amp; Impact:</w:t>
      </w:r>
    </w:p>
    <w:p w:rsidR="00BC4A3C" w:rsidRPr="00BC4A3C" w:rsidRDefault="00BC4A3C" w:rsidP="00BC4A3C">
      <w:pPr>
        <w:numPr>
          <w:ilvl w:val="0"/>
          <w:numId w:val="14"/>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color w:val="0F1115"/>
          <w:sz w:val="24"/>
          <w:szCs w:val="24"/>
        </w:rPr>
        <w:t>Only </w:t>
      </w:r>
      <w:r w:rsidRPr="00BC4A3C">
        <w:rPr>
          <w:rFonts w:ascii="Segoe UI" w:eastAsia="Times New Roman" w:hAnsi="Segoe UI" w:cs="Segoe UI"/>
          <w:b/>
          <w:bCs/>
          <w:color w:val="0F1115"/>
          <w:sz w:val="24"/>
          <w:szCs w:val="24"/>
        </w:rPr>
        <w:t>43.95%</w:t>
      </w:r>
      <w:r w:rsidRPr="00BC4A3C">
        <w:rPr>
          <w:rFonts w:ascii="Segoe UI" w:eastAsia="Times New Roman" w:hAnsi="Segoe UI" w:cs="Segoe UI"/>
          <w:color w:val="0F1115"/>
          <w:sz w:val="24"/>
          <w:szCs w:val="24"/>
        </w:rPr>
        <w:t> of the initial default balance becomes a </w:t>
      </w:r>
      <w:r w:rsidRPr="00BC4A3C">
        <w:rPr>
          <w:rFonts w:ascii="Segoe UI" w:eastAsia="Times New Roman" w:hAnsi="Segoe UI" w:cs="Segoe UI"/>
          <w:b/>
          <w:bCs/>
          <w:color w:val="0F1115"/>
          <w:sz w:val="24"/>
          <w:szCs w:val="24"/>
        </w:rPr>
        <w:t>Long-Term Delinquent Portfolio</w:t>
      </w:r>
      <w:r w:rsidRPr="00BC4A3C">
        <w:rPr>
          <w:rFonts w:ascii="Segoe UI" w:eastAsia="Times New Roman" w:hAnsi="Segoe UI" w:cs="Segoe UI"/>
          <w:color w:val="0F1115"/>
          <w:sz w:val="24"/>
          <w:szCs w:val="24"/>
        </w:rPr>
        <w:t> handed to the central Recoveries Department.</w:t>
      </w:r>
    </w:p>
    <w:p w:rsidR="00BC4A3C" w:rsidRPr="00BC4A3C" w:rsidRDefault="00BC4A3C" w:rsidP="00BC4A3C">
      <w:pPr>
        <w:numPr>
          <w:ilvl w:val="0"/>
          <w:numId w:val="14"/>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56.05%</w:t>
      </w:r>
      <w:r w:rsidRPr="00BC4A3C">
        <w:rPr>
          <w:rFonts w:ascii="Segoe UI" w:eastAsia="Times New Roman" w:hAnsi="Segoe UI" w:cs="Segoe UI"/>
          <w:color w:val="0F1115"/>
          <w:sz w:val="24"/>
          <w:szCs w:val="24"/>
        </w:rPr>
        <w:t> of "defaults" are actually collected by the branch within the following 3 months, representing critical delayed cash flow.</w:t>
      </w:r>
    </w:p>
    <w:p w:rsidR="00BC4A3C" w:rsidRPr="00BC4A3C" w:rsidRDefault="00BC4A3C" w:rsidP="00BC4A3C">
      <w:pPr>
        <w:shd w:val="clear" w:color="auto" w:fill="FFFFFF"/>
        <w:spacing w:before="240" w:after="120" w:line="420" w:lineRule="atLeast"/>
        <w:outlineLvl w:val="3"/>
        <w:rPr>
          <w:rFonts w:ascii="Segoe UI" w:eastAsia="Times New Roman" w:hAnsi="Segoe UI" w:cs="Segoe UI"/>
          <w:b/>
          <w:bCs/>
          <w:color w:val="0F1115"/>
          <w:sz w:val="24"/>
          <w:szCs w:val="24"/>
        </w:rPr>
      </w:pPr>
      <w:r w:rsidRPr="00BC4A3C">
        <w:rPr>
          <w:rFonts w:ascii="Segoe UI" w:eastAsia="Times New Roman" w:hAnsi="Segoe UI" w:cs="Segoe UI"/>
          <w:b/>
          <w:bCs/>
          <w:color w:val="0F1115"/>
          <w:sz w:val="24"/>
          <w:szCs w:val="24"/>
        </w:rPr>
        <w:t>3. Operational Implications &amp; Branch-Level Accounting</w:t>
      </w:r>
    </w:p>
    <w:p w:rsidR="00BC4A3C" w:rsidRPr="00BC4A3C" w:rsidRDefault="00BC4A3C" w:rsidP="00BC4A3C">
      <w:pPr>
        <w:numPr>
          <w:ilvl w:val="0"/>
          <w:numId w:val="15"/>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lastRenderedPageBreak/>
        <w:t>Branch P&amp;L Responsibility:</w:t>
      </w:r>
      <w:r w:rsidRPr="00BC4A3C">
        <w:rPr>
          <w:rFonts w:ascii="Segoe UI" w:eastAsia="Times New Roman" w:hAnsi="Segoe UI" w:cs="Segoe UI"/>
          <w:color w:val="0F1115"/>
          <w:sz w:val="24"/>
          <w:szCs w:val="24"/>
        </w:rPr>
        <w:t> Branches are responsible for collections up to </w:t>
      </w:r>
      <w:r w:rsidRPr="00BC4A3C">
        <w:rPr>
          <w:rFonts w:ascii="Segoe UI" w:eastAsia="Times New Roman" w:hAnsi="Segoe UI" w:cs="Segoe UI"/>
          <w:b/>
          <w:bCs/>
          <w:color w:val="0F1115"/>
          <w:sz w:val="24"/>
          <w:szCs w:val="24"/>
        </w:rPr>
        <w:t>Month-4</w:t>
      </w:r>
      <w:r w:rsidRPr="00BC4A3C">
        <w:rPr>
          <w:rFonts w:ascii="Segoe UI" w:eastAsia="Times New Roman" w:hAnsi="Segoe UI" w:cs="Segoe UI"/>
          <w:color w:val="0F1115"/>
          <w:sz w:val="24"/>
          <w:szCs w:val="24"/>
        </w:rPr>
        <w:t>. Revenue recognition should be adjusted to reflect expected collections from this waterfall.</w:t>
      </w:r>
    </w:p>
    <w:p w:rsidR="00BC4A3C" w:rsidRPr="00BC4A3C" w:rsidRDefault="00BC4A3C" w:rsidP="00BC4A3C">
      <w:pPr>
        <w:numPr>
          <w:ilvl w:val="0"/>
          <w:numId w:val="15"/>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Provisioning:</w:t>
      </w:r>
      <w:r w:rsidRPr="00BC4A3C">
        <w:rPr>
          <w:rFonts w:ascii="Segoe UI" w:eastAsia="Times New Roman" w:hAnsi="Segoe UI" w:cs="Segoe UI"/>
          <w:color w:val="0F1115"/>
          <w:sz w:val="24"/>
          <w:szCs w:val="24"/>
        </w:rPr>
        <w:t> Financial reports should account for the </w:t>
      </w:r>
      <w:r w:rsidRPr="00BC4A3C">
        <w:rPr>
          <w:rFonts w:ascii="Segoe UI" w:eastAsia="Times New Roman" w:hAnsi="Segoe UI" w:cs="Segoe UI"/>
          <w:b/>
          <w:bCs/>
          <w:color w:val="0F1115"/>
          <w:sz w:val="24"/>
          <w:szCs w:val="24"/>
        </w:rPr>
        <w:t>43.95%</w:t>
      </w:r>
      <w:r w:rsidRPr="00BC4A3C">
        <w:rPr>
          <w:rFonts w:ascii="Segoe UI" w:eastAsia="Times New Roman" w:hAnsi="Segoe UI" w:cs="Segoe UI"/>
          <w:color w:val="0F1115"/>
          <w:sz w:val="24"/>
          <w:szCs w:val="24"/>
        </w:rPr>
        <w:t> of Month-1 defaults that are likely to become long-term delinquent. A provision for bad debts should be raised monthly based on this percentage.</w:t>
      </w:r>
    </w:p>
    <w:p w:rsidR="00BC4A3C" w:rsidRPr="00BC4A3C" w:rsidRDefault="00BC4A3C" w:rsidP="00BC4A3C">
      <w:pPr>
        <w:numPr>
          <w:ilvl w:val="0"/>
          <w:numId w:val="15"/>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Recoveries Department Handover:</w:t>
      </w:r>
      <w:r w:rsidRPr="00BC4A3C">
        <w:rPr>
          <w:rFonts w:ascii="Segoe UI" w:eastAsia="Times New Roman" w:hAnsi="Segoe UI" w:cs="Segoe UI"/>
          <w:color w:val="0F1115"/>
          <w:sz w:val="24"/>
          <w:szCs w:val="24"/>
        </w:rPr>
        <w:t> Any unpaid amount remaining after Month-4 is formally transferred to the Recoveries Department. Branches cease active collection efforts on these accounts but may assist with client information.</w:t>
      </w:r>
    </w:p>
    <w:p w:rsidR="00BC4A3C" w:rsidRPr="00BC4A3C" w:rsidRDefault="00BC4A3C" w:rsidP="00BC4A3C">
      <w:pPr>
        <w:shd w:val="clear" w:color="auto" w:fill="FFFFFF"/>
        <w:spacing w:before="240" w:after="240" w:line="420" w:lineRule="atLeast"/>
        <w:outlineLvl w:val="3"/>
        <w:rPr>
          <w:rFonts w:ascii="Segoe UI" w:eastAsia="Times New Roman" w:hAnsi="Segoe UI" w:cs="Segoe UI"/>
          <w:b/>
          <w:bCs/>
          <w:color w:val="0F1115"/>
          <w:sz w:val="24"/>
          <w:szCs w:val="24"/>
        </w:rPr>
      </w:pPr>
      <w:r w:rsidRPr="00BC4A3C">
        <w:rPr>
          <w:rFonts w:ascii="Segoe UI" w:eastAsia="Times New Roman" w:hAnsi="Segoe UI" w:cs="Segoe UI"/>
          <w:b/>
          <w:bCs/>
          <w:color w:val="0F1115"/>
          <w:sz w:val="24"/>
          <w:szCs w:val="24"/>
        </w:rPr>
        <w:t>4. Enhanced Performance Metrics &amp; Incentives</w:t>
      </w:r>
    </w:p>
    <w:p w:rsidR="00BC4A3C" w:rsidRPr="00BC4A3C" w:rsidRDefault="00BC4A3C" w:rsidP="00BC4A3C">
      <w:pPr>
        <w:shd w:val="clear" w:color="auto" w:fill="FFFFFF"/>
        <w:spacing w:before="240" w:after="240" w:line="240" w:lineRule="auto"/>
        <w:rPr>
          <w:rFonts w:ascii="Segoe UI" w:eastAsia="Times New Roman" w:hAnsi="Segoe UI" w:cs="Segoe UI"/>
          <w:color w:val="0F1115"/>
          <w:sz w:val="24"/>
          <w:szCs w:val="24"/>
        </w:rPr>
      </w:pPr>
      <w:r w:rsidRPr="00BC4A3C">
        <w:rPr>
          <w:rFonts w:ascii="Segoe UI" w:eastAsia="Times New Roman" w:hAnsi="Segoe UI" w:cs="Segoe UI"/>
          <w:color w:val="0F1115"/>
          <w:sz w:val="24"/>
          <w:szCs w:val="24"/>
        </w:rPr>
        <w:t>This analysis creates new, nuanced Key Performance Indicators (KPIs) for Branch Managers and LCs:</w:t>
      </w:r>
    </w:p>
    <w:p w:rsidR="00BC4A3C" w:rsidRPr="00BC4A3C" w:rsidRDefault="00BC4A3C" w:rsidP="00BC4A3C">
      <w:pPr>
        <w:numPr>
          <w:ilvl w:val="0"/>
          <w:numId w:val="16"/>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Month-1 Collection Rate:</w:t>
      </w:r>
      <w:r w:rsidRPr="00BC4A3C">
        <w:rPr>
          <w:rFonts w:ascii="Segoe UI" w:eastAsia="Times New Roman" w:hAnsi="Segoe UI" w:cs="Segoe UI"/>
          <w:color w:val="0F1115"/>
          <w:sz w:val="24"/>
          <w:szCs w:val="24"/>
        </w:rPr>
        <w:t> The primary efficiency metric (target: 71.64% of interest-inclusive amount).</w:t>
      </w:r>
    </w:p>
    <w:p w:rsidR="00BC4A3C" w:rsidRPr="00BC4A3C" w:rsidRDefault="00BC4A3C" w:rsidP="00BC4A3C">
      <w:pPr>
        <w:numPr>
          <w:ilvl w:val="0"/>
          <w:numId w:val="16"/>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Delinquency Roll-Rate:</w:t>
      </w:r>
      <w:r w:rsidRPr="00BC4A3C">
        <w:rPr>
          <w:rFonts w:ascii="Segoe UI" w:eastAsia="Times New Roman" w:hAnsi="Segoe UI" w:cs="Segoe UI"/>
          <w:color w:val="0F1115"/>
          <w:sz w:val="24"/>
          <w:szCs w:val="24"/>
        </w:rPr>
        <w:t> The percentage of Month-1 defaults successfully collected in </w:t>
      </w:r>
      <w:r w:rsidRPr="00BC4A3C">
        <w:rPr>
          <w:rFonts w:ascii="Segoe UI" w:eastAsia="Times New Roman" w:hAnsi="Segoe UI" w:cs="Segoe UI"/>
          <w:b/>
          <w:bCs/>
          <w:color w:val="0F1115"/>
          <w:sz w:val="24"/>
          <w:szCs w:val="24"/>
        </w:rPr>
        <w:t>Month-2</w:t>
      </w:r>
      <w:r w:rsidRPr="00BC4A3C">
        <w:rPr>
          <w:rFonts w:ascii="Segoe UI" w:eastAsia="Times New Roman" w:hAnsi="Segoe UI" w:cs="Segoe UI"/>
          <w:color w:val="0F1115"/>
          <w:sz w:val="24"/>
          <w:szCs w:val="24"/>
        </w:rPr>
        <w:t> (target: ≥ 36.74%). This measures the effectiveness of immediate follow-up.</w:t>
      </w:r>
    </w:p>
    <w:p w:rsidR="00BC4A3C" w:rsidRPr="00BC4A3C" w:rsidRDefault="00BC4A3C" w:rsidP="00BC4A3C">
      <w:pPr>
        <w:numPr>
          <w:ilvl w:val="0"/>
          <w:numId w:val="16"/>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Cumulative In-House Recovery Rate:</w:t>
      </w:r>
      <w:r w:rsidRPr="00BC4A3C">
        <w:rPr>
          <w:rFonts w:ascii="Segoe UI" w:eastAsia="Times New Roman" w:hAnsi="Segoe UI" w:cs="Segoe UI"/>
          <w:color w:val="0F1115"/>
          <w:sz w:val="24"/>
          <w:szCs w:val="24"/>
        </w:rPr>
        <w:t> The total percentage of Month-1 defaults collected by the branch by the end of </w:t>
      </w:r>
      <w:r w:rsidRPr="00BC4A3C">
        <w:rPr>
          <w:rFonts w:ascii="Segoe UI" w:eastAsia="Times New Roman" w:hAnsi="Segoe UI" w:cs="Segoe UI"/>
          <w:b/>
          <w:bCs/>
          <w:color w:val="0F1115"/>
          <w:sz w:val="24"/>
          <w:szCs w:val="24"/>
        </w:rPr>
        <w:t>Month-4</w:t>
      </w:r>
      <w:r w:rsidRPr="00BC4A3C">
        <w:rPr>
          <w:rFonts w:ascii="Segoe UI" w:eastAsia="Times New Roman" w:hAnsi="Segoe UI" w:cs="Segoe UI"/>
          <w:color w:val="0F1115"/>
          <w:sz w:val="24"/>
          <w:szCs w:val="24"/>
        </w:rPr>
        <w:t> (target: ≥ 56.05%). </w:t>
      </w:r>
      <w:r w:rsidRPr="00BC4A3C">
        <w:rPr>
          <w:rFonts w:ascii="Segoe UI" w:eastAsia="Times New Roman" w:hAnsi="Segoe UI" w:cs="Segoe UI"/>
          <w:b/>
          <w:bCs/>
          <w:color w:val="0F1115"/>
          <w:sz w:val="24"/>
          <w:szCs w:val="24"/>
        </w:rPr>
        <w:t>Performance Bonuses</w:t>
      </w:r>
      <w:r w:rsidRPr="00BC4A3C">
        <w:rPr>
          <w:rFonts w:ascii="Segoe UI" w:eastAsia="Times New Roman" w:hAnsi="Segoe UI" w:cs="Segoe UI"/>
          <w:color w:val="0F1115"/>
          <w:sz w:val="24"/>
          <w:szCs w:val="24"/>
        </w:rPr>
        <w:t> can be tied to exceeding this benchmark.</w:t>
      </w:r>
    </w:p>
    <w:p w:rsidR="00BC4A3C" w:rsidRPr="00BC4A3C" w:rsidRDefault="00BC4A3C" w:rsidP="00BC4A3C">
      <w:pPr>
        <w:numPr>
          <w:ilvl w:val="0"/>
          <w:numId w:val="16"/>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Long-Term Delinquency Rate:</w:t>
      </w:r>
      <w:r w:rsidRPr="00BC4A3C">
        <w:rPr>
          <w:rFonts w:ascii="Segoe UI" w:eastAsia="Times New Roman" w:hAnsi="Segoe UI" w:cs="Segoe UI"/>
          <w:color w:val="0F1115"/>
          <w:sz w:val="24"/>
          <w:szCs w:val="24"/>
        </w:rPr>
        <w:t> The percentage of Month-1 defaults that proceed to the Recoveries Department (target: ≤ 43.95%).</w:t>
      </w:r>
    </w:p>
    <w:p w:rsidR="00BC4A3C" w:rsidRPr="00BC4A3C" w:rsidRDefault="00BC4A3C" w:rsidP="00BC4A3C">
      <w:pPr>
        <w:shd w:val="clear" w:color="auto" w:fill="FFFFFF"/>
        <w:spacing w:before="240" w:after="24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Manager &amp; LC Credit:</w:t>
      </w:r>
      <w:r w:rsidRPr="00BC4A3C">
        <w:rPr>
          <w:rFonts w:ascii="Segoe UI" w:eastAsia="Times New Roman" w:hAnsi="Segoe UI" w:cs="Segoe UI"/>
          <w:color w:val="0F1115"/>
          <w:sz w:val="24"/>
          <w:szCs w:val="24"/>
        </w:rPr>
        <w:t> Branch teams could receive </w:t>
      </w:r>
      <w:r w:rsidRPr="00BC4A3C">
        <w:rPr>
          <w:rFonts w:ascii="Segoe UI" w:eastAsia="Times New Roman" w:hAnsi="Segoe UI" w:cs="Segoe UI"/>
          <w:b/>
          <w:bCs/>
          <w:color w:val="0F1115"/>
          <w:sz w:val="24"/>
          <w:szCs w:val="24"/>
        </w:rPr>
        <w:t>performance credit and potential bonus incentives</w:t>
      </w:r>
      <w:r w:rsidRPr="00BC4A3C">
        <w:rPr>
          <w:rFonts w:ascii="Segoe UI" w:eastAsia="Times New Roman" w:hAnsi="Segoe UI" w:cs="Segoe UI"/>
          <w:color w:val="0F1115"/>
          <w:sz w:val="24"/>
          <w:szCs w:val="24"/>
        </w:rPr>
        <w:t> for:</w:t>
      </w:r>
    </w:p>
    <w:p w:rsidR="00BC4A3C" w:rsidRPr="00BC4A3C" w:rsidRDefault="00BC4A3C" w:rsidP="00BC4A3C">
      <w:pPr>
        <w:numPr>
          <w:ilvl w:val="0"/>
          <w:numId w:val="17"/>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color w:val="0F1115"/>
          <w:sz w:val="24"/>
          <w:szCs w:val="24"/>
        </w:rPr>
        <w:t>Exceeding the expected </w:t>
      </w:r>
      <w:r w:rsidRPr="00BC4A3C">
        <w:rPr>
          <w:rFonts w:ascii="Segoe UI" w:eastAsia="Times New Roman" w:hAnsi="Segoe UI" w:cs="Segoe UI"/>
          <w:b/>
          <w:bCs/>
          <w:color w:val="0F1115"/>
          <w:sz w:val="24"/>
          <w:szCs w:val="24"/>
        </w:rPr>
        <w:t>Month-2, Month-3, and Month-4</w:t>
      </w:r>
      <w:r w:rsidRPr="00BC4A3C">
        <w:rPr>
          <w:rFonts w:ascii="Segoe UI" w:eastAsia="Times New Roman" w:hAnsi="Segoe UI" w:cs="Segoe UI"/>
          <w:color w:val="0F1115"/>
          <w:sz w:val="24"/>
          <w:szCs w:val="24"/>
        </w:rPr>
        <w:t> recovery rates outlined above.</w:t>
      </w:r>
    </w:p>
    <w:p w:rsidR="00BC4A3C" w:rsidRPr="00BC4A3C" w:rsidRDefault="00BC4A3C" w:rsidP="00BC4A3C">
      <w:pPr>
        <w:numPr>
          <w:ilvl w:val="0"/>
          <w:numId w:val="17"/>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color w:val="0F1115"/>
          <w:sz w:val="24"/>
          <w:szCs w:val="24"/>
        </w:rPr>
        <w:t>Successfully preventing accounts from rolling into the "Beyond Month-4" category.</w:t>
      </w:r>
    </w:p>
    <w:p w:rsidR="00BC4A3C" w:rsidRPr="00BC4A3C" w:rsidRDefault="00BC4A3C" w:rsidP="00BC4A3C">
      <w:pPr>
        <w:shd w:val="clear" w:color="auto" w:fill="FFFFFF"/>
        <w:spacing w:before="240" w:after="240" w:line="420" w:lineRule="atLeast"/>
        <w:outlineLvl w:val="3"/>
        <w:rPr>
          <w:rFonts w:ascii="Segoe UI" w:eastAsia="Times New Roman" w:hAnsi="Segoe UI" w:cs="Segoe UI"/>
          <w:b/>
          <w:bCs/>
          <w:color w:val="0F1115"/>
          <w:sz w:val="24"/>
          <w:szCs w:val="24"/>
        </w:rPr>
      </w:pPr>
      <w:r w:rsidRPr="00BC4A3C">
        <w:rPr>
          <w:rFonts w:ascii="Segoe UI" w:eastAsia="Times New Roman" w:hAnsi="Segoe UI" w:cs="Segoe UI"/>
          <w:b/>
          <w:bCs/>
          <w:color w:val="0F1115"/>
          <w:sz w:val="24"/>
          <w:szCs w:val="24"/>
        </w:rPr>
        <w:t>5. Revised Revenue &amp; Profitability Modeling</w:t>
      </w:r>
    </w:p>
    <w:p w:rsidR="00527C29" w:rsidRPr="005C214E" w:rsidRDefault="00527C29" w:rsidP="00527C29">
      <w:pPr>
        <w:shd w:val="clear" w:color="auto" w:fill="FFFFFF"/>
        <w:spacing w:before="240" w:after="240" w:line="240" w:lineRule="auto"/>
        <w:rPr>
          <w:rFonts w:ascii="Segoe UI" w:eastAsia="Times New Roman" w:hAnsi="Segoe UI" w:cs="Segoe UI"/>
          <w:color w:val="0F1115"/>
          <w:sz w:val="24"/>
          <w:szCs w:val="24"/>
        </w:rPr>
      </w:pPr>
      <w:r w:rsidRPr="005C214E">
        <w:rPr>
          <w:rFonts w:ascii="Segoe UI" w:eastAsia="Times New Roman" w:hAnsi="Segoe UI" w:cs="Segoe UI"/>
          <w:color w:val="0F1115"/>
          <w:sz w:val="24"/>
          <w:szCs w:val="24"/>
        </w:rPr>
        <w:t>When projecting branch profitability, the expected cash flow must incorporate the collections waterfall:</w:t>
      </w:r>
    </w:p>
    <w:p w:rsidR="00527C29" w:rsidRPr="005C214E" w:rsidRDefault="00527C29" w:rsidP="00527C29">
      <w:pPr>
        <w:numPr>
          <w:ilvl w:val="0"/>
          <w:numId w:val="12"/>
        </w:numPr>
        <w:shd w:val="clear" w:color="auto" w:fill="FFFFFF"/>
        <w:spacing w:before="100" w:beforeAutospacing="1" w:after="0" w:line="240" w:lineRule="auto"/>
        <w:rPr>
          <w:rFonts w:ascii="Segoe UI" w:eastAsia="Times New Roman" w:hAnsi="Segoe UI" w:cs="Segoe UI"/>
          <w:color w:val="0F1115"/>
          <w:sz w:val="24"/>
          <w:szCs w:val="24"/>
        </w:rPr>
      </w:pPr>
      <w:r w:rsidRPr="005C214E">
        <w:rPr>
          <w:rFonts w:ascii="Segoe UI" w:eastAsia="Times New Roman" w:hAnsi="Segoe UI" w:cs="Segoe UI"/>
          <w:color w:val="0F1115"/>
          <w:sz w:val="24"/>
          <w:szCs w:val="24"/>
        </w:rPr>
        <w:t>Calculate </w:t>
      </w:r>
      <w:r w:rsidRPr="005C214E">
        <w:rPr>
          <w:rFonts w:ascii="Segoe UI" w:eastAsia="Times New Roman" w:hAnsi="Segoe UI" w:cs="Segoe UI"/>
          <w:b/>
          <w:bCs/>
          <w:color w:val="0F1115"/>
          <w:sz w:val="24"/>
          <w:szCs w:val="24"/>
        </w:rPr>
        <w:t>Month-1 Expected Collections</w:t>
      </w:r>
      <w:r w:rsidRPr="005C214E">
        <w:rPr>
          <w:rFonts w:ascii="Segoe UI" w:eastAsia="Times New Roman" w:hAnsi="Segoe UI" w:cs="Segoe UI"/>
          <w:color w:val="0F1115"/>
          <w:sz w:val="24"/>
          <w:szCs w:val="24"/>
        </w:rPr>
        <w:t> (Principal + Interest) * 71.64%.</w:t>
      </w:r>
    </w:p>
    <w:p w:rsidR="00527C29" w:rsidRPr="005C214E" w:rsidRDefault="00527C29" w:rsidP="00527C29">
      <w:pPr>
        <w:numPr>
          <w:ilvl w:val="0"/>
          <w:numId w:val="12"/>
        </w:numPr>
        <w:shd w:val="clear" w:color="auto" w:fill="FFFFFF"/>
        <w:spacing w:before="100" w:beforeAutospacing="1" w:after="120" w:line="240" w:lineRule="auto"/>
        <w:rPr>
          <w:rFonts w:ascii="Segoe UI" w:eastAsia="Times New Roman" w:hAnsi="Segoe UI" w:cs="Segoe UI"/>
          <w:color w:val="0F1115"/>
          <w:sz w:val="24"/>
          <w:szCs w:val="24"/>
        </w:rPr>
      </w:pPr>
      <w:r w:rsidRPr="005C214E">
        <w:rPr>
          <w:rFonts w:ascii="Segoe UI" w:eastAsia="Times New Roman" w:hAnsi="Segoe UI" w:cs="Segoe UI"/>
          <w:color w:val="0F1115"/>
          <w:sz w:val="24"/>
          <w:szCs w:val="24"/>
        </w:rPr>
        <w:t>Calculate </w:t>
      </w:r>
      <w:r w:rsidRPr="005C214E">
        <w:rPr>
          <w:rFonts w:ascii="Segoe UI" w:eastAsia="Times New Roman" w:hAnsi="Segoe UI" w:cs="Segoe UI"/>
          <w:b/>
          <w:bCs/>
          <w:color w:val="0F1115"/>
          <w:sz w:val="24"/>
          <w:szCs w:val="24"/>
        </w:rPr>
        <w:t>Delayed Collections</w:t>
      </w:r>
      <w:r w:rsidRPr="005C214E">
        <w:rPr>
          <w:rFonts w:ascii="Segoe UI" w:eastAsia="Times New Roman" w:hAnsi="Segoe UI" w:cs="Segoe UI"/>
          <w:color w:val="0F1115"/>
          <w:sz w:val="24"/>
          <w:szCs w:val="24"/>
        </w:rPr>
        <w:t> from the waterfall:</w:t>
      </w:r>
    </w:p>
    <w:p w:rsidR="00527C29" w:rsidRPr="005C214E" w:rsidRDefault="00527C29" w:rsidP="00527C29">
      <w:pPr>
        <w:numPr>
          <w:ilvl w:val="1"/>
          <w:numId w:val="18"/>
        </w:numPr>
        <w:shd w:val="clear" w:color="auto" w:fill="FFFFFF"/>
        <w:spacing w:before="100" w:beforeAutospacing="1" w:after="0" w:line="240" w:lineRule="auto"/>
        <w:rPr>
          <w:rFonts w:ascii="Segoe UI" w:eastAsia="Times New Roman" w:hAnsi="Segoe UI" w:cs="Segoe UI"/>
          <w:color w:val="0F1115"/>
          <w:sz w:val="24"/>
          <w:szCs w:val="24"/>
        </w:rPr>
      </w:pPr>
      <w:r w:rsidRPr="005C214E">
        <w:rPr>
          <w:rFonts w:ascii="Segoe UI" w:eastAsia="Times New Roman" w:hAnsi="Segoe UI" w:cs="Segoe UI"/>
          <w:color w:val="0F1115"/>
          <w:sz w:val="24"/>
          <w:szCs w:val="24"/>
        </w:rPr>
        <w:lastRenderedPageBreak/>
        <w:t>Month-2: (Month-1 Default Balance) * 36.74%</w:t>
      </w:r>
    </w:p>
    <w:p w:rsidR="00527C29" w:rsidRPr="005C214E" w:rsidRDefault="00527C29" w:rsidP="00527C29">
      <w:pPr>
        <w:numPr>
          <w:ilvl w:val="1"/>
          <w:numId w:val="18"/>
        </w:numPr>
        <w:shd w:val="clear" w:color="auto" w:fill="FFFFFF"/>
        <w:spacing w:before="100" w:beforeAutospacing="1" w:after="0" w:line="240" w:lineRule="auto"/>
        <w:rPr>
          <w:rFonts w:ascii="Segoe UI" w:eastAsia="Times New Roman" w:hAnsi="Segoe UI" w:cs="Segoe UI"/>
          <w:color w:val="0F1115"/>
          <w:sz w:val="24"/>
          <w:szCs w:val="24"/>
        </w:rPr>
      </w:pPr>
      <w:r w:rsidRPr="005C214E">
        <w:rPr>
          <w:rFonts w:ascii="Segoe UI" w:eastAsia="Times New Roman" w:hAnsi="Segoe UI" w:cs="Segoe UI"/>
          <w:color w:val="0F1115"/>
          <w:sz w:val="24"/>
          <w:szCs w:val="24"/>
        </w:rPr>
        <w:t>Month-3: (Month-1 Default Balance) * 13.17%</w:t>
      </w:r>
    </w:p>
    <w:p w:rsidR="00527C29" w:rsidRPr="005C214E" w:rsidRDefault="00527C29" w:rsidP="00527C29">
      <w:pPr>
        <w:numPr>
          <w:ilvl w:val="1"/>
          <w:numId w:val="18"/>
        </w:numPr>
        <w:shd w:val="clear" w:color="auto" w:fill="FFFFFF"/>
        <w:spacing w:before="100" w:beforeAutospacing="1" w:after="0" w:line="240" w:lineRule="auto"/>
        <w:rPr>
          <w:rFonts w:ascii="Segoe UI" w:eastAsia="Times New Roman" w:hAnsi="Segoe UI" w:cs="Segoe UI"/>
          <w:color w:val="0F1115"/>
          <w:sz w:val="24"/>
          <w:szCs w:val="24"/>
        </w:rPr>
      </w:pPr>
      <w:r w:rsidRPr="005C214E">
        <w:rPr>
          <w:rFonts w:ascii="Segoe UI" w:eastAsia="Times New Roman" w:hAnsi="Segoe UI" w:cs="Segoe UI"/>
          <w:color w:val="0F1115"/>
          <w:sz w:val="24"/>
          <w:szCs w:val="24"/>
        </w:rPr>
        <w:t>Month-4: (Month-1 Default Balance) * 6.14%</w:t>
      </w:r>
    </w:p>
    <w:p w:rsidR="00527C29" w:rsidRPr="005C214E" w:rsidRDefault="00527C29" w:rsidP="00527C29">
      <w:pPr>
        <w:numPr>
          <w:ilvl w:val="0"/>
          <w:numId w:val="12"/>
        </w:numPr>
        <w:shd w:val="clear" w:color="auto" w:fill="FFFFFF"/>
        <w:spacing w:before="100" w:beforeAutospacing="1" w:after="0" w:line="240" w:lineRule="auto"/>
        <w:rPr>
          <w:rFonts w:ascii="Segoe UI" w:eastAsia="Times New Roman" w:hAnsi="Segoe UI" w:cs="Segoe UI"/>
          <w:color w:val="0F1115"/>
          <w:sz w:val="24"/>
          <w:szCs w:val="24"/>
        </w:rPr>
      </w:pPr>
      <w:r w:rsidRPr="005C214E">
        <w:rPr>
          <w:rFonts w:ascii="Segoe UI" w:eastAsia="Times New Roman" w:hAnsi="Segoe UI" w:cs="Segoe UI"/>
          <w:b/>
          <w:bCs/>
          <w:color w:val="0F1115"/>
          <w:sz w:val="24"/>
          <w:szCs w:val="24"/>
        </w:rPr>
        <w:t>Total Expected Branch-Collected Revenue</w:t>
      </w:r>
      <w:r w:rsidRPr="005C214E">
        <w:rPr>
          <w:rFonts w:ascii="Segoe UI" w:eastAsia="Times New Roman" w:hAnsi="Segoe UI" w:cs="Segoe UI"/>
          <w:color w:val="0F1115"/>
          <w:sz w:val="24"/>
          <w:szCs w:val="24"/>
        </w:rPr>
        <w:t> = Sum of Steps 1 &amp; 2.</w:t>
      </w:r>
    </w:p>
    <w:p w:rsidR="00527C29" w:rsidRPr="005C214E" w:rsidRDefault="00527C29" w:rsidP="00527C29">
      <w:pPr>
        <w:numPr>
          <w:ilvl w:val="0"/>
          <w:numId w:val="12"/>
        </w:numPr>
        <w:shd w:val="clear" w:color="auto" w:fill="FFFFFF"/>
        <w:spacing w:before="100" w:beforeAutospacing="1" w:after="0" w:line="240" w:lineRule="auto"/>
        <w:rPr>
          <w:rFonts w:ascii="Segoe UI" w:eastAsia="Times New Roman" w:hAnsi="Segoe UI" w:cs="Segoe UI"/>
          <w:color w:val="0F1115"/>
          <w:sz w:val="24"/>
          <w:szCs w:val="24"/>
        </w:rPr>
      </w:pPr>
      <w:r w:rsidRPr="005C214E">
        <w:rPr>
          <w:rFonts w:ascii="Segoe UI" w:eastAsia="Times New Roman" w:hAnsi="Segoe UI" w:cs="Segoe UI"/>
          <w:b/>
          <w:bCs/>
          <w:color w:val="0F1115"/>
          <w:sz w:val="24"/>
          <w:szCs w:val="24"/>
        </w:rPr>
        <w:t>Net Branch Contribution</w:t>
      </w:r>
      <w:r w:rsidRPr="005C214E">
        <w:rPr>
          <w:rFonts w:ascii="Segoe UI" w:eastAsia="Times New Roman" w:hAnsi="Segoe UI" w:cs="Segoe UI"/>
          <w:color w:val="0F1115"/>
          <w:sz w:val="24"/>
          <w:szCs w:val="24"/>
        </w:rPr>
        <w:t> = Total Expected Branch-Collected Revenue </w:t>
      </w:r>
      <w:r w:rsidRPr="005C214E">
        <w:rPr>
          <w:rFonts w:ascii="Segoe UI" w:eastAsia="Times New Roman" w:hAnsi="Segoe UI" w:cs="Segoe UI"/>
          <w:i/>
          <w:iCs/>
          <w:color w:val="0F1115"/>
          <w:sz w:val="24"/>
          <w:szCs w:val="24"/>
        </w:rPr>
        <w:t>minus</w:t>
      </w:r>
      <w:r w:rsidRPr="005C214E">
        <w:rPr>
          <w:rFonts w:ascii="Segoe UI" w:eastAsia="Times New Roman" w:hAnsi="Segoe UI" w:cs="Segoe UI"/>
          <w:color w:val="0F1115"/>
          <w:sz w:val="24"/>
          <w:szCs w:val="24"/>
        </w:rPr>
        <w:t> operational costs (salaries, rent, etc.) </w:t>
      </w:r>
      <w:r w:rsidRPr="005C214E">
        <w:rPr>
          <w:rFonts w:ascii="Segoe UI" w:eastAsia="Times New Roman" w:hAnsi="Segoe UI" w:cs="Segoe UI"/>
          <w:i/>
          <w:iCs/>
          <w:color w:val="0F1115"/>
          <w:sz w:val="24"/>
          <w:szCs w:val="24"/>
        </w:rPr>
        <w:t>minus</w:t>
      </w:r>
      <w:r w:rsidRPr="005C214E">
        <w:rPr>
          <w:rFonts w:ascii="Segoe UI" w:eastAsia="Times New Roman" w:hAnsi="Segoe UI" w:cs="Segoe UI"/>
          <w:color w:val="0F1115"/>
          <w:sz w:val="24"/>
          <w:szCs w:val="24"/>
        </w:rPr>
        <w:t> provisions for the </w:t>
      </w:r>
      <w:r w:rsidRPr="005C214E">
        <w:rPr>
          <w:rFonts w:ascii="Segoe UI" w:eastAsia="Times New Roman" w:hAnsi="Segoe UI" w:cs="Segoe UI"/>
          <w:b/>
          <w:bCs/>
          <w:color w:val="0F1115"/>
          <w:sz w:val="24"/>
          <w:szCs w:val="24"/>
        </w:rPr>
        <w:t>43.95%</w:t>
      </w:r>
      <w:r w:rsidRPr="005C214E">
        <w:rPr>
          <w:rFonts w:ascii="Segoe UI" w:eastAsia="Times New Roman" w:hAnsi="Segoe UI" w:cs="Segoe UI"/>
          <w:color w:val="0F1115"/>
          <w:sz w:val="24"/>
          <w:szCs w:val="24"/>
        </w:rPr>
        <w:t> long-term delinquent portfolio.</w:t>
      </w:r>
    </w:p>
    <w:p w:rsidR="00BC4A3C" w:rsidRPr="00BC4A3C" w:rsidRDefault="00BC4A3C" w:rsidP="00BC4A3C">
      <w:pPr>
        <w:shd w:val="clear" w:color="auto" w:fill="FFFFFF"/>
        <w:spacing w:before="240" w:after="120" w:line="420" w:lineRule="atLeast"/>
        <w:outlineLvl w:val="3"/>
        <w:rPr>
          <w:rFonts w:ascii="Segoe UI" w:eastAsia="Times New Roman" w:hAnsi="Segoe UI" w:cs="Segoe UI"/>
          <w:b/>
          <w:bCs/>
          <w:color w:val="0F1115"/>
          <w:sz w:val="24"/>
          <w:szCs w:val="24"/>
        </w:rPr>
      </w:pPr>
      <w:r w:rsidRPr="00BC4A3C">
        <w:rPr>
          <w:rFonts w:ascii="Segoe UI" w:eastAsia="Times New Roman" w:hAnsi="Segoe UI" w:cs="Segoe UI"/>
          <w:b/>
          <w:bCs/>
          <w:color w:val="0F1115"/>
          <w:sz w:val="24"/>
          <w:szCs w:val="24"/>
        </w:rPr>
        <w:t>6. Actionable Management Protocols</w:t>
      </w:r>
    </w:p>
    <w:p w:rsidR="00BC4A3C" w:rsidRPr="00BC4A3C" w:rsidRDefault="00BC4A3C" w:rsidP="00BC4A3C">
      <w:pPr>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Early Intervention Triggers:</w:t>
      </w:r>
      <w:r w:rsidRPr="00BC4A3C">
        <w:rPr>
          <w:rFonts w:ascii="Segoe UI" w:eastAsia="Times New Roman" w:hAnsi="Segoe UI" w:cs="Segoe UI"/>
          <w:color w:val="0F1115"/>
          <w:sz w:val="24"/>
          <w:szCs w:val="24"/>
        </w:rPr>
        <w:t> If a branch's </w:t>
      </w:r>
      <w:r w:rsidRPr="00BC4A3C">
        <w:rPr>
          <w:rFonts w:ascii="Segoe UI" w:eastAsia="Times New Roman" w:hAnsi="Segoe UI" w:cs="Segoe UI"/>
          <w:b/>
          <w:bCs/>
          <w:color w:val="0F1115"/>
          <w:sz w:val="24"/>
          <w:szCs w:val="24"/>
        </w:rPr>
        <w:t>Month-2 recovery rate</w:t>
      </w:r>
      <w:r w:rsidRPr="00BC4A3C">
        <w:rPr>
          <w:rFonts w:ascii="Segoe UI" w:eastAsia="Times New Roman" w:hAnsi="Segoe UI" w:cs="Segoe UI"/>
          <w:color w:val="0F1115"/>
          <w:sz w:val="24"/>
          <w:szCs w:val="24"/>
        </w:rPr>
        <w:t> falls below 30%, the Regional Manager must initiate a review of the branch's collection practices.</w:t>
      </w:r>
    </w:p>
    <w:p w:rsidR="00BC4A3C" w:rsidRPr="00BC4A3C" w:rsidRDefault="00BC4A3C" w:rsidP="00BC4A3C">
      <w:pPr>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Portfolio Health Dashboard:</w:t>
      </w:r>
      <w:r w:rsidRPr="00BC4A3C">
        <w:rPr>
          <w:rFonts w:ascii="Segoe UI" w:eastAsia="Times New Roman" w:hAnsi="Segoe UI" w:cs="Segoe UI"/>
          <w:color w:val="0F1115"/>
          <w:sz w:val="24"/>
          <w:szCs w:val="24"/>
        </w:rPr>
        <w:t> Managers must track a weekly "aging of defaults" report to focus efforts on the most recoverable delinquent accounts (e.g., those in Month-2 and Month-3).</w:t>
      </w:r>
    </w:p>
    <w:p w:rsidR="00BC4A3C" w:rsidRPr="00BC4A3C" w:rsidRDefault="00BC4A3C" w:rsidP="00BC4A3C">
      <w:pPr>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BC4A3C">
        <w:rPr>
          <w:rFonts w:ascii="Segoe UI" w:eastAsia="Times New Roman" w:hAnsi="Segoe UI" w:cs="Segoe UI"/>
          <w:b/>
          <w:bCs/>
          <w:color w:val="0F1115"/>
          <w:sz w:val="24"/>
          <w:szCs w:val="24"/>
        </w:rPr>
        <w:t>Recoveries Department Coordination:</w:t>
      </w:r>
      <w:r w:rsidRPr="00BC4A3C">
        <w:rPr>
          <w:rFonts w:ascii="Segoe UI" w:eastAsia="Times New Roman" w:hAnsi="Segoe UI" w:cs="Segoe UI"/>
          <w:color w:val="0F1115"/>
          <w:sz w:val="24"/>
          <w:szCs w:val="24"/>
        </w:rPr>
        <w:t> Clear SLAs (Service Level Agreements) must govern the handover process at Month-4, including data transfer and client history sharing.</w:t>
      </w:r>
    </w:p>
    <w:p w:rsidR="00B65344" w:rsidRPr="00BC4A3C" w:rsidRDefault="00B65344" w:rsidP="00B65344">
      <w:pPr>
        <w:shd w:val="clear" w:color="auto" w:fill="FFFFFF"/>
        <w:spacing w:before="240" w:after="120" w:line="420" w:lineRule="atLeast"/>
        <w:outlineLvl w:val="3"/>
        <w:rPr>
          <w:rFonts w:ascii="Segoe UI" w:eastAsia="Times New Roman" w:hAnsi="Segoe UI" w:cs="Segoe UI"/>
          <w:b/>
          <w:bCs/>
          <w:color w:val="00B0F0"/>
          <w:sz w:val="24"/>
          <w:szCs w:val="24"/>
        </w:rPr>
      </w:pPr>
      <w:r w:rsidRPr="00BC4A3C">
        <w:rPr>
          <w:rFonts w:ascii="Segoe UI" w:eastAsia="Times New Roman" w:hAnsi="Segoe UI" w:cs="Segoe UI"/>
          <w:b/>
          <w:bCs/>
          <w:color w:val="00B0F0"/>
          <w:sz w:val="24"/>
          <w:szCs w:val="24"/>
        </w:rPr>
        <w:t>5. Revenue &amp; Performance Metrics</w:t>
      </w:r>
    </w:p>
    <w:p w:rsidR="00E970B5" w:rsidRDefault="00B65344" w:rsidP="00E970B5">
      <w:pPr>
        <w:numPr>
          <w:ilvl w:val="0"/>
          <w:numId w:val="5"/>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 xml:space="preserve">Each </w:t>
      </w:r>
      <w:r w:rsidRPr="00B65344">
        <w:rPr>
          <w:rFonts w:ascii="Segoe UI" w:eastAsia="Times New Roman" w:hAnsi="Segoe UI" w:cs="Segoe UI"/>
          <w:b/>
          <w:color w:val="0F1115"/>
          <w:sz w:val="24"/>
          <w:szCs w:val="24"/>
        </w:rPr>
        <w:t>branch is</w:t>
      </w:r>
      <w:r w:rsidRPr="00B65344">
        <w:rPr>
          <w:rFonts w:ascii="Segoe UI" w:eastAsia="Times New Roman" w:hAnsi="Segoe UI" w:cs="Segoe UI"/>
          <w:color w:val="0F1115"/>
          <w:sz w:val="24"/>
          <w:szCs w:val="24"/>
        </w:rPr>
        <w:t xml:space="preserve"> </w:t>
      </w:r>
      <w:r w:rsidRPr="00B65344">
        <w:rPr>
          <w:rFonts w:ascii="Segoe UI" w:eastAsia="Times New Roman" w:hAnsi="Segoe UI" w:cs="Segoe UI"/>
          <w:b/>
          <w:color w:val="0F1115"/>
          <w:sz w:val="24"/>
          <w:szCs w:val="24"/>
        </w:rPr>
        <w:t>expected to generate</w:t>
      </w:r>
      <w:r w:rsidRPr="00B65344">
        <w:rPr>
          <w:rFonts w:ascii="Segoe UI" w:eastAsia="Times New Roman" w:hAnsi="Segoe UI" w:cs="Segoe UI"/>
          <w:color w:val="0F1115"/>
          <w:sz w:val="24"/>
          <w:szCs w:val="24"/>
        </w:rPr>
        <w:t xml:space="preserve"> at least </w:t>
      </w:r>
      <w:r w:rsidRPr="00B65344">
        <w:rPr>
          <w:rFonts w:ascii="Segoe UI" w:eastAsia="Times New Roman" w:hAnsi="Segoe UI" w:cs="Segoe UI"/>
          <w:b/>
          <w:bCs/>
          <w:color w:val="0F1115"/>
          <w:sz w:val="24"/>
          <w:szCs w:val="24"/>
        </w:rPr>
        <w:t>K420,000.00</w:t>
      </w:r>
      <w:r w:rsidRPr="00B65344">
        <w:rPr>
          <w:rFonts w:ascii="Segoe UI" w:eastAsia="Times New Roman" w:hAnsi="Segoe UI" w:cs="Segoe UI"/>
          <w:color w:val="0F1115"/>
          <w:sz w:val="24"/>
          <w:szCs w:val="24"/>
        </w:rPr>
        <w:t> monthly (10.5 LCs × K40,000.00).</w:t>
      </w:r>
    </w:p>
    <w:p w:rsidR="007F129F" w:rsidRPr="007F129F" w:rsidRDefault="007F129F" w:rsidP="007F129F">
      <w:pPr>
        <w:numPr>
          <w:ilvl w:val="0"/>
          <w:numId w:val="5"/>
        </w:numPr>
        <w:shd w:val="clear" w:color="auto" w:fill="FFFFFF"/>
        <w:spacing w:before="100" w:beforeAutospacing="1" w:after="120" w:line="240" w:lineRule="auto"/>
        <w:rPr>
          <w:rFonts w:ascii="Segoe UI" w:eastAsia="Times New Roman" w:hAnsi="Segoe UI" w:cs="Segoe UI"/>
          <w:bCs/>
          <w:color w:val="0F1115"/>
          <w:sz w:val="24"/>
          <w:szCs w:val="24"/>
        </w:rPr>
      </w:pPr>
      <w:r w:rsidRPr="007F129F">
        <w:rPr>
          <w:rFonts w:ascii="Segoe UI" w:eastAsia="Times New Roman" w:hAnsi="Segoe UI" w:cs="Segoe UI"/>
          <w:bCs/>
          <w:color w:val="0F1115"/>
          <w:sz w:val="24"/>
          <w:szCs w:val="24"/>
        </w:rPr>
        <w:t>Expected Collections must incl</w:t>
      </w:r>
      <w:r w:rsidR="003B1561">
        <w:rPr>
          <w:rFonts w:ascii="Segoe UI" w:eastAsia="Times New Roman" w:hAnsi="Segoe UI" w:cs="Segoe UI"/>
          <w:bCs/>
          <w:color w:val="0F1115"/>
          <w:sz w:val="24"/>
          <w:szCs w:val="24"/>
        </w:rPr>
        <w:t>ude interest. Using the</w:t>
      </w:r>
      <w:r w:rsidRPr="007F129F">
        <w:rPr>
          <w:rFonts w:ascii="Segoe UI" w:eastAsia="Times New Roman" w:hAnsi="Segoe UI" w:cs="Segoe UI"/>
          <w:bCs/>
          <w:color w:val="0F1115"/>
          <w:sz w:val="24"/>
          <w:szCs w:val="24"/>
        </w:rPr>
        <w:t xml:space="preserve"> client repayment distribution and interest rates, the average interest rate earned per K40,000 loan is calculated as follows:</w:t>
      </w:r>
    </w:p>
    <w:p w:rsidR="007F129F" w:rsidRPr="007F129F" w:rsidRDefault="007F129F" w:rsidP="007F129F">
      <w:pPr>
        <w:shd w:val="clear" w:color="auto" w:fill="FFFFFF"/>
        <w:spacing w:before="100" w:beforeAutospacing="1" w:after="120" w:line="240" w:lineRule="auto"/>
        <w:ind w:left="720"/>
        <w:rPr>
          <w:rFonts w:ascii="Segoe UI" w:eastAsia="Times New Roman" w:hAnsi="Segoe UI" w:cs="Segoe UI"/>
          <w:b/>
          <w:bCs/>
          <w:color w:val="0F1115"/>
          <w:sz w:val="24"/>
          <w:szCs w:val="24"/>
        </w:rPr>
      </w:pPr>
      <w:r w:rsidRPr="007F129F">
        <w:rPr>
          <w:rFonts w:ascii="Segoe UI" w:eastAsia="Times New Roman" w:hAnsi="Segoe UI" w:cs="Segoe UI"/>
          <w:b/>
          <w:bCs/>
          <w:color w:val="0F1115"/>
          <w:sz w:val="24"/>
          <w:szCs w:val="24"/>
        </w:rPr>
        <w:t xml:space="preserve">= </w:t>
      </w:r>
      <w:r w:rsidRPr="007F129F">
        <w:rPr>
          <w:rFonts w:ascii="Segoe UI" w:eastAsia="Times New Roman" w:hAnsi="Segoe UI" w:cs="Segoe UI"/>
          <w:bCs/>
          <w:color w:val="0F1115"/>
          <w:sz w:val="24"/>
          <w:szCs w:val="24"/>
        </w:rPr>
        <w:t>(5.35%×15%)+(3.65%×30%)+(3.87%×35%)+(87.31%×40%)</w:t>
      </w:r>
      <w:r w:rsidRPr="007F129F">
        <w:rPr>
          <w:rFonts w:ascii="Segoe UI" w:eastAsia="Times New Roman" w:hAnsi="Segoe UI" w:cs="Segoe UI"/>
          <w:b/>
          <w:bCs/>
          <w:color w:val="0F1115"/>
          <w:sz w:val="24"/>
          <w:szCs w:val="24"/>
        </w:rPr>
        <w:t>≈38.97%</w:t>
      </w:r>
    </w:p>
    <w:p w:rsidR="007F129F" w:rsidRPr="007F129F" w:rsidRDefault="007F129F" w:rsidP="007F129F">
      <w:pPr>
        <w:numPr>
          <w:ilvl w:val="0"/>
          <w:numId w:val="5"/>
        </w:numPr>
        <w:shd w:val="clear" w:color="auto" w:fill="FFFFFF"/>
        <w:spacing w:before="100" w:beforeAutospacing="1" w:after="120" w:line="240" w:lineRule="auto"/>
        <w:rPr>
          <w:rFonts w:ascii="Segoe UI" w:eastAsia="Times New Roman" w:hAnsi="Segoe UI" w:cs="Segoe UI"/>
          <w:bCs/>
          <w:color w:val="0F1115"/>
          <w:sz w:val="24"/>
          <w:szCs w:val="24"/>
        </w:rPr>
      </w:pPr>
      <w:r w:rsidRPr="007F129F">
        <w:rPr>
          <w:rFonts w:ascii="Segoe UI" w:eastAsia="Times New Roman" w:hAnsi="Segoe UI" w:cs="Segoe UI"/>
          <w:bCs/>
          <w:color w:val="0F1115"/>
          <w:sz w:val="24"/>
          <w:szCs w:val="24"/>
        </w:rPr>
        <w:t>Therefore, for each K40,000 loan, the expected repayment amount (before default) is:</w:t>
      </w:r>
    </w:p>
    <w:p w:rsidR="007F129F" w:rsidRPr="007F129F" w:rsidRDefault="007F129F" w:rsidP="007F129F">
      <w:pPr>
        <w:shd w:val="clear" w:color="auto" w:fill="FFFFFF"/>
        <w:spacing w:before="100" w:beforeAutospacing="1" w:after="120" w:line="240" w:lineRule="auto"/>
        <w:ind w:left="720"/>
        <w:rPr>
          <w:rFonts w:ascii="Segoe UI" w:eastAsia="Times New Roman" w:hAnsi="Segoe UI" w:cs="Segoe UI"/>
          <w:b/>
          <w:bCs/>
          <w:color w:val="0F1115"/>
          <w:sz w:val="24"/>
          <w:szCs w:val="24"/>
        </w:rPr>
      </w:pPr>
      <w:r w:rsidRPr="007F129F">
        <w:rPr>
          <w:rFonts w:ascii="Segoe UI" w:eastAsia="Times New Roman" w:hAnsi="Segoe UI" w:cs="Segoe UI"/>
          <w:b/>
          <w:bCs/>
          <w:color w:val="0F1115"/>
          <w:sz w:val="24"/>
          <w:szCs w:val="24"/>
        </w:rPr>
        <w:t>=</w:t>
      </w:r>
      <w:r w:rsidRPr="007F129F">
        <w:rPr>
          <w:rFonts w:ascii="Segoe UI" w:eastAsia="Times New Roman" w:hAnsi="Segoe UI" w:cs="Segoe UI"/>
          <w:bCs/>
          <w:color w:val="0F1115"/>
          <w:sz w:val="24"/>
          <w:szCs w:val="24"/>
        </w:rPr>
        <w:t>K40,000+(K40,000×38.97%)=</w:t>
      </w:r>
      <w:r w:rsidRPr="007F129F">
        <w:rPr>
          <w:rFonts w:ascii="Segoe UI" w:eastAsia="Times New Roman" w:hAnsi="Segoe UI" w:cs="Segoe UI"/>
          <w:b/>
          <w:bCs/>
          <w:color w:val="0F1115"/>
          <w:sz w:val="24"/>
          <w:szCs w:val="24"/>
        </w:rPr>
        <w:t>K55,588</w:t>
      </w:r>
    </w:p>
    <w:p w:rsidR="007F129F" w:rsidRPr="007F129F" w:rsidRDefault="007F129F" w:rsidP="007F129F">
      <w:pPr>
        <w:numPr>
          <w:ilvl w:val="0"/>
          <w:numId w:val="5"/>
        </w:numPr>
        <w:shd w:val="clear" w:color="auto" w:fill="FFFFFF"/>
        <w:spacing w:before="100" w:beforeAutospacing="1" w:after="120" w:line="240" w:lineRule="auto"/>
        <w:rPr>
          <w:rFonts w:ascii="Segoe UI" w:eastAsia="Times New Roman" w:hAnsi="Segoe UI" w:cs="Segoe UI"/>
          <w:b/>
          <w:bCs/>
          <w:color w:val="0F1115"/>
          <w:sz w:val="24"/>
          <w:szCs w:val="24"/>
        </w:rPr>
      </w:pPr>
      <w:r w:rsidRPr="007F129F">
        <w:rPr>
          <w:rFonts w:ascii="Segoe UI" w:eastAsia="Times New Roman" w:hAnsi="Segoe UI" w:cs="Segoe UI"/>
          <w:bCs/>
          <w:color w:val="0F1115"/>
          <w:sz w:val="24"/>
          <w:szCs w:val="24"/>
        </w:rPr>
        <w:t>Applying the default rate of 28.36%, the expected collection rate is 71.64%</w:t>
      </w:r>
      <w:r w:rsidRPr="007F129F">
        <w:rPr>
          <w:rFonts w:ascii="Segoe UI" w:eastAsia="Times New Roman" w:hAnsi="Segoe UI" w:cs="Segoe UI"/>
          <w:b/>
          <w:bCs/>
          <w:color w:val="0F1115"/>
          <w:sz w:val="24"/>
          <w:szCs w:val="24"/>
        </w:rPr>
        <w:t>.</w:t>
      </w:r>
    </w:p>
    <w:p w:rsidR="007F129F" w:rsidRPr="007F129F" w:rsidRDefault="007F129F" w:rsidP="007F129F">
      <w:pPr>
        <w:numPr>
          <w:ilvl w:val="0"/>
          <w:numId w:val="5"/>
        </w:numPr>
        <w:shd w:val="clear" w:color="auto" w:fill="FFFFFF"/>
        <w:spacing w:before="100" w:beforeAutospacing="1" w:after="120" w:line="240" w:lineRule="auto"/>
        <w:rPr>
          <w:rFonts w:ascii="Segoe UI" w:eastAsia="Times New Roman" w:hAnsi="Segoe UI" w:cs="Segoe UI"/>
          <w:bCs/>
          <w:color w:val="0F1115"/>
          <w:sz w:val="24"/>
          <w:szCs w:val="24"/>
        </w:rPr>
      </w:pPr>
      <w:r w:rsidRPr="007F129F">
        <w:rPr>
          <w:rFonts w:ascii="Segoe UI" w:eastAsia="Times New Roman" w:hAnsi="Segoe UI" w:cs="Segoe UI"/>
          <w:bCs/>
          <w:color w:val="0F1115"/>
          <w:sz w:val="24"/>
          <w:szCs w:val="24"/>
        </w:rPr>
        <w:t>Expected monthly collections per branch (interest included):</w:t>
      </w:r>
    </w:p>
    <w:p w:rsidR="007F129F" w:rsidRPr="007F129F" w:rsidRDefault="007F129F" w:rsidP="007F129F">
      <w:pPr>
        <w:shd w:val="clear" w:color="auto" w:fill="FFFFFF"/>
        <w:spacing w:before="100" w:beforeAutospacing="1" w:after="120" w:line="240" w:lineRule="auto"/>
        <w:ind w:left="720"/>
        <w:rPr>
          <w:rFonts w:ascii="Segoe UI" w:eastAsia="Times New Roman" w:hAnsi="Segoe UI" w:cs="Segoe UI"/>
          <w:b/>
          <w:bCs/>
          <w:color w:val="0F1115"/>
          <w:sz w:val="24"/>
          <w:szCs w:val="24"/>
        </w:rPr>
      </w:pPr>
      <w:r w:rsidRPr="007F129F">
        <w:rPr>
          <w:rFonts w:ascii="Segoe UI" w:eastAsia="Times New Roman" w:hAnsi="Segoe UI" w:cs="Segoe UI"/>
          <w:b/>
          <w:bCs/>
          <w:color w:val="0F1115"/>
          <w:sz w:val="24"/>
          <w:szCs w:val="24"/>
        </w:rPr>
        <w:t>=</w:t>
      </w:r>
      <w:r w:rsidRPr="007F129F">
        <w:rPr>
          <w:rFonts w:ascii="Segoe UI" w:eastAsia="Times New Roman" w:hAnsi="Segoe UI" w:cs="Segoe UI"/>
          <w:bCs/>
          <w:color w:val="0F1115"/>
          <w:sz w:val="24"/>
          <w:szCs w:val="24"/>
        </w:rPr>
        <w:t>K420,000×1.3897×0.7164</w:t>
      </w:r>
      <w:r w:rsidRPr="007F129F">
        <w:rPr>
          <w:rFonts w:ascii="Segoe UI" w:eastAsia="Times New Roman" w:hAnsi="Segoe UI" w:cs="Segoe UI"/>
          <w:b/>
          <w:bCs/>
          <w:color w:val="0F1115"/>
          <w:sz w:val="24"/>
          <w:szCs w:val="24"/>
        </w:rPr>
        <w:t>≈K418,600</w:t>
      </w:r>
    </w:p>
    <w:p w:rsidR="00B65344" w:rsidRPr="00B65344" w:rsidRDefault="00B65344" w:rsidP="00B65344">
      <w:pPr>
        <w:numPr>
          <w:ilvl w:val="0"/>
          <w:numId w:val="5"/>
        </w:numPr>
        <w:shd w:val="clear" w:color="auto" w:fill="FFFFFF"/>
        <w:spacing w:before="100" w:beforeAutospacing="1" w:after="12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lastRenderedPageBreak/>
        <w:t>Revenue growth is driven by:</w:t>
      </w:r>
    </w:p>
    <w:p w:rsidR="00B65344" w:rsidRPr="00B65344" w:rsidRDefault="00B65344" w:rsidP="00B65344">
      <w:pPr>
        <w:numPr>
          <w:ilvl w:val="1"/>
          <w:numId w:val="5"/>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Increasing the number of LCs per branch.</w:t>
      </w:r>
    </w:p>
    <w:p w:rsidR="00B65344" w:rsidRPr="00B65344" w:rsidRDefault="00B65344" w:rsidP="00B65344">
      <w:pPr>
        <w:numPr>
          <w:ilvl w:val="1"/>
          <w:numId w:val="5"/>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Expanding branch network.</w:t>
      </w:r>
    </w:p>
    <w:p w:rsidR="00B65344" w:rsidRPr="00B65344" w:rsidRDefault="00B65344" w:rsidP="00B65344">
      <w:pPr>
        <w:numPr>
          <w:ilvl w:val="1"/>
          <w:numId w:val="5"/>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Introducing high-value products (e.g., Motor Vehicle Loans).</w:t>
      </w:r>
    </w:p>
    <w:p w:rsidR="00B65344" w:rsidRPr="00B65344" w:rsidRDefault="00B65344" w:rsidP="00B65344">
      <w:pPr>
        <w:numPr>
          <w:ilvl w:val="1"/>
          <w:numId w:val="5"/>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Improving collection efficiency and client retention.</w:t>
      </w:r>
    </w:p>
    <w:p w:rsidR="00B65344" w:rsidRPr="00BC4A3C" w:rsidRDefault="00B65344" w:rsidP="00B65344">
      <w:pPr>
        <w:shd w:val="clear" w:color="auto" w:fill="FFFFFF"/>
        <w:spacing w:before="240" w:after="120" w:line="420" w:lineRule="atLeast"/>
        <w:outlineLvl w:val="3"/>
        <w:rPr>
          <w:rFonts w:ascii="Segoe UI" w:eastAsia="Times New Roman" w:hAnsi="Segoe UI" w:cs="Segoe UI"/>
          <w:b/>
          <w:bCs/>
          <w:color w:val="00B0F0"/>
          <w:sz w:val="24"/>
          <w:szCs w:val="24"/>
        </w:rPr>
      </w:pPr>
      <w:r w:rsidRPr="00BC4A3C">
        <w:rPr>
          <w:rFonts w:ascii="Segoe UI" w:eastAsia="Times New Roman" w:hAnsi="Segoe UI" w:cs="Segoe UI"/>
          <w:b/>
          <w:bCs/>
          <w:color w:val="00B0F0"/>
          <w:sz w:val="24"/>
          <w:szCs w:val="24"/>
        </w:rPr>
        <w:t>6. Manager Remuneration &amp; Value Creation</w:t>
      </w:r>
    </w:p>
    <w:p w:rsidR="00B65344" w:rsidRPr="00B65344" w:rsidRDefault="00B65344" w:rsidP="00B65344">
      <w:pPr>
        <w:numPr>
          <w:ilvl w:val="0"/>
          <w:numId w:val="6"/>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Manager pay should be tied to </w:t>
      </w:r>
      <w:r w:rsidRPr="00B65344">
        <w:rPr>
          <w:rFonts w:ascii="Segoe UI" w:eastAsia="Times New Roman" w:hAnsi="Segoe UI" w:cs="Segoe UI"/>
          <w:b/>
          <w:bCs/>
          <w:color w:val="0F1115"/>
          <w:sz w:val="24"/>
          <w:szCs w:val="24"/>
        </w:rPr>
        <w:t>value-driven metrics</w:t>
      </w:r>
      <w:r w:rsidRPr="00B65344">
        <w:rPr>
          <w:rFonts w:ascii="Segoe UI" w:eastAsia="Times New Roman" w:hAnsi="Segoe UI" w:cs="Segoe UI"/>
          <w:color w:val="0F1115"/>
          <w:sz w:val="24"/>
          <w:szCs w:val="24"/>
        </w:rPr>
        <w:t>, not just branch expansion.</w:t>
      </w:r>
    </w:p>
    <w:p w:rsidR="00B65344" w:rsidRPr="00B65344" w:rsidRDefault="00B65344" w:rsidP="00B65344">
      <w:pPr>
        <w:numPr>
          <w:ilvl w:val="0"/>
          <w:numId w:val="6"/>
        </w:numPr>
        <w:shd w:val="clear" w:color="auto" w:fill="FFFFFF"/>
        <w:spacing w:before="100" w:beforeAutospacing="1" w:after="12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Suggested performance-linked metrics:</w:t>
      </w:r>
    </w:p>
    <w:p w:rsidR="00B65344" w:rsidRPr="00B65344" w:rsidRDefault="00B65344" w:rsidP="00B65344">
      <w:pPr>
        <w:numPr>
          <w:ilvl w:val="1"/>
          <w:numId w:val="6"/>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Reduction in default rates.</w:t>
      </w:r>
    </w:p>
    <w:p w:rsidR="00B65344" w:rsidRPr="00B65344" w:rsidRDefault="00B65344" w:rsidP="00B65344">
      <w:pPr>
        <w:numPr>
          <w:ilvl w:val="1"/>
          <w:numId w:val="6"/>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Client retention and satisfaction.</w:t>
      </w:r>
    </w:p>
    <w:p w:rsidR="00B65344" w:rsidRPr="00B65344" w:rsidRDefault="00B65344" w:rsidP="00B65344">
      <w:pPr>
        <w:numPr>
          <w:ilvl w:val="1"/>
          <w:numId w:val="6"/>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Staff retention and development.</w:t>
      </w:r>
    </w:p>
    <w:p w:rsidR="00B65344" w:rsidRPr="00B65344" w:rsidRDefault="00B65344" w:rsidP="00B65344">
      <w:pPr>
        <w:numPr>
          <w:ilvl w:val="1"/>
          <w:numId w:val="6"/>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New product or revenue ideas generated.</w:t>
      </w:r>
    </w:p>
    <w:p w:rsidR="00B65344" w:rsidRPr="00B65344" w:rsidRDefault="00B65344" w:rsidP="00B65344">
      <w:pPr>
        <w:numPr>
          <w:ilvl w:val="1"/>
          <w:numId w:val="6"/>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Branch efficiency and profitability.</w:t>
      </w:r>
    </w:p>
    <w:p w:rsidR="00B65344" w:rsidRPr="00B65344" w:rsidRDefault="00B65344" w:rsidP="00B65344">
      <w:pPr>
        <w:numPr>
          <w:ilvl w:val="0"/>
          <w:numId w:val="6"/>
        </w:numPr>
        <w:shd w:val="clear" w:color="auto" w:fill="FFFFFF"/>
        <w:spacing w:before="100" w:beforeAutospacing="1" w:after="12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Total compensation includes:</w:t>
      </w:r>
    </w:p>
    <w:p w:rsidR="00B65344" w:rsidRPr="00B65344" w:rsidRDefault="00B65344" w:rsidP="00B65344">
      <w:pPr>
        <w:numPr>
          <w:ilvl w:val="1"/>
          <w:numId w:val="6"/>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Base salary</w:t>
      </w:r>
    </w:p>
    <w:p w:rsidR="00B65344" w:rsidRPr="00B65344" w:rsidRDefault="00B65344" w:rsidP="00B65344">
      <w:pPr>
        <w:numPr>
          <w:ilvl w:val="1"/>
          <w:numId w:val="6"/>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Housing allowance (e.g., K3,000.00 paid quarterly in advance)</w:t>
      </w:r>
    </w:p>
    <w:p w:rsidR="00B65344" w:rsidRPr="00B65344" w:rsidRDefault="00B65344" w:rsidP="00B65344">
      <w:pPr>
        <w:numPr>
          <w:ilvl w:val="1"/>
          <w:numId w:val="6"/>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Performance bonuses tied to clear, measurable targets.</w:t>
      </w:r>
    </w:p>
    <w:p w:rsidR="00B65344" w:rsidRPr="00BC4A3C" w:rsidRDefault="00B65344" w:rsidP="00B65344">
      <w:pPr>
        <w:shd w:val="clear" w:color="auto" w:fill="FFFFFF"/>
        <w:spacing w:before="240" w:after="120" w:line="420" w:lineRule="atLeast"/>
        <w:outlineLvl w:val="3"/>
        <w:rPr>
          <w:rFonts w:ascii="Segoe UI" w:eastAsia="Times New Roman" w:hAnsi="Segoe UI" w:cs="Segoe UI"/>
          <w:b/>
          <w:bCs/>
          <w:color w:val="00B0F0"/>
          <w:sz w:val="24"/>
          <w:szCs w:val="24"/>
        </w:rPr>
      </w:pPr>
      <w:r w:rsidRPr="00BC4A3C">
        <w:rPr>
          <w:rFonts w:ascii="Segoe UI" w:eastAsia="Times New Roman" w:hAnsi="Segoe UI" w:cs="Segoe UI"/>
          <w:b/>
          <w:bCs/>
          <w:color w:val="00B0F0"/>
          <w:sz w:val="24"/>
          <w:szCs w:val="24"/>
        </w:rPr>
        <w:t>7. Strategic Goals</w:t>
      </w:r>
    </w:p>
    <w:p w:rsidR="00B65344" w:rsidRPr="00B65344" w:rsidRDefault="00B65344" w:rsidP="00B65344">
      <w:pPr>
        <w:numPr>
          <w:ilvl w:val="0"/>
          <w:numId w:val="7"/>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Target institution valuation: </w:t>
      </w:r>
      <w:r w:rsidRPr="00B65344">
        <w:rPr>
          <w:rFonts w:ascii="Segoe UI" w:eastAsia="Times New Roman" w:hAnsi="Segoe UI" w:cs="Segoe UI"/>
          <w:b/>
          <w:bCs/>
          <w:color w:val="0F1115"/>
          <w:sz w:val="24"/>
          <w:szCs w:val="24"/>
        </w:rPr>
        <w:t>USD 100 million</w:t>
      </w:r>
      <w:r w:rsidRPr="00B65344">
        <w:rPr>
          <w:rFonts w:ascii="Segoe UI" w:eastAsia="Times New Roman" w:hAnsi="Segoe UI" w:cs="Segoe UI"/>
          <w:color w:val="0F1115"/>
          <w:sz w:val="24"/>
          <w:szCs w:val="24"/>
        </w:rPr>
        <w:t>.</w:t>
      </w:r>
    </w:p>
    <w:p w:rsidR="00B65344" w:rsidRPr="00B65344" w:rsidRDefault="00B65344" w:rsidP="00B65344">
      <w:pPr>
        <w:numPr>
          <w:ilvl w:val="0"/>
          <w:numId w:val="7"/>
        </w:numPr>
        <w:shd w:val="clear" w:color="auto" w:fill="FFFFFF"/>
        <w:spacing w:before="100" w:beforeAutospacing="1" w:after="12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Focus on:</w:t>
      </w:r>
    </w:p>
    <w:p w:rsidR="00B65344" w:rsidRPr="00B65344" w:rsidRDefault="00B65344" w:rsidP="00B65344">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Enhancing branch efficiency.</w:t>
      </w:r>
    </w:p>
    <w:p w:rsidR="00B65344" w:rsidRPr="00B65344" w:rsidRDefault="00B65344" w:rsidP="00B65344">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Reducing client and staff turnover.</w:t>
      </w:r>
    </w:p>
    <w:p w:rsidR="00B65344" w:rsidRPr="00B65344" w:rsidRDefault="00B65344" w:rsidP="00B65344">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Encouraging innovation from managers and LCs.</w:t>
      </w:r>
    </w:p>
    <w:p w:rsidR="00B65344" w:rsidRPr="00B65344" w:rsidRDefault="00B65344" w:rsidP="00B65344">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Diversifying revenue beyond traditional loans.</w:t>
      </w:r>
    </w:p>
    <w:p w:rsidR="00B65344" w:rsidRPr="00B65344" w:rsidRDefault="00B65344" w:rsidP="00B65344">
      <w:pPr>
        <w:numPr>
          <w:ilvl w:val="0"/>
          <w:numId w:val="7"/>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All remuneration and incentive policies must be aligned with long-term value creation, not short-term disbursement targets.</w:t>
      </w:r>
    </w:p>
    <w:p w:rsidR="00B65344" w:rsidRPr="00B65344" w:rsidRDefault="00B65344" w:rsidP="00B65344">
      <w:pPr>
        <w:shd w:val="clear" w:color="auto" w:fill="FFFFFF"/>
        <w:spacing w:before="240" w:after="120" w:line="420" w:lineRule="atLeast"/>
        <w:outlineLvl w:val="3"/>
        <w:rPr>
          <w:rFonts w:ascii="Segoe UI" w:eastAsia="Times New Roman" w:hAnsi="Segoe UI" w:cs="Segoe UI"/>
          <w:b/>
          <w:bCs/>
          <w:color w:val="0F1115"/>
          <w:sz w:val="24"/>
          <w:szCs w:val="24"/>
        </w:rPr>
      </w:pPr>
      <w:r w:rsidRPr="00BC4A3C">
        <w:rPr>
          <w:rFonts w:ascii="Segoe UI" w:eastAsia="Times New Roman" w:hAnsi="Segoe UI" w:cs="Segoe UI"/>
          <w:b/>
          <w:bCs/>
          <w:color w:val="00B0F0"/>
          <w:sz w:val="24"/>
          <w:szCs w:val="24"/>
        </w:rPr>
        <w:t>8. Document &amp; Reporting Standards</w:t>
      </w:r>
    </w:p>
    <w:p w:rsidR="00B65344" w:rsidRPr="00B65344" w:rsidRDefault="00B65344" w:rsidP="00B65344">
      <w:pPr>
        <w:numPr>
          <w:ilvl w:val="0"/>
          <w:numId w:val="8"/>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All financial projections must be based on </w:t>
      </w:r>
      <w:r w:rsidRPr="00B65344">
        <w:rPr>
          <w:rFonts w:ascii="Segoe UI" w:eastAsia="Times New Roman" w:hAnsi="Segoe UI" w:cs="Segoe UI"/>
          <w:b/>
          <w:bCs/>
          <w:color w:val="0F1115"/>
          <w:sz w:val="24"/>
          <w:szCs w:val="24"/>
        </w:rPr>
        <w:t>interest-inclusive calculations</w:t>
      </w:r>
      <w:r w:rsidRPr="00B65344">
        <w:rPr>
          <w:rFonts w:ascii="Segoe UI" w:eastAsia="Times New Roman" w:hAnsi="Segoe UI" w:cs="Segoe UI"/>
          <w:color w:val="0F1115"/>
          <w:sz w:val="24"/>
          <w:szCs w:val="24"/>
        </w:rPr>
        <w:t>.</w:t>
      </w:r>
    </w:p>
    <w:p w:rsidR="00B65344" w:rsidRPr="00B65344" w:rsidRDefault="00B65344" w:rsidP="00B65344">
      <w:pPr>
        <w:numPr>
          <w:ilvl w:val="0"/>
          <w:numId w:val="8"/>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Reports should clearly separate </w:t>
      </w:r>
      <w:r w:rsidRPr="00B65344">
        <w:rPr>
          <w:rFonts w:ascii="Segoe UI" w:eastAsia="Times New Roman" w:hAnsi="Segoe UI" w:cs="Segoe UI"/>
          <w:b/>
          <w:bCs/>
          <w:color w:val="0F1115"/>
          <w:sz w:val="24"/>
          <w:szCs w:val="24"/>
        </w:rPr>
        <w:t>principal vs. interest collections</w:t>
      </w:r>
      <w:r w:rsidRPr="00B65344">
        <w:rPr>
          <w:rFonts w:ascii="Segoe UI" w:eastAsia="Times New Roman" w:hAnsi="Segoe UI" w:cs="Segoe UI"/>
          <w:color w:val="0F1115"/>
          <w:sz w:val="24"/>
          <w:szCs w:val="24"/>
        </w:rPr>
        <w:t>.</w:t>
      </w:r>
    </w:p>
    <w:p w:rsidR="00B65344" w:rsidRPr="00B65344" w:rsidRDefault="00B65344" w:rsidP="00B65344">
      <w:pPr>
        <w:numPr>
          <w:ilvl w:val="0"/>
          <w:numId w:val="8"/>
        </w:numPr>
        <w:shd w:val="clear" w:color="auto" w:fill="FFFFFF"/>
        <w:spacing w:before="100" w:beforeAutospacing="1" w:after="12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Manager performance documents must include:</w:t>
      </w:r>
    </w:p>
    <w:p w:rsidR="00B65344" w:rsidRPr="00B65344" w:rsidRDefault="00B65344" w:rsidP="00B65344">
      <w:pPr>
        <w:numPr>
          <w:ilvl w:val="1"/>
          <w:numId w:val="8"/>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Total cost to institution.</w:t>
      </w:r>
    </w:p>
    <w:p w:rsidR="00B65344" w:rsidRPr="00B65344" w:rsidRDefault="00B65344" w:rsidP="00B65344">
      <w:pPr>
        <w:numPr>
          <w:ilvl w:val="1"/>
          <w:numId w:val="8"/>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t>Expected ROI from incentive plans.</w:t>
      </w:r>
    </w:p>
    <w:p w:rsidR="00622783" w:rsidRPr="00622783" w:rsidRDefault="00B65344" w:rsidP="00622783">
      <w:pPr>
        <w:numPr>
          <w:ilvl w:val="1"/>
          <w:numId w:val="8"/>
        </w:numPr>
        <w:shd w:val="clear" w:color="auto" w:fill="FFFFFF"/>
        <w:spacing w:before="100" w:beforeAutospacing="1" w:after="0" w:line="240" w:lineRule="auto"/>
        <w:rPr>
          <w:rFonts w:ascii="Segoe UI" w:eastAsia="Times New Roman" w:hAnsi="Segoe UI" w:cs="Segoe UI"/>
          <w:color w:val="0F1115"/>
          <w:sz w:val="24"/>
          <w:szCs w:val="24"/>
        </w:rPr>
      </w:pPr>
      <w:r w:rsidRPr="00B65344">
        <w:rPr>
          <w:rFonts w:ascii="Segoe UI" w:eastAsia="Times New Roman" w:hAnsi="Segoe UI" w:cs="Segoe UI"/>
          <w:color w:val="0F1115"/>
          <w:sz w:val="24"/>
          <w:szCs w:val="24"/>
        </w:rPr>
        <w:lastRenderedPageBreak/>
        <w:t>Timeline for target achievement and consequences for underperformance.</w:t>
      </w:r>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t>9. Administration &amp; Human Resources Integration</w:t>
      </w:r>
    </w:p>
    <w:p w:rsidR="00622783" w:rsidRPr="00622783" w:rsidRDefault="00622783" w:rsidP="00622783">
      <w:pPr>
        <w:numPr>
          <w:ilvl w:val="0"/>
          <w:numId w:val="20"/>
        </w:numPr>
        <w:shd w:val="clear" w:color="auto" w:fill="FFFFFF"/>
        <w:spacing w:before="100" w:beforeAutospacing="1" w:after="12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Role of Administration Department:</w:t>
      </w:r>
      <w:r w:rsidRPr="00622783">
        <w:rPr>
          <w:rFonts w:ascii="Segoe UI" w:eastAsia="Times New Roman" w:hAnsi="Segoe UI" w:cs="Segoe UI"/>
          <w:color w:val="0F1115"/>
          <w:sz w:val="24"/>
          <w:szCs w:val="24"/>
        </w:rPr>
        <w:t> The Administration Department, under the Manager Administration, is responsible for ensuring operational continuity, policy compliance, performance monitoring, and talent management across all branches. This includes:</w:t>
      </w:r>
    </w:p>
    <w:p w:rsidR="00622783" w:rsidRPr="00622783" w:rsidRDefault="00622783" w:rsidP="00622783">
      <w:pPr>
        <w:numPr>
          <w:ilvl w:val="1"/>
          <w:numId w:val="30"/>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color w:val="0F1115"/>
          <w:sz w:val="24"/>
          <w:szCs w:val="24"/>
        </w:rPr>
        <w:t>Timely recruitment and onboarding of Loan Consultants.</w:t>
      </w:r>
    </w:p>
    <w:p w:rsidR="00622783" w:rsidRPr="00622783" w:rsidRDefault="00622783" w:rsidP="00622783">
      <w:pPr>
        <w:numPr>
          <w:ilvl w:val="1"/>
          <w:numId w:val="30"/>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color w:val="0F1115"/>
          <w:sz w:val="24"/>
          <w:szCs w:val="24"/>
        </w:rPr>
        <w:t>Implementation of performance tracking and dashboards.</w:t>
      </w:r>
    </w:p>
    <w:p w:rsidR="00622783" w:rsidRPr="00622783" w:rsidRDefault="00622783" w:rsidP="00622783">
      <w:pPr>
        <w:numPr>
          <w:ilvl w:val="1"/>
          <w:numId w:val="30"/>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color w:val="0F1115"/>
          <w:sz w:val="24"/>
          <w:szCs w:val="24"/>
        </w:rPr>
        <w:t>Enforcement of HR policies and disciplinary procedures.</w:t>
      </w:r>
    </w:p>
    <w:p w:rsidR="00622783" w:rsidRPr="00622783" w:rsidRDefault="00622783" w:rsidP="00622783">
      <w:pPr>
        <w:numPr>
          <w:ilvl w:val="1"/>
          <w:numId w:val="30"/>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color w:val="0F1115"/>
          <w:sz w:val="24"/>
          <w:szCs w:val="24"/>
        </w:rPr>
        <w:t>Coordination of training and capacity-building initiatives.</w:t>
      </w:r>
    </w:p>
    <w:p w:rsidR="00622783" w:rsidRPr="00622783" w:rsidRDefault="00622783" w:rsidP="00622783">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Administrative Ticketing System:</w:t>
      </w:r>
      <w:r w:rsidRPr="00622783">
        <w:rPr>
          <w:rFonts w:ascii="Segoe UI" w:eastAsia="Times New Roman" w:hAnsi="Segoe UI" w:cs="Segoe UI"/>
          <w:color w:val="0F1115"/>
          <w:sz w:val="24"/>
          <w:szCs w:val="24"/>
        </w:rPr>
        <w:t> All branch administrative requests (e.g., HR queries, facility issues, policy clarifications) must be submitted through the centralized ticketing system to ensure tracking, accountability, and timely resolution.</w:t>
      </w:r>
    </w:p>
    <w:p w:rsidR="00622783" w:rsidRPr="00622783" w:rsidRDefault="00622783" w:rsidP="00622783">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Performance Management Protocol:</w:t>
      </w:r>
      <w:r w:rsidRPr="00622783">
        <w:rPr>
          <w:rFonts w:ascii="Segoe UI" w:eastAsia="Times New Roman" w:hAnsi="Segoe UI" w:cs="Segoe UI"/>
          <w:color w:val="0F1115"/>
          <w:sz w:val="24"/>
          <w:szCs w:val="24"/>
        </w:rPr>
        <w:t> Underperforming LCs will be placed on a </w:t>
      </w:r>
      <w:r w:rsidRPr="00622783">
        <w:rPr>
          <w:rFonts w:ascii="Segoe UI" w:eastAsia="Times New Roman" w:hAnsi="Segoe UI" w:cs="Segoe UI"/>
          <w:b/>
          <w:bCs/>
          <w:color w:val="0F1115"/>
          <w:sz w:val="24"/>
          <w:szCs w:val="24"/>
        </w:rPr>
        <w:t>Performance Improvement Plan (PIP)</w:t>
      </w:r>
      <w:r w:rsidRPr="00622783">
        <w:rPr>
          <w:rFonts w:ascii="Segoe UI" w:eastAsia="Times New Roman" w:hAnsi="Segoe UI" w:cs="Segoe UI"/>
          <w:color w:val="0F1115"/>
          <w:sz w:val="24"/>
          <w:szCs w:val="24"/>
        </w:rPr>
        <w:t> administered by the Performance Manager. Failure to meet PIP targets within 60 days may result in reassignment, demotion, or termination.</w:t>
      </w:r>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t>10. Technology &amp; System Utilization</w:t>
      </w:r>
    </w:p>
    <w:p w:rsidR="00622783" w:rsidRPr="00622783" w:rsidRDefault="00622783" w:rsidP="00622783">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Loan Management System (LMS):</w:t>
      </w:r>
      <w:r w:rsidRPr="00622783">
        <w:rPr>
          <w:rFonts w:ascii="Segoe UI" w:eastAsia="Times New Roman" w:hAnsi="Segoe UI" w:cs="Segoe UI"/>
          <w:color w:val="0F1115"/>
          <w:sz w:val="24"/>
          <w:szCs w:val="24"/>
        </w:rPr>
        <w:t> All loan disbursements, collections, and client records must be recorded in real-time within the LMS. Role-specific dashboards will be used for performance monitoring.</w:t>
      </w:r>
    </w:p>
    <w:p w:rsidR="00622783" w:rsidRPr="00622783" w:rsidRDefault="00622783" w:rsidP="00622783">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Human Resource Management Information System (HRMIS):</w:t>
      </w:r>
      <w:r w:rsidRPr="00622783">
        <w:rPr>
          <w:rFonts w:ascii="Segoe UI" w:eastAsia="Times New Roman" w:hAnsi="Segoe UI" w:cs="Segoe UI"/>
          <w:color w:val="0F1115"/>
          <w:sz w:val="24"/>
          <w:szCs w:val="24"/>
        </w:rPr>
        <w:t> Employee records, attendance, leave, and performance data will be maintained in the HRMIS. Branch managers must ensure data accuracy and timely updates.</w:t>
      </w:r>
    </w:p>
    <w:p w:rsidR="00622783" w:rsidRPr="00622783" w:rsidRDefault="00622783" w:rsidP="00622783">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eLearning Platform:</w:t>
      </w:r>
      <w:r w:rsidRPr="00622783">
        <w:rPr>
          <w:rFonts w:ascii="Segoe UI" w:eastAsia="Times New Roman" w:hAnsi="Segoe UI" w:cs="Segoe UI"/>
          <w:color w:val="0F1115"/>
          <w:sz w:val="24"/>
          <w:szCs w:val="24"/>
        </w:rPr>
        <w:t> Mandatory training modules (compliance, product knowledge, collections techniques) must be completed by all LCs within 30 days of hiring and annually thereafter.</w:t>
      </w:r>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t>11. Client Portfolio Management &amp; Reassignment Protocol</w:t>
      </w:r>
    </w:p>
    <w:p w:rsidR="00622783" w:rsidRPr="00622783" w:rsidRDefault="00622783" w:rsidP="00622783">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Formalized Reassignment Process:</w:t>
      </w:r>
      <w:r w:rsidRPr="00622783">
        <w:rPr>
          <w:rFonts w:ascii="Segoe UI" w:eastAsia="Times New Roman" w:hAnsi="Segoe UI" w:cs="Segoe UI"/>
          <w:color w:val="0F1115"/>
          <w:sz w:val="24"/>
          <w:szCs w:val="24"/>
        </w:rPr>
        <w:t> Underperforming LCs (uncollected &gt; K5,000 for two consecutive months) will have their portfolios temporarily reassigned to high-</w:t>
      </w:r>
      <w:r w:rsidRPr="00622783">
        <w:rPr>
          <w:rFonts w:ascii="Segoe UI" w:eastAsia="Times New Roman" w:hAnsi="Segoe UI" w:cs="Segoe UI"/>
          <w:color w:val="0F1115"/>
          <w:sz w:val="24"/>
          <w:szCs w:val="24"/>
        </w:rPr>
        <w:lastRenderedPageBreak/>
        <w:t>performing LCs. The reassignment must be documented and approved by the Branch Manager and Performance Manager.</w:t>
      </w:r>
    </w:p>
    <w:p w:rsidR="00622783" w:rsidRPr="00622783" w:rsidRDefault="00622783" w:rsidP="00622783">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Incentive for Portfolio Takeover:</w:t>
      </w:r>
      <w:r w:rsidRPr="00622783">
        <w:rPr>
          <w:rFonts w:ascii="Segoe UI" w:eastAsia="Times New Roman" w:hAnsi="Segoe UI" w:cs="Segoe UI"/>
          <w:color w:val="0F1115"/>
          <w:sz w:val="24"/>
          <w:szCs w:val="24"/>
        </w:rPr>
        <w:t xml:space="preserve"> High-performing LCs who take over delinquent portfolios will </w:t>
      </w:r>
      <w:r>
        <w:rPr>
          <w:rFonts w:ascii="Segoe UI" w:eastAsia="Times New Roman" w:hAnsi="Segoe UI" w:cs="Segoe UI"/>
          <w:color w:val="0F1115"/>
          <w:sz w:val="24"/>
          <w:szCs w:val="24"/>
        </w:rPr>
        <w:t>be allowed to benefit from higher tier loans disbursement allowances as a performance incentive</w:t>
      </w:r>
      <w:r w:rsidRPr="00622783">
        <w:rPr>
          <w:rFonts w:ascii="Segoe UI" w:eastAsia="Times New Roman" w:hAnsi="Segoe UI" w:cs="Segoe UI"/>
          <w:color w:val="0F1115"/>
          <w:sz w:val="24"/>
          <w:szCs w:val="24"/>
        </w:rPr>
        <w:t>.</w:t>
      </w:r>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t>12. Satellite Branch Operations</w:t>
      </w:r>
    </w:p>
    <w:p w:rsidR="00622783" w:rsidRPr="00622783" w:rsidRDefault="00622783" w:rsidP="00622783">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Satellite Office Guidelines:</w:t>
      </w:r>
      <w:r w:rsidRPr="00622783">
        <w:rPr>
          <w:rFonts w:ascii="Segoe UI" w:eastAsia="Times New Roman" w:hAnsi="Segoe UI" w:cs="Segoe UI"/>
          <w:color w:val="0F1115"/>
          <w:sz w:val="24"/>
          <w:szCs w:val="24"/>
        </w:rPr>
        <w:t> Satellite branches must operate under the supervision of the main branch manager. They may have a reduced staff complement (minimum 5 LCs) but must adhere to all reporting, compliance, and performance standards.</w:t>
      </w:r>
    </w:p>
    <w:p w:rsidR="00622783" w:rsidRPr="00622783" w:rsidRDefault="00622783" w:rsidP="00622783">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Expansion Approval:</w:t>
      </w:r>
      <w:r w:rsidRPr="00622783">
        <w:rPr>
          <w:rFonts w:ascii="Segoe UI" w:eastAsia="Times New Roman" w:hAnsi="Segoe UI" w:cs="Segoe UI"/>
          <w:color w:val="0F1115"/>
          <w:sz w:val="24"/>
          <w:szCs w:val="24"/>
        </w:rPr>
        <w:t> Opening of new satellite branches requires approval from the District Manager and Manager Administration, supported by a feasibility report and projected ROI analysis.</w:t>
      </w:r>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t>13. Motor Vehicle Loan Referral Process</w:t>
      </w:r>
    </w:p>
    <w:p w:rsidR="00622783" w:rsidRPr="00622783" w:rsidRDefault="00622783" w:rsidP="00622783">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Referral Workflow:</w:t>
      </w:r>
      <w:r w:rsidRPr="00622783">
        <w:rPr>
          <w:rFonts w:ascii="Segoe UI" w:eastAsia="Times New Roman" w:hAnsi="Segoe UI" w:cs="Segoe UI"/>
          <w:color w:val="0F1115"/>
          <w:sz w:val="24"/>
          <w:szCs w:val="24"/>
        </w:rPr>
        <w:t> Branches may refer clients for Motor Vehicle Loans. The referring branch will receive </w:t>
      </w:r>
      <w:r w:rsidRPr="00622783">
        <w:rPr>
          <w:rFonts w:ascii="Segoe UI" w:eastAsia="Times New Roman" w:hAnsi="Segoe UI" w:cs="Segoe UI"/>
          <w:b/>
          <w:bCs/>
          <w:color w:val="0F1115"/>
          <w:sz w:val="24"/>
          <w:szCs w:val="24"/>
        </w:rPr>
        <w:t>15% of net interest earned</w:t>
      </w:r>
      <w:r w:rsidRPr="00622783">
        <w:rPr>
          <w:rFonts w:ascii="Segoe UI" w:eastAsia="Times New Roman" w:hAnsi="Segoe UI" w:cs="Segoe UI"/>
          <w:color w:val="0F1115"/>
          <w:sz w:val="24"/>
          <w:szCs w:val="24"/>
        </w:rPr>
        <w:t> on the loan a</w:t>
      </w:r>
      <w:r>
        <w:rPr>
          <w:rFonts w:ascii="Segoe UI" w:eastAsia="Times New Roman" w:hAnsi="Segoe UI" w:cs="Segoe UI"/>
          <w:color w:val="0F1115"/>
          <w:sz w:val="24"/>
          <w:szCs w:val="24"/>
        </w:rPr>
        <w:t>s a referral fee</w:t>
      </w:r>
      <w:r w:rsidRPr="00622783">
        <w:rPr>
          <w:rFonts w:ascii="Segoe UI" w:eastAsia="Times New Roman" w:hAnsi="Segoe UI" w:cs="Segoe UI"/>
          <w:color w:val="0F1115"/>
          <w:sz w:val="24"/>
          <w:szCs w:val="24"/>
        </w:rPr>
        <w:t>.</w:t>
      </w:r>
    </w:p>
    <w:p w:rsidR="00622783" w:rsidRPr="00622783" w:rsidRDefault="00622783" w:rsidP="00622783">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Client Eligibility:</w:t>
      </w:r>
      <w:r w:rsidRPr="00622783">
        <w:rPr>
          <w:rFonts w:ascii="Segoe UI" w:eastAsia="Times New Roman" w:hAnsi="Segoe UI" w:cs="Segoe UI"/>
          <w:color w:val="0F1115"/>
          <w:sz w:val="24"/>
          <w:szCs w:val="24"/>
        </w:rPr>
        <w:t> Referred clients must have a clean repayment history with the branch (no defaults in the last 6 months) and meet central underwriting criteria.</w:t>
      </w:r>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t>14. Collections &amp; Recovery Escalation Matrix</w:t>
      </w:r>
    </w:p>
    <w:tbl>
      <w:tblPr>
        <w:tblW w:w="11280" w:type="dxa"/>
        <w:tblInd w:w="-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9"/>
        <w:gridCol w:w="5471"/>
        <w:gridCol w:w="3160"/>
      </w:tblGrid>
      <w:tr w:rsidR="00622783" w:rsidRPr="00622783" w:rsidTr="00622783">
        <w:trPr>
          <w:tblHeader/>
        </w:trPr>
        <w:tc>
          <w:tcPr>
            <w:tcW w:w="0" w:type="auto"/>
            <w:tcMar>
              <w:top w:w="150" w:type="dxa"/>
              <w:left w:w="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b/>
                <w:bCs/>
                <w:sz w:val="23"/>
                <w:szCs w:val="23"/>
              </w:rPr>
              <w:t>Days Delinquent</w:t>
            </w:r>
          </w:p>
        </w:tc>
        <w:tc>
          <w:tcPr>
            <w:tcW w:w="0" w:type="auto"/>
            <w:tcMar>
              <w:top w:w="150" w:type="dxa"/>
              <w:left w:w="24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b/>
                <w:bCs/>
                <w:sz w:val="23"/>
                <w:szCs w:val="23"/>
              </w:rPr>
              <w:t>Action Required</w:t>
            </w:r>
          </w:p>
        </w:tc>
        <w:tc>
          <w:tcPr>
            <w:tcW w:w="0" w:type="auto"/>
            <w:tcMar>
              <w:top w:w="150" w:type="dxa"/>
              <w:left w:w="24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b/>
                <w:bCs/>
                <w:sz w:val="23"/>
                <w:szCs w:val="23"/>
              </w:rPr>
              <w:t>Responsible Party</w:t>
            </w:r>
          </w:p>
        </w:tc>
      </w:tr>
      <w:tr w:rsidR="00622783" w:rsidRPr="00622783" w:rsidTr="00622783">
        <w:tc>
          <w:tcPr>
            <w:tcW w:w="0" w:type="auto"/>
            <w:tcMar>
              <w:top w:w="150" w:type="dxa"/>
              <w:left w:w="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1–30 days</w:t>
            </w:r>
          </w:p>
        </w:tc>
        <w:tc>
          <w:tcPr>
            <w:tcW w:w="0" w:type="auto"/>
            <w:tcMar>
              <w:top w:w="150" w:type="dxa"/>
              <w:left w:w="24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LC follow-up via phone/SMS</w:t>
            </w:r>
          </w:p>
        </w:tc>
        <w:tc>
          <w:tcPr>
            <w:tcW w:w="0" w:type="auto"/>
            <w:tcMar>
              <w:top w:w="150" w:type="dxa"/>
              <w:left w:w="240" w:type="dxa"/>
              <w:bottom w:w="150" w:type="dxa"/>
              <w:right w:w="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Loan Consultant</w:t>
            </w:r>
          </w:p>
        </w:tc>
      </w:tr>
      <w:tr w:rsidR="00622783" w:rsidRPr="00622783" w:rsidTr="00622783">
        <w:tc>
          <w:tcPr>
            <w:tcW w:w="0" w:type="auto"/>
            <w:tcMar>
              <w:top w:w="150" w:type="dxa"/>
              <w:left w:w="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31–60 days</w:t>
            </w:r>
          </w:p>
        </w:tc>
        <w:tc>
          <w:tcPr>
            <w:tcW w:w="0" w:type="auto"/>
            <w:tcMar>
              <w:top w:w="150" w:type="dxa"/>
              <w:left w:w="24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Branch Manager intervention</w:t>
            </w:r>
          </w:p>
        </w:tc>
        <w:tc>
          <w:tcPr>
            <w:tcW w:w="0" w:type="auto"/>
            <w:tcMar>
              <w:top w:w="150" w:type="dxa"/>
              <w:left w:w="240" w:type="dxa"/>
              <w:bottom w:w="150" w:type="dxa"/>
              <w:right w:w="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Branch Manager</w:t>
            </w:r>
          </w:p>
        </w:tc>
      </w:tr>
      <w:tr w:rsidR="00622783" w:rsidRPr="00622783" w:rsidTr="00622783">
        <w:tc>
          <w:tcPr>
            <w:tcW w:w="0" w:type="auto"/>
            <w:tcMar>
              <w:top w:w="150" w:type="dxa"/>
              <w:left w:w="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61–90 days</w:t>
            </w:r>
          </w:p>
        </w:tc>
        <w:tc>
          <w:tcPr>
            <w:tcW w:w="0" w:type="auto"/>
            <w:tcMar>
              <w:top w:w="150" w:type="dxa"/>
              <w:left w:w="24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Formal warning letter; site visit</w:t>
            </w:r>
          </w:p>
        </w:tc>
        <w:tc>
          <w:tcPr>
            <w:tcW w:w="0" w:type="auto"/>
            <w:tcMar>
              <w:top w:w="150" w:type="dxa"/>
              <w:left w:w="240" w:type="dxa"/>
              <w:bottom w:w="150" w:type="dxa"/>
              <w:right w:w="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District Manager</w:t>
            </w:r>
          </w:p>
        </w:tc>
      </w:tr>
      <w:tr w:rsidR="00622783" w:rsidRPr="00622783" w:rsidTr="00622783">
        <w:tc>
          <w:tcPr>
            <w:tcW w:w="0" w:type="auto"/>
            <w:tcMar>
              <w:top w:w="150" w:type="dxa"/>
              <w:left w:w="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91+ days</w:t>
            </w:r>
          </w:p>
        </w:tc>
        <w:tc>
          <w:tcPr>
            <w:tcW w:w="0" w:type="auto"/>
            <w:tcMar>
              <w:top w:w="150" w:type="dxa"/>
              <w:left w:w="240" w:type="dxa"/>
              <w:bottom w:w="150" w:type="dxa"/>
              <w:right w:w="24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Handover to Recoveries Department</w:t>
            </w:r>
          </w:p>
        </w:tc>
        <w:tc>
          <w:tcPr>
            <w:tcW w:w="0" w:type="auto"/>
            <w:tcMar>
              <w:top w:w="150" w:type="dxa"/>
              <w:left w:w="240" w:type="dxa"/>
              <w:bottom w:w="150" w:type="dxa"/>
              <w:right w:w="0" w:type="dxa"/>
            </w:tcMar>
            <w:vAlign w:val="center"/>
            <w:hideMark/>
          </w:tcPr>
          <w:p w:rsidR="00622783" w:rsidRPr="00622783" w:rsidRDefault="00622783" w:rsidP="00622783">
            <w:pPr>
              <w:spacing w:after="0" w:line="375" w:lineRule="atLeast"/>
              <w:rPr>
                <w:rFonts w:ascii="Segoe UI" w:eastAsia="Times New Roman" w:hAnsi="Segoe UI" w:cs="Segoe UI"/>
                <w:sz w:val="23"/>
                <w:szCs w:val="23"/>
              </w:rPr>
            </w:pPr>
            <w:r w:rsidRPr="00622783">
              <w:rPr>
                <w:rFonts w:ascii="Segoe UI" w:eastAsia="Times New Roman" w:hAnsi="Segoe UI" w:cs="Segoe UI"/>
                <w:sz w:val="23"/>
                <w:szCs w:val="23"/>
              </w:rPr>
              <w:t>Recoveries Team</w:t>
            </w:r>
          </w:p>
        </w:tc>
      </w:tr>
    </w:tbl>
    <w:p w:rsidR="00622783" w:rsidRPr="00622783" w:rsidRDefault="00622783" w:rsidP="00622783">
      <w:pPr>
        <w:spacing w:before="480" w:after="480" w:line="240" w:lineRule="auto"/>
        <w:rPr>
          <w:rFonts w:ascii="Times New Roman" w:eastAsia="Times New Roman" w:hAnsi="Times New Roman" w:cs="Times New Roman"/>
          <w:sz w:val="24"/>
          <w:szCs w:val="24"/>
        </w:rPr>
      </w:pPr>
      <w:bookmarkStart w:id="0" w:name="_GoBack"/>
      <w:bookmarkEnd w:id="0"/>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lastRenderedPageBreak/>
        <w:t>15. Manager Performance &amp; Compensation Framework</w:t>
      </w:r>
    </w:p>
    <w:p w:rsidR="00622783" w:rsidRPr="00622783" w:rsidRDefault="00622783" w:rsidP="00622783">
      <w:pPr>
        <w:numPr>
          <w:ilvl w:val="0"/>
          <w:numId w:val="25"/>
        </w:numPr>
        <w:shd w:val="clear" w:color="auto" w:fill="FFFFFF"/>
        <w:spacing w:before="100" w:beforeAutospacing="1" w:after="12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Value-Based KPIs for Managers:</w:t>
      </w:r>
      <w:r w:rsidRPr="00622783">
        <w:rPr>
          <w:rFonts w:ascii="Segoe UI" w:eastAsia="Times New Roman" w:hAnsi="Segoe UI" w:cs="Segoe UI"/>
          <w:color w:val="0F1115"/>
          <w:sz w:val="24"/>
          <w:szCs w:val="24"/>
        </w:rPr>
        <w:t> In addition to branch profitability, manager performance will be evaluated on:</w:t>
      </w:r>
    </w:p>
    <w:p w:rsidR="00622783" w:rsidRPr="00622783" w:rsidRDefault="00622783" w:rsidP="00EE25BA">
      <w:pPr>
        <w:numPr>
          <w:ilvl w:val="1"/>
          <w:numId w:val="31"/>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Portfolio Health:</w:t>
      </w:r>
      <w:r w:rsidRPr="00622783">
        <w:rPr>
          <w:rFonts w:ascii="Segoe UI" w:eastAsia="Times New Roman" w:hAnsi="Segoe UI" w:cs="Segoe UI"/>
          <w:color w:val="0F1115"/>
          <w:sz w:val="24"/>
          <w:szCs w:val="24"/>
        </w:rPr>
        <w:t> Month-1 default rate ≤ 25%</w:t>
      </w:r>
    </w:p>
    <w:p w:rsidR="00622783" w:rsidRPr="00622783" w:rsidRDefault="00622783" w:rsidP="00EE25BA">
      <w:pPr>
        <w:numPr>
          <w:ilvl w:val="1"/>
          <w:numId w:val="31"/>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Staff Development:</w:t>
      </w:r>
      <w:r w:rsidRPr="00622783">
        <w:rPr>
          <w:rFonts w:ascii="Segoe UI" w:eastAsia="Times New Roman" w:hAnsi="Segoe UI" w:cs="Segoe UI"/>
          <w:color w:val="0F1115"/>
          <w:sz w:val="24"/>
          <w:szCs w:val="24"/>
        </w:rPr>
        <w:t> % of LCs meeting K50K+ tier</w:t>
      </w:r>
    </w:p>
    <w:p w:rsidR="00622783" w:rsidRPr="00622783" w:rsidRDefault="00622783" w:rsidP="00EE25BA">
      <w:pPr>
        <w:numPr>
          <w:ilvl w:val="1"/>
          <w:numId w:val="31"/>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Client Retention:</w:t>
      </w:r>
      <w:r w:rsidRPr="00622783">
        <w:rPr>
          <w:rFonts w:ascii="Segoe UI" w:eastAsia="Times New Roman" w:hAnsi="Segoe UI" w:cs="Segoe UI"/>
          <w:color w:val="0F1115"/>
          <w:sz w:val="24"/>
          <w:szCs w:val="24"/>
        </w:rPr>
        <w:t> Repeat client rate ≥ 40%</w:t>
      </w:r>
    </w:p>
    <w:p w:rsidR="00622783" w:rsidRPr="00622783" w:rsidRDefault="00622783" w:rsidP="00EE25BA">
      <w:pPr>
        <w:numPr>
          <w:ilvl w:val="1"/>
          <w:numId w:val="31"/>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Administrative Compliance:</w:t>
      </w:r>
      <w:r w:rsidRPr="00622783">
        <w:rPr>
          <w:rFonts w:ascii="Segoe UI" w:eastAsia="Times New Roman" w:hAnsi="Segoe UI" w:cs="Segoe UI"/>
          <w:color w:val="0F1115"/>
          <w:sz w:val="24"/>
          <w:szCs w:val="24"/>
        </w:rPr>
        <w:t> 100% policy adherence and timely reporting</w:t>
      </w:r>
    </w:p>
    <w:p w:rsidR="00622783" w:rsidRPr="00622783" w:rsidRDefault="00EE25BA" w:rsidP="00622783">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Pr>
          <w:rFonts w:ascii="Segoe UI" w:eastAsia="Times New Roman" w:hAnsi="Segoe UI" w:cs="Segoe UI"/>
          <w:b/>
          <w:bCs/>
          <w:color w:val="0F1115"/>
          <w:sz w:val="24"/>
          <w:szCs w:val="24"/>
        </w:rPr>
        <w:t>Benefits/Rewards</w:t>
      </w:r>
      <w:r w:rsidR="00622783" w:rsidRPr="00622783">
        <w:rPr>
          <w:rFonts w:ascii="Segoe UI" w:eastAsia="Times New Roman" w:hAnsi="Segoe UI" w:cs="Segoe UI"/>
          <w:b/>
          <w:bCs/>
          <w:color w:val="0F1115"/>
          <w:sz w:val="24"/>
          <w:szCs w:val="24"/>
        </w:rPr>
        <w:t xml:space="preserve"> Eligibility:</w:t>
      </w:r>
      <w:r w:rsidR="00622783" w:rsidRPr="00622783">
        <w:rPr>
          <w:rFonts w:ascii="Segoe UI" w:eastAsia="Times New Roman" w:hAnsi="Segoe UI" w:cs="Segoe UI"/>
          <w:color w:val="0F1115"/>
          <w:sz w:val="24"/>
          <w:szCs w:val="24"/>
        </w:rPr>
        <w:t> Managers must meet at least 3 out of</w:t>
      </w:r>
      <w:r>
        <w:rPr>
          <w:rFonts w:ascii="Segoe UI" w:eastAsia="Times New Roman" w:hAnsi="Segoe UI" w:cs="Segoe UI"/>
          <w:color w:val="0F1115"/>
          <w:sz w:val="24"/>
          <w:szCs w:val="24"/>
        </w:rPr>
        <w:t xml:space="preserve"> 5 KPIs to qualify for incremental performance benefits</w:t>
      </w:r>
      <w:r w:rsidR="00622783" w:rsidRPr="00622783">
        <w:rPr>
          <w:rFonts w:ascii="Segoe UI" w:eastAsia="Times New Roman" w:hAnsi="Segoe UI" w:cs="Segoe UI"/>
          <w:color w:val="0F1115"/>
          <w:sz w:val="24"/>
          <w:szCs w:val="24"/>
        </w:rPr>
        <w:t>.</w:t>
      </w:r>
    </w:p>
    <w:p w:rsidR="00EE25BA" w:rsidRDefault="00EE25BA" w:rsidP="00622783">
      <w:pPr>
        <w:shd w:val="clear" w:color="auto" w:fill="FFFFFF"/>
        <w:spacing w:before="480" w:after="240" w:line="450" w:lineRule="atLeast"/>
        <w:outlineLvl w:val="2"/>
        <w:rPr>
          <w:rFonts w:ascii="Segoe UI" w:eastAsia="Times New Roman" w:hAnsi="Segoe UI" w:cs="Segoe UI"/>
          <w:b/>
          <w:bCs/>
          <w:color w:val="0F1115"/>
          <w:sz w:val="30"/>
          <w:szCs w:val="30"/>
        </w:rPr>
      </w:pPr>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t>16. Communication &amp; Reporting Standards</w:t>
      </w:r>
    </w:p>
    <w:p w:rsidR="00622783" w:rsidRPr="00622783" w:rsidRDefault="00622783" w:rsidP="00622783">
      <w:pPr>
        <w:numPr>
          <w:ilvl w:val="0"/>
          <w:numId w:val="26"/>
        </w:numPr>
        <w:shd w:val="clear" w:color="auto" w:fill="FFFFFF"/>
        <w:spacing w:before="100" w:beforeAutospacing="1" w:after="12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Weekly Reporting:</w:t>
      </w:r>
      <w:r w:rsidRPr="00622783">
        <w:rPr>
          <w:rFonts w:ascii="Segoe UI" w:eastAsia="Times New Roman" w:hAnsi="Segoe UI" w:cs="Segoe UI"/>
          <w:color w:val="0F1115"/>
          <w:sz w:val="24"/>
          <w:szCs w:val="24"/>
        </w:rPr>
        <w:t> Branch managers must submit a weekly performance dashboard by Monday 9 AM, including</w:t>
      </w:r>
      <w:r w:rsidR="00EE25BA">
        <w:rPr>
          <w:rFonts w:ascii="Segoe UI" w:eastAsia="Times New Roman" w:hAnsi="Segoe UI" w:cs="Segoe UI"/>
          <w:color w:val="0F1115"/>
          <w:sz w:val="24"/>
          <w:szCs w:val="24"/>
        </w:rPr>
        <w:t xml:space="preserve"> (Shall most likely be automated)</w:t>
      </w:r>
      <w:r w:rsidRPr="00622783">
        <w:rPr>
          <w:rFonts w:ascii="Segoe UI" w:eastAsia="Times New Roman" w:hAnsi="Segoe UI" w:cs="Segoe UI"/>
          <w:color w:val="0F1115"/>
          <w:sz w:val="24"/>
          <w:szCs w:val="24"/>
        </w:rPr>
        <w:t>:</w:t>
      </w:r>
    </w:p>
    <w:p w:rsidR="00622783" w:rsidRPr="00622783" w:rsidRDefault="00622783" w:rsidP="00EE25BA">
      <w:pPr>
        <w:numPr>
          <w:ilvl w:val="1"/>
          <w:numId w:val="32"/>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color w:val="0F1115"/>
          <w:sz w:val="24"/>
          <w:szCs w:val="24"/>
        </w:rPr>
        <w:t>Disbursements vs. target</w:t>
      </w:r>
    </w:p>
    <w:p w:rsidR="00622783" w:rsidRPr="00622783" w:rsidRDefault="00622783" w:rsidP="00EE25BA">
      <w:pPr>
        <w:numPr>
          <w:ilvl w:val="1"/>
          <w:numId w:val="32"/>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color w:val="0F1115"/>
          <w:sz w:val="24"/>
          <w:szCs w:val="24"/>
        </w:rPr>
        <w:t>Collections status (aging analysis)</w:t>
      </w:r>
    </w:p>
    <w:p w:rsidR="00622783" w:rsidRPr="00622783" w:rsidRDefault="00622783" w:rsidP="00EE25BA">
      <w:pPr>
        <w:numPr>
          <w:ilvl w:val="1"/>
          <w:numId w:val="32"/>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color w:val="0F1115"/>
          <w:sz w:val="24"/>
          <w:szCs w:val="24"/>
        </w:rPr>
        <w:t>Portfolio reassignments</w:t>
      </w:r>
    </w:p>
    <w:p w:rsidR="00622783" w:rsidRPr="00622783" w:rsidRDefault="00622783" w:rsidP="00EE25BA">
      <w:pPr>
        <w:numPr>
          <w:ilvl w:val="1"/>
          <w:numId w:val="32"/>
        </w:numPr>
        <w:shd w:val="clear" w:color="auto" w:fill="FFFFFF"/>
        <w:spacing w:before="100" w:beforeAutospacing="1" w:after="0" w:line="240" w:lineRule="auto"/>
        <w:rPr>
          <w:rFonts w:ascii="Segoe UI" w:eastAsia="Times New Roman" w:hAnsi="Segoe UI" w:cs="Segoe UI"/>
          <w:color w:val="0F1115"/>
          <w:sz w:val="24"/>
          <w:szCs w:val="24"/>
        </w:rPr>
      </w:pPr>
      <w:r w:rsidRPr="00622783">
        <w:rPr>
          <w:rFonts w:ascii="Segoe UI" w:eastAsia="Times New Roman" w:hAnsi="Segoe UI" w:cs="Segoe UI"/>
          <w:color w:val="0F1115"/>
          <w:sz w:val="24"/>
          <w:szCs w:val="24"/>
        </w:rPr>
        <w:t>Staff attendance &amp; training compliance</w:t>
      </w:r>
    </w:p>
    <w:p w:rsidR="00EE25BA" w:rsidRPr="00622783" w:rsidRDefault="00622783" w:rsidP="00EE25BA">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Monthly Review Meetings:</w:t>
      </w:r>
      <w:r w:rsidRPr="00622783">
        <w:rPr>
          <w:rFonts w:ascii="Segoe UI" w:eastAsia="Times New Roman" w:hAnsi="Segoe UI" w:cs="Segoe UI"/>
          <w:color w:val="0F1115"/>
          <w:sz w:val="24"/>
          <w:szCs w:val="24"/>
        </w:rPr>
        <w:t> Each branch will conduct a monthly performance review attended by the District Manager and a representative from the Administration Department.</w:t>
      </w:r>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t>17. Contingency &amp; Risk Mitigation Measures</w:t>
      </w:r>
    </w:p>
    <w:p w:rsidR="00622783" w:rsidRPr="00622783" w:rsidRDefault="00622783" w:rsidP="00622783">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Branch Continuity Plan:</w:t>
      </w:r>
      <w:r w:rsidRPr="00622783">
        <w:rPr>
          <w:rFonts w:ascii="Segoe UI" w:eastAsia="Times New Roman" w:hAnsi="Segoe UI" w:cs="Segoe UI"/>
          <w:color w:val="0F1115"/>
          <w:sz w:val="24"/>
          <w:szCs w:val="24"/>
        </w:rPr>
        <w:t> Each branch must maintain a continuity plan outlining steps to be taken in case of manager absence, system failure, or operational disruption.</w:t>
      </w:r>
    </w:p>
    <w:p w:rsidR="00EE25BA" w:rsidRPr="00622783" w:rsidRDefault="00622783" w:rsidP="00EE25BA">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Fraud Prevention:</w:t>
      </w:r>
      <w:r w:rsidRPr="00622783">
        <w:rPr>
          <w:rFonts w:ascii="Segoe UI" w:eastAsia="Times New Roman" w:hAnsi="Segoe UI" w:cs="Segoe UI"/>
          <w:color w:val="0F1115"/>
          <w:sz w:val="24"/>
          <w:szCs w:val="24"/>
        </w:rPr>
        <w:t> Any suspected fraud must be reported immediately to the</w:t>
      </w:r>
      <w:r w:rsidR="00EE25BA">
        <w:rPr>
          <w:rFonts w:ascii="Segoe UI" w:eastAsia="Times New Roman" w:hAnsi="Segoe UI" w:cs="Segoe UI"/>
          <w:color w:val="0F1115"/>
          <w:sz w:val="24"/>
          <w:szCs w:val="24"/>
        </w:rPr>
        <w:t xml:space="preserve"> Risk Manager,</w:t>
      </w:r>
      <w:r w:rsidRPr="00622783">
        <w:rPr>
          <w:rFonts w:ascii="Segoe UI" w:eastAsia="Times New Roman" w:hAnsi="Segoe UI" w:cs="Segoe UI"/>
          <w:color w:val="0F1115"/>
          <w:sz w:val="24"/>
          <w:szCs w:val="24"/>
        </w:rPr>
        <w:t xml:space="preserve"> Manager Administration and Internal Audit</w:t>
      </w:r>
      <w:r w:rsidR="00EE25BA">
        <w:rPr>
          <w:rFonts w:ascii="Segoe UI" w:eastAsia="Times New Roman" w:hAnsi="Segoe UI" w:cs="Segoe UI"/>
          <w:color w:val="0F1115"/>
          <w:sz w:val="24"/>
          <w:szCs w:val="24"/>
        </w:rPr>
        <w:t xml:space="preserve"> (if applicable)</w:t>
      </w:r>
      <w:r w:rsidRPr="00622783">
        <w:rPr>
          <w:rFonts w:ascii="Segoe UI" w:eastAsia="Times New Roman" w:hAnsi="Segoe UI" w:cs="Segoe UI"/>
          <w:color w:val="0F1115"/>
          <w:sz w:val="24"/>
          <w:szCs w:val="24"/>
        </w:rPr>
        <w:t>. Whistleblower protections are in place for staff reporting in good faith.</w:t>
      </w:r>
    </w:p>
    <w:p w:rsidR="00622783" w:rsidRPr="00622783" w:rsidRDefault="00622783" w:rsidP="00622783">
      <w:pPr>
        <w:shd w:val="clear" w:color="auto" w:fill="FFFFFF"/>
        <w:spacing w:before="480" w:after="240" w:line="450" w:lineRule="atLeast"/>
        <w:outlineLvl w:val="2"/>
        <w:rPr>
          <w:rFonts w:ascii="Segoe UI" w:eastAsia="Times New Roman" w:hAnsi="Segoe UI" w:cs="Segoe UI"/>
          <w:b/>
          <w:bCs/>
          <w:color w:val="00B0F0"/>
          <w:sz w:val="30"/>
          <w:szCs w:val="30"/>
        </w:rPr>
      </w:pPr>
      <w:r w:rsidRPr="00622783">
        <w:rPr>
          <w:rFonts w:ascii="Segoe UI" w:eastAsia="Times New Roman" w:hAnsi="Segoe UI" w:cs="Segoe UI"/>
          <w:b/>
          <w:bCs/>
          <w:color w:val="00B0F0"/>
          <w:sz w:val="30"/>
          <w:szCs w:val="30"/>
        </w:rPr>
        <w:lastRenderedPageBreak/>
        <w:t>18. Glossary of Key Terms</w:t>
      </w:r>
    </w:p>
    <w:p w:rsidR="00622783" w:rsidRPr="00622783" w:rsidRDefault="00622783" w:rsidP="00622783">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Month-1 Default:</w:t>
      </w:r>
      <w:r w:rsidRPr="00622783">
        <w:rPr>
          <w:rFonts w:ascii="Segoe UI" w:eastAsia="Times New Roman" w:hAnsi="Segoe UI" w:cs="Segoe UI"/>
          <w:color w:val="0F1115"/>
          <w:sz w:val="24"/>
          <w:szCs w:val="24"/>
        </w:rPr>
        <w:t> Principal + interest not coll</w:t>
      </w:r>
      <w:r w:rsidR="003056D6">
        <w:rPr>
          <w:rFonts w:ascii="Segoe UI" w:eastAsia="Times New Roman" w:hAnsi="Segoe UI" w:cs="Segoe UI"/>
          <w:color w:val="0F1115"/>
          <w:sz w:val="24"/>
          <w:szCs w:val="24"/>
        </w:rPr>
        <w:t xml:space="preserve">ected </w:t>
      </w:r>
      <w:r w:rsidR="006D1A4C">
        <w:rPr>
          <w:rFonts w:ascii="Segoe UI" w:eastAsia="Times New Roman" w:hAnsi="Segoe UI" w:cs="Segoe UI"/>
          <w:color w:val="0F1115"/>
          <w:sz w:val="24"/>
          <w:szCs w:val="24"/>
        </w:rPr>
        <w:t>within 30 days from date the loa</w:t>
      </w:r>
      <w:r w:rsidR="003056D6">
        <w:rPr>
          <w:rFonts w:ascii="Segoe UI" w:eastAsia="Times New Roman" w:hAnsi="Segoe UI" w:cs="Segoe UI"/>
          <w:color w:val="0F1115"/>
          <w:sz w:val="24"/>
          <w:szCs w:val="24"/>
        </w:rPr>
        <w:t>n was obtained</w:t>
      </w:r>
      <w:r w:rsidRPr="00622783">
        <w:rPr>
          <w:rFonts w:ascii="Segoe UI" w:eastAsia="Times New Roman" w:hAnsi="Segoe UI" w:cs="Segoe UI"/>
          <w:color w:val="0F1115"/>
          <w:sz w:val="24"/>
          <w:szCs w:val="24"/>
        </w:rPr>
        <w:t>.</w:t>
      </w:r>
    </w:p>
    <w:p w:rsidR="00622783" w:rsidRPr="00622783" w:rsidRDefault="00622783" w:rsidP="00622783">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In-House Recovery Rate:</w:t>
      </w:r>
      <w:r w:rsidRPr="00622783">
        <w:rPr>
          <w:rFonts w:ascii="Segoe UI" w:eastAsia="Times New Roman" w:hAnsi="Segoe UI" w:cs="Segoe UI"/>
          <w:color w:val="0F1115"/>
          <w:sz w:val="24"/>
          <w:szCs w:val="24"/>
        </w:rPr>
        <w:t> % of Month-1 defaults collected by the branch within 90 days.</w:t>
      </w:r>
    </w:p>
    <w:p w:rsidR="00622783" w:rsidRPr="00622783" w:rsidRDefault="00622783" w:rsidP="00622783">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Sustainable Net Contribution:</w:t>
      </w:r>
      <w:r w:rsidRPr="00622783">
        <w:rPr>
          <w:rFonts w:ascii="Segoe UI" w:eastAsia="Times New Roman" w:hAnsi="Segoe UI" w:cs="Segoe UI"/>
          <w:color w:val="0F1115"/>
          <w:sz w:val="24"/>
          <w:szCs w:val="24"/>
        </w:rPr>
        <w:t> Total cash collected minus operating costs minus long-term delinquency provision.</w:t>
      </w:r>
    </w:p>
    <w:p w:rsidR="00622783" w:rsidRPr="00622783" w:rsidRDefault="00622783" w:rsidP="00622783">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622783">
        <w:rPr>
          <w:rFonts w:ascii="Segoe UI" w:eastAsia="Times New Roman" w:hAnsi="Segoe UI" w:cs="Segoe UI"/>
          <w:b/>
          <w:bCs/>
          <w:color w:val="0F1115"/>
          <w:sz w:val="24"/>
          <w:szCs w:val="24"/>
        </w:rPr>
        <w:t>LC Tier Performance:</w:t>
      </w:r>
      <w:r w:rsidRPr="00622783">
        <w:rPr>
          <w:rFonts w:ascii="Segoe UI" w:eastAsia="Times New Roman" w:hAnsi="Segoe UI" w:cs="Segoe UI"/>
          <w:color w:val="0F1115"/>
          <w:sz w:val="24"/>
          <w:szCs w:val="24"/>
        </w:rPr>
        <w:t> K50K+, K80K+, K120K+ disbursement levels with associated bonuses.</w:t>
      </w:r>
    </w:p>
    <w:sectPr w:rsidR="00622783" w:rsidRPr="0062278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2453" w:rsidRDefault="00D22453" w:rsidP="00B65344">
      <w:pPr>
        <w:spacing w:after="0" w:line="240" w:lineRule="auto"/>
      </w:pPr>
      <w:r>
        <w:separator/>
      </w:r>
    </w:p>
  </w:endnote>
  <w:endnote w:type="continuationSeparator" w:id="0">
    <w:p w:rsidR="00D22453" w:rsidRDefault="00D22453" w:rsidP="00B65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2106220"/>
      <w:docPartObj>
        <w:docPartGallery w:val="Page Numbers (Bottom of Page)"/>
        <w:docPartUnique/>
      </w:docPartObj>
    </w:sdtPr>
    <w:sdtEndPr/>
    <w:sdtContent>
      <w:sdt>
        <w:sdtPr>
          <w:id w:val="1728636285"/>
          <w:docPartObj>
            <w:docPartGallery w:val="Page Numbers (Top of Page)"/>
            <w:docPartUnique/>
          </w:docPartObj>
        </w:sdtPr>
        <w:sdtEndPr/>
        <w:sdtContent>
          <w:p w:rsidR="00B65344" w:rsidRDefault="00B6534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D151B">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D151B">
              <w:rPr>
                <w:b/>
                <w:bCs/>
                <w:noProof/>
              </w:rPr>
              <w:t>10</w:t>
            </w:r>
            <w:r>
              <w:rPr>
                <w:b/>
                <w:bCs/>
                <w:sz w:val="24"/>
                <w:szCs w:val="24"/>
              </w:rPr>
              <w:fldChar w:fldCharType="end"/>
            </w:r>
          </w:p>
        </w:sdtContent>
      </w:sdt>
    </w:sdtContent>
  </w:sdt>
  <w:p w:rsidR="00B65344" w:rsidRDefault="00B6534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2453" w:rsidRDefault="00D22453" w:rsidP="00B65344">
      <w:pPr>
        <w:spacing w:after="0" w:line="240" w:lineRule="auto"/>
      </w:pPr>
      <w:r>
        <w:separator/>
      </w:r>
    </w:p>
  </w:footnote>
  <w:footnote w:type="continuationSeparator" w:id="0">
    <w:p w:rsidR="00D22453" w:rsidRDefault="00D22453" w:rsidP="00B65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1578"/>
    <w:multiLevelType w:val="multilevel"/>
    <w:tmpl w:val="16A665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B8F"/>
    <w:multiLevelType w:val="multilevel"/>
    <w:tmpl w:val="EA44C7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D54E5"/>
    <w:multiLevelType w:val="multilevel"/>
    <w:tmpl w:val="1D327B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83995"/>
    <w:multiLevelType w:val="multilevel"/>
    <w:tmpl w:val="4B903F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75944"/>
    <w:multiLevelType w:val="hybridMultilevel"/>
    <w:tmpl w:val="B4CA2A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842BA"/>
    <w:multiLevelType w:val="multilevel"/>
    <w:tmpl w:val="3EE2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51012"/>
    <w:multiLevelType w:val="multilevel"/>
    <w:tmpl w:val="6868D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8539A"/>
    <w:multiLevelType w:val="multilevel"/>
    <w:tmpl w:val="F796F5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D4AD8"/>
    <w:multiLevelType w:val="multilevel"/>
    <w:tmpl w:val="1FE4D6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53336"/>
    <w:multiLevelType w:val="multilevel"/>
    <w:tmpl w:val="D86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81557"/>
    <w:multiLevelType w:val="multilevel"/>
    <w:tmpl w:val="A2A296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533A0"/>
    <w:multiLevelType w:val="multilevel"/>
    <w:tmpl w:val="764238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E59E9"/>
    <w:multiLevelType w:val="multilevel"/>
    <w:tmpl w:val="3D8480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C6B33"/>
    <w:multiLevelType w:val="multilevel"/>
    <w:tmpl w:val="B8CA9D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972A7"/>
    <w:multiLevelType w:val="multilevel"/>
    <w:tmpl w:val="6E006F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44A5E"/>
    <w:multiLevelType w:val="multilevel"/>
    <w:tmpl w:val="59B037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D7479"/>
    <w:multiLevelType w:val="multilevel"/>
    <w:tmpl w:val="91D4D4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B2AE1"/>
    <w:multiLevelType w:val="multilevel"/>
    <w:tmpl w:val="5D028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82917"/>
    <w:multiLevelType w:val="multilevel"/>
    <w:tmpl w:val="4AB20C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36E9D"/>
    <w:multiLevelType w:val="multilevel"/>
    <w:tmpl w:val="ABEA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5C52A1"/>
    <w:multiLevelType w:val="multilevel"/>
    <w:tmpl w:val="6F9884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9774E"/>
    <w:multiLevelType w:val="multilevel"/>
    <w:tmpl w:val="A79A335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310FE2"/>
    <w:multiLevelType w:val="multilevel"/>
    <w:tmpl w:val="164A56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028BE"/>
    <w:multiLevelType w:val="multilevel"/>
    <w:tmpl w:val="6D0498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01800"/>
    <w:multiLevelType w:val="multilevel"/>
    <w:tmpl w:val="8F8EC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944F3"/>
    <w:multiLevelType w:val="multilevel"/>
    <w:tmpl w:val="B2DC4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86BA5"/>
    <w:multiLevelType w:val="multilevel"/>
    <w:tmpl w:val="B472FF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11093"/>
    <w:multiLevelType w:val="multilevel"/>
    <w:tmpl w:val="0CCEB4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5452B"/>
    <w:multiLevelType w:val="multilevel"/>
    <w:tmpl w:val="941ED63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6F33FE"/>
    <w:multiLevelType w:val="multilevel"/>
    <w:tmpl w:val="882466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65982"/>
    <w:multiLevelType w:val="multilevel"/>
    <w:tmpl w:val="4BAA3D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CD41BF"/>
    <w:multiLevelType w:val="multilevel"/>
    <w:tmpl w:val="E4C852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7"/>
  </w:num>
  <w:num w:numId="3">
    <w:abstractNumId w:val="26"/>
  </w:num>
  <w:num w:numId="4">
    <w:abstractNumId w:val="14"/>
  </w:num>
  <w:num w:numId="5">
    <w:abstractNumId w:val="22"/>
  </w:num>
  <w:num w:numId="6">
    <w:abstractNumId w:val="8"/>
  </w:num>
  <w:num w:numId="7">
    <w:abstractNumId w:val="28"/>
  </w:num>
  <w:num w:numId="8">
    <w:abstractNumId w:val="2"/>
  </w:num>
  <w:num w:numId="9">
    <w:abstractNumId w:val="23"/>
  </w:num>
  <w:num w:numId="10">
    <w:abstractNumId w:val="4"/>
  </w:num>
  <w:num w:numId="11">
    <w:abstractNumId w:val="24"/>
  </w:num>
  <w:num w:numId="12">
    <w:abstractNumId w:val="6"/>
  </w:num>
  <w:num w:numId="13">
    <w:abstractNumId w:val="29"/>
  </w:num>
  <w:num w:numId="14">
    <w:abstractNumId w:val="25"/>
  </w:num>
  <w:num w:numId="15">
    <w:abstractNumId w:val="31"/>
  </w:num>
  <w:num w:numId="16">
    <w:abstractNumId w:val="19"/>
  </w:num>
  <w:num w:numId="17">
    <w:abstractNumId w:val="7"/>
  </w:num>
  <w:num w:numId="18">
    <w:abstractNumId w:val="30"/>
  </w:num>
  <w:num w:numId="19">
    <w:abstractNumId w:val="20"/>
  </w:num>
  <w:num w:numId="20">
    <w:abstractNumId w:val="18"/>
  </w:num>
  <w:num w:numId="21">
    <w:abstractNumId w:val="3"/>
  </w:num>
  <w:num w:numId="22">
    <w:abstractNumId w:val="12"/>
  </w:num>
  <w:num w:numId="23">
    <w:abstractNumId w:val="1"/>
  </w:num>
  <w:num w:numId="24">
    <w:abstractNumId w:val="0"/>
  </w:num>
  <w:num w:numId="25">
    <w:abstractNumId w:val="21"/>
  </w:num>
  <w:num w:numId="26">
    <w:abstractNumId w:val="16"/>
  </w:num>
  <w:num w:numId="27">
    <w:abstractNumId w:val="15"/>
  </w:num>
  <w:num w:numId="28">
    <w:abstractNumId w:val="9"/>
  </w:num>
  <w:num w:numId="29">
    <w:abstractNumId w:val="11"/>
  </w:num>
  <w:num w:numId="30">
    <w:abstractNumId w:val="27"/>
  </w:num>
  <w:num w:numId="31">
    <w:abstractNumId w:val="13"/>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344"/>
    <w:rsid w:val="000C30A1"/>
    <w:rsid w:val="000C4B52"/>
    <w:rsid w:val="003056D6"/>
    <w:rsid w:val="003B1561"/>
    <w:rsid w:val="003B3A41"/>
    <w:rsid w:val="00480876"/>
    <w:rsid w:val="00527C29"/>
    <w:rsid w:val="005514BD"/>
    <w:rsid w:val="005A7492"/>
    <w:rsid w:val="00622783"/>
    <w:rsid w:val="006D1A4C"/>
    <w:rsid w:val="007F129F"/>
    <w:rsid w:val="00802064"/>
    <w:rsid w:val="00887877"/>
    <w:rsid w:val="008F020F"/>
    <w:rsid w:val="00AB7EF3"/>
    <w:rsid w:val="00AD186A"/>
    <w:rsid w:val="00B65344"/>
    <w:rsid w:val="00BC4A3C"/>
    <w:rsid w:val="00BF3F2A"/>
    <w:rsid w:val="00C060F2"/>
    <w:rsid w:val="00C7715F"/>
    <w:rsid w:val="00CC0943"/>
    <w:rsid w:val="00D22453"/>
    <w:rsid w:val="00D25891"/>
    <w:rsid w:val="00E970B5"/>
    <w:rsid w:val="00EE25BA"/>
    <w:rsid w:val="00F050B8"/>
    <w:rsid w:val="00FD1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B984EE-A9F8-4C48-ABD0-FFCCFD9E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3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344"/>
  </w:style>
  <w:style w:type="paragraph" w:styleId="Footer">
    <w:name w:val="footer"/>
    <w:basedOn w:val="Normal"/>
    <w:link w:val="FooterChar"/>
    <w:uiPriority w:val="99"/>
    <w:unhideWhenUsed/>
    <w:rsid w:val="00B653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344"/>
  </w:style>
  <w:style w:type="paragraph" w:styleId="ListParagraph">
    <w:name w:val="List Paragraph"/>
    <w:basedOn w:val="Normal"/>
    <w:uiPriority w:val="34"/>
    <w:qFormat/>
    <w:rsid w:val="00BC4A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59625">
      <w:bodyDiv w:val="1"/>
      <w:marLeft w:val="0"/>
      <w:marRight w:val="0"/>
      <w:marTop w:val="0"/>
      <w:marBottom w:val="0"/>
      <w:divBdr>
        <w:top w:val="none" w:sz="0" w:space="0" w:color="auto"/>
        <w:left w:val="none" w:sz="0" w:space="0" w:color="auto"/>
        <w:bottom w:val="none" w:sz="0" w:space="0" w:color="auto"/>
        <w:right w:val="none" w:sz="0" w:space="0" w:color="auto"/>
      </w:divBdr>
    </w:div>
    <w:div w:id="813911569">
      <w:bodyDiv w:val="1"/>
      <w:marLeft w:val="0"/>
      <w:marRight w:val="0"/>
      <w:marTop w:val="0"/>
      <w:marBottom w:val="0"/>
      <w:divBdr>
        <w:top w:val="none" w:sz="0" w:space="0" w:color="auto"/>
        <w:left w:val="none" w:sz="0" w:space="0" w:color="auto"/>
        <w:bottom w:val="none" w:sz="0" w:space="0" w:color="auto"/>
        <w:right w:val="none" w:sz="0" w:space="0" w:color="auto"/>
      </w:divBdr>
      <w:divsChild>
        <w:div w:id="2036929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10</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CHIKWETI</dc:creator>
  <cp:keywords/>
  <dc:description/>
  <cp:lastModifiedBy>CHIKWETI</cp:lastModifiedBy>
  <cp:revision>11</cp:revision>
  <dcterms:created xsi:type="dcterms:W3CDTF">2026-01-07T07:00:00Z</dcterms:created>
  <dcterms:modified xsi:type="dcterms:W3CDTF">2026-02-24T10:30:00Z</dcterms:modified>
</cp:coreProperties>
</file>