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Arial" w:cs="Arial" w:eastAsia="Arial" w:hAnsi="Arial"/>
          <w:b/>
          <w:bCs/>
          <w:color w:val="1A56A0"/>
          <w:sz w:val="52"/>
          <w:szCs w:val="52"/>
        </w:rPr>
        <w:t xml:space="preserve">CRM for Sales Managers</w:t>
      </w:r>
    </w:p>
    <w:p>
      <w:pPr>
        <w:spacing w:after="40"/>
      </w:pPr>
      <w:r>
        <w:rPr>
          <w:rFonts w:ascii="Arial" w:cs="Arial" w:eastAsia="Arial" w:hAnsi="Arial"/>
          <w:i/>
          <w:iCs/>
          <w:color w:val="555555"/>
          <w:sz w:val="24"/>
          <w:szCs w:val="24"/>
        </w:rPr>
        <w:t xml:space="preserve">How a CRM supports team management, coaching, forecasting, and revenue analysis</w:t>
      </w:r>
    </w:p>
    <w:p>
      <w:pPr>
        <w:pBdr>
          <w:bottom w:val="single" w:color="DDDDDD" w:sz="4" w:space="4"/>
        </w:pBdr>
        <w:spacing w:after="320"/>
      </w:pPr>
      <w:r>
        <w:rPr>
          <w:rFonts w:ascii="Arial" w:cs="Arial" w:eastAsia="Arial" w:hAnsi="Arial"/>
          <w:color w:val="AAAAAA"/>
          <w:sz w:val="18"/>
          <w:szCs w:val="18"/>
        </w:rPr>
        <w:t xml:space="preserve">April 2026</w:t>
      </w:r>
    </w:p>
    <w:p>
      <w:pPr>
        <w:pStyle w:val="Heading1"/>
        <w:pBdr>
          <w:bottom w:val="single" w:color="1A56A0" w:sz="8" w:space="4"/>
        </w:pBdr>
        <w:spacing w:after="120" w:before="360"/>
      </w:pPr>
      <w:r>
        <w:rPr>
          <w:rFonts w:ascii="Arial" w:cs="Arial" w:eastAsia="Arial" w:hAnsi="Arial"/>
          <w:b/>
          <w:bCs/>
          <w:color w:val="2D2D2D"/>
          <w:sz w:val="28"/>
          <w:szCs w:val="28"/>
        </w:rPr>
        <w:t xml:space="preserve">1. How a CRM helps Sales Managers</w:t>
      </w:r>
    </w:p>
    <w:p>
      <w:pPr>
        <w:pBdr>
          <w:left w:val="single" w:color="1A56A0" w:sz="16" w:space="8"/>
        </w:pBdr>
        <w:shd w:fill="EAF2FB" w:val="clear"/>
        <w:spacing w:after="140"/>
        <w:ind w:left="200"/>
      </w:pPr>
      <w:r>
        <w:rPr>
          <w:rFonts w:ascii="Arial" w:cs="Arial" w:eastAsia="Arial" w:hAnsi="Arial"/>
          <w:i/>
          <w:iCs/>
          <w:color w:val="555555"/>
          <w:sz w:val="20"/>
          <w:szCs w:val="20"/>
        </w:rPr>
        <w:t xml:space="preserve">Where an account manager uses a CRM to manage individual relationships, a sales manager uses it to manage a team — tracking performance, coaching reps, forecasting revenue, and removing blockers before they cost a deal.</w:t>
      </w:r>
    </w:p>
    <w:p>
      <w:pPr>
        <w:spacing w:after="80"/>
      </w:pPr>
    </w:p>
    <w:p>
      <w:pPr>
        <w:pStyle w:val="Heading2"/>
        <w:spacing w:after="80" w:before="240"/>
      </w:pPr>
      <w:r>
        <w:rPr>
          <w:rFonts w:ascii="Arial" w:cs="Arial" w:eastAsia="Arial" w:hAnsi="Arial"/>
          <w:b/>
          <w:bCs/>
          <w:color w:val="1A56A0"/>
          <w:sz w:val="22"/>
          <w:szCs w:val="22"/>
        </w:rPr>
        <w:t xml:space="preserve">Task &amp; follow-up automation</w:t>
      </w:r>
    </w:p>
    <w:p>
      <w:pPr>
        <w:pStyle w:val="ListParagraph"/>
        <w:numPr>
          <w:ilvl w:val="0"/>
          <w:numId w:val="2"/>
        </w:numPr>
        <w:spacing w:after="80"/>
      </w:pPr>
      <w:r>
        <w:rPr>
          <w:rFonts w:ascii="Arial" w:cs="Arial" w:eastAsia="Arial" w:hAnsi="Arial"/>
          <w:b w:val="false"/>
          <w:bCs w:val="false"/>
          <w:color w:val="555555"/>
          <w:sz w:val="20"/>
          <w:szCs w:val="20"/>
        </w:rPr>
        <w:t xml:space="preserve">Automated alerts when a rep has not updated a deal in X days — deal rot detection before it is too late</w:t>
      </w:r>
    </w:p>
    <w:p>
      <w:pPr>
        <w:pStyle w:val="ListParagraph"/>
        <w:numPr>
          <w:ilvl w:val="0"/>
          <w:numId w:val="2"/>
        </w:numPr>
        <w:spacing w:after="80"/>
      </w:pPr>
      <w:r>
        <w:rPr>
          <w:rFonts w:ascii="Arial" w:cs="Arial" w:eastAsia="Arial" w:hAnsi="Arial"/>
          <w:b w:val="false"/>
          <w:bCs w:val="false"/>
          <w:color w:val="555555"/>
          <w:sz w:val="20"/>
          <w:szCs w:val="20"/>
        </w:rPr>
        <w:t xml:space="preserve">Reminders to schedule coaching sessions when a rep's win rate or activity level drops below threshold</w:t>
      </w:r>
    </w:p>
    <w:p>
      <w:pPr>
        <w:pStyle w:val="ListParagraph"/>
        <w:numPr>
          <w:ilvl w:val="0"/>
          <w:numId w:val="2"/>
        </w:numPr>
        <w:spacing w:after="80"/>
      </w:pPr>
      <w:r>
        <w:rPr>
          <w:rFonts w:ascii="Arial" w:cs="Arial" w:eastAsia="Arial" w:hAnsi="Arial"/>
          <w:b w:val="false"/>
          <w:bCs w:val="false"/>
          <w:color w:val="555555"/>
          <w:sz w:val="20"/>
          <w:szCs w:val="20"/>
        </w:rPr>
        <w:t xml:space="preserve">Pipeline review tasks auto-scheduled before end-of-quarter crunch</w:t>
      </w:r>
    </w:p>
    <w:p>
      <w:pPr>
        <w:pStyle w:val="ListParagraph"/>
        <w:numPr>
          <w:ilvl w:val="0"/>
          <w:numId w:val="2"/>
        </w:numPr>
        <w:spacing w:after="80"/>
      </w:pPr>
      <w:r>
        <w:rPr>
          <w:rFonts w:ascii="Arial" w:cs="Arial" w:eastAsia="Arial" w:hAnsi="Arial"/>
          <w:b w:val="false"/>
          <w:bCs w:val="false"/>
          <w:color w:val="555555"/>
          <w:sz w:val="20"/>
          <w:szCs w:val="20"/>
        </w:rPr>
        <w:t xml:space="preserve">Notifications when a high-value deal regresses to a previous stage unexpectedly</w:t>
      </w:r>
    </w:p>
    <w:p>
      <w:pPr>
        <w:pStyle w:val="ListParagraph"/>
        <w:numPr>
          <w:ilvl w:val="0"/>
          <w:numId w:val="2"/>
        </w:numPr>
        <w:spacing w:after="80"/>
      </w:pPr>
      <w:r>
        <w:rPr>
          <w:rFonts w:ascii="Arial" w:cs="Arial" w:eastAsia="Arial" w:hAnsi="Arial"/>
          <w:b w:val="false"/>
          <w:bCs w:val="false"/>
          <w:color w:val="555555"/>
          <w:sz w:val="20"/>
          <w:szCs w:val="20"/>
        </w:rPr>
        <w:t xml:space="preserve">Escalation triggers when a deal above a threshold goes cold without manager visibility</w:t>
      </w:r>
    </w:p>
    <w:p>
      <w:pPr>
        <w:spacing w:after="80"/>
      </w:pPr>
    </w:p>
    <w:p>
      <w:pPr>
        <w:pStyle w:val="Heading2"/>
        <w:spacing w:after="80" w:before="240"/>
      </w:pPr>
      <w:r>
        <w:rPr>
          <w:rFonts w:ascii="Arial" w:cs="Arial" w:eastAsia="Arial" w:hAnsi="Arial"/>
          <w:b/>
          <w:bCs/>
          <w:color w:val="1A56A0"/>
          <w:sz w:val="22"/>
          <w:szCs w:val="22"/>
        </w:rPr>
        <w:t xml:space="preserve">What you want to see as a Sales Manager</w:t>
      </w:r>
    </w:p>
    <w:p>
      <w:pPr>
        <w:pStyle w:val="ListParagraph"/>
        <w:numPr>
          <w:ilvl w:val="0"/>
          <w:numId w:val="2"/>
        </w:numPr>
        <w:spacing w:after="80"/>
      </w:pPr>
      <w:r>
        <w:rPr>
          <w:rFonts w:ascii="Arial" w:cs="Arial" w:eastAsia="Arial" w:hAnsi="Arial"/>
          <w:b w:val="false"/>
          <w:bCs w:val="false"/>
          <w:color w:val="555555"/>
          <w:sz w:val="20"/>
          <w:szCs w:val="20"/>
        </w:rPr>
        <w:t xml:space="preserve">Team quota attainment at a glance — each rep vs their individual target</w:t>
      </w:r>
    </w:p>
    <w:p>
      <w:pPr>
        <w:pStyle w:val="ListParagraph"/>
        <w:numPr>
          <w:ilvl w:val="0"/>
          <w:numId w:val="2"/>
        </w:numPr>
        <w:spacing w:after="80"/>
      </w:pPr>
      <w:r>
        <w:rPr>
          <w:rFonts w:ascii="Arial" w:cs="Arial" w:eastAsia="Arial" w:hAnsi="Arial"/>
          <w:b w:val="false"/>
          <w:bCs w:val="false"/>
          <w:color w:val="555555"/>
          <w:sz w:val="20"/>
          <w:szCs w:val="20"/>
        </w:rPr>
        <w:t xml:space="preserve">Pipeline coverage ratio — do you have enough pipeline to hit the number?</w:t>
      </w:r>
    </w:p>
    <w:p>
      <w:pPr>
        <w:pStyle w:val="ListParagraph"/>
        <w:numPr>
          <w:ilvl w:val="0"/>
          <w:numId w:val="2"/>
        </w:numPr>
        <w:spacing w:after="80"/>
      </w:pPr>
      <w:r>
        <w:rPr>
          <w:rFonts w:ascii="Arial" w:cs="Arial" w:eastAsia="Arial" w:hAnsi="Arial"/>
          <w:b w:val="false"/>
          <w:bCs w:val="false"/>
          <w:color w:val="555555"/>
          <w:sz w:val="20"/>
          <w:szCs w:val="20"/>
        </w:rPr>
        <w:t xml:space="preserve">Deal velocity — how long deals take per stage, and where they consistently get stuck</w:t>
      </w:r>
    </w:p>
    <w:p>
      <w:pPr>
        <w:pStyle w:val="ListParagraph"/>
        <w:numPr>
          <w:ilvl w:val="0"/>
          <w:numId w:val="2"/>
        </w:numPr>
        <w:spacing w:after="80"/>
      </w:pPr>
      <w:r>
        <w:rPr>
          <w:rFonts w:ascii="Arial" w:cs="Arial" w:eastAsia="Arial" w:hAnsi="Arial"/>
          <w:b w:val="false"/>
          <w:bCs w:val="false"/>
          <w:color w:val="555555"/>
          <w:sz w:val="20"/>
          <w:szCs w:val="20"/>
        </w:rPr>
        <w:t xml:space="preserve">Win and loss rates by rep, by segment, and by competitor</w:t>
      </w:r>
    </w:p>
    <w:p>
      <w:pPr>
        <w:pStyle w:val="ListParagraph"/>
        <w:numPr>
          <w:ilvl w:val="0"/>
          <w:numId w:val="2"/>
        </w:numPr>
        <w:spacing w:after="80"/>
      </w:pPr>
      <w:r>
        <w:rPr>
          <w:rFonts w:ascii="Arial" w:cs="Arial" w:eastAsia="Arial" w:hAnsi="Arial"/>
          <w:b w:val="false"/>
          <w:bCs w:val="false"/>
          <w:color w:val="555555"/>
          <w:sz w:val="20"/>
          <w:szCs w:val="20"/>
        </w:rPr>
        <w:t xml:space="preserve">Forecast accuracy — predicted vs actual closed revenue over time</w:t>
      </w:r>
    </w:p>
    <w:p>
      <w:pPr>
        <w:pStyle w:val="ListParagraph"/>
        <w:numPr>
          <w:ilvl w:val="0"/>
          <w:numId w:val="2"/>
        </w:numPr>
        <w:spacing w:after="80"/>
      </w:pPr>
      <w:r>
        <w:rPr>
          <w:rFonts w:ascii="Arial" w:cs="Arial" w:eastAsia="Arial" w:hAnsi="Arial"/>
          <w:b w:val="false"/>
          <w:bCs w:val="false"/>
          <w:color w:val="555555"/>
          <w:sz w:val="20"/>
          <w:szCs w:val="20"/>
        </w:rPr>
        <w:t xml:space="preserve">Activity metrics — calls, emails, meetings per rep, and whether they correlate with results</w:t>
      </w:r>
    </w:p>
    <w:p>
      <w:pPr>
        <w:pStyle w:val="ListParagraph"/>
        <w:numPr>
          <w:ilvl w:val="0"/>
          <w:numId w:val="2"/>
        </w:numPr>
        <w:spacing w:after="80"/>
      </w:pPr>
      <w:r>
        <w:rPr>
          <w:rFonts w:ascii="Arial" w:cs="Arial" w:eastAsia="Arial" w:hAnsi="Arial"/>
          <w:b w:val="false"/>
          <w:bCs w:val="false"/>
          <w:color w:val="555555"/>
          <w:sz w:val="20"/>
          <w:szCs w:val="20"/>
        </w:rPr>
        <w:t xml:space="preserve">Deals at risk — high-value opportunities that have gone quiet or stalled</w:t>
      </w:r>
    </w:p>
    <w:p>
      <w:pPr>
        <w:pStyle w:val="ListParagraph"/>
        <w:numPr>
          <w:ilvl w:val="0"/>
          <w:numId w:val="2"/>
        </w:numPr>
        <w:spacing w:after="80"/>
      </w:pPr>
      <w:r>
        <w:rPr>
          <w:rFonts w:ascii="Arial" w:cs="Arial" w:eastAsia="Arial" w:hAnsi="Arial"/>
          <w:b w:val="false"/>
          <w:bCs w:val="false"/>
          <w:color w:val="555555"/>
          <w:sz w:val="20"/>
          <w:szCs w:val="20"/>
        </w:rPr>
        <w:t xml:space="preserve">New pipeline created this period — are reps building enough top-of-funnel?</w:t>
      </w:r>
    </w:p>
    <w:p>
      <w:pPr>
        <w:spacing w:after="200"/>
      </w:pPr>
    </w:p>
    <w:p>
      <w:pPr>
        <w:pStyle w:val="Heading1"/>
        <w:pBdr>
          <w:bottom w:val="single" w:color="1A56A0" w:sz="8" w:space="4"/>
        </w:pBdr>
        <w:spacing w:after="120" w:before="360"/>
      </w:pPr>
      <w:r>
        <w:rPr>
          <w:rFonts w:ascii="Arial" w:cs="Arial" w:eastAsia="Arial" w:hAnsi="Arial"/>
          <w:b/>
          <w:bCs/>
          <w:color w:val="2D2D2D"/>
          <w:sz w:val="28"/>
          <w:szCs w:val="28"/>
        </w:rPr>
        <w:t xml:space="preserve">2. The Ideal Sales Manager Dashboard</w:t>
      </w:r>
    </w:p>
    <w:p>
      <w:pPr>
        <w:pBdr>
          <w:left w:val="single" w:color="1A56A0" w:sz="16" w:space="8"/>
        </w:pBdr>
        <w:shd w:fill="EAF2FB" w:val="clear"/>
        <w:spacing w:after="140"/>
        <w:ind w:left="200"/>
      </w:pPr>
      <w:r>
        <w:rPr>
          <w:rFonts w:ascii="Arial" w:cs="Arial" w:eastAsia="Arial" w:hAnsi="Arial"/>
          <w:i/>
          <w:iCs/>
          <w:color w:val="555555"/>
          <w:sz w:val="20"/>
          <w:szCs w:val="20"/>
        </w:rPr>
        <w:t xml:space="preserve">The dashboard below gives you full visibility over your team in one view — quota progress, rep performance, pipeline health, deal risk, and forecast — all without clicking into individual records.</w:t>
      </w:r>
    </w:p>
    <w:p>
      <w:pPr>
        <w:spacing w:after="100"/>
      </w:pPr>
    </w:p>
    <w:p>
      <w:pPr>
        <w:spacing w:after="80"/>
        <w:jc w:val="center"/>
      </w:pPr>
      <w:r>
        <w:drawing>
          <wp:inline distT="0" distB="0" distL="0" distR="0">
            <wp:extent cx="5991225" cy="646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91225" cy="6467475"/>
                    </a:xfrm>
                    <a:prstGeom prst="rect">
                      <a:avLst/>
                    </a:prstGeom>
                  </pic:spPr>
                </pic:pic>
              </a:graphicData>
            </a:graphic>
          </wp:inline>
        </w:drawing>
      </w:r>
    </w:p>
    <w:p>
      <w:pPr>
        <w:spacing w:after="260"/>
        <w:jc w:val="center"/>
      </w:pPr>
      <w:r>
        <w:rPr>
          <w:rFonts w:ascii="Arial" w:cs="Arial" w:eastAsia="Arial" w:hAnsi="Arial"/>
          <w:i/>
          <w:iCs/>
          <w:color w:val="AAAAAA"/>
          <w:sz w:val="16"/>
          <w:szCs w:val="16"/>
        </w:rPr>
        <w:t xml:space="preserve">Figure 1 — Sales Manager CRM Dashboard (Q2 2026)</w:t>
      </w:r>
    </w:p>
    <w:p>
      <w:pPr>
        <w:pStyle w:val="Heading2"/>
        <w:spacing w:after="80" w:before="240"/>
      </w:pPr>
      <w:r>
        <w:rPr>
          <w:rFonts w:ascii="Arial" w:cs="Arial" w:eastAsia="Arial" w:hAnsi="Arial"/>
          <w:b/>
          <w:bCs/>
          <w:color w:val="1A56A0"/>
          <w:sz w:val="22"/>
          <w:szCs w:val="22"/>
        </w:rPr>
        <w:t xml:space="preserve">Key performance indicators</w:t>
      </w:r>
    </w:p>
    <w:p>
      <w:pPr>
        <w:spacing w:after="100"/>
      </w:pPr>
      <w:r>
        <w:rPr>
          <w:rFonts w:ascii="Arial" w:cs="Arial" w:eastAsia="Arial" w:hAnsi="Arial"/>
          <w:color w:val="555555"/>
          <w:sz w:val="20"/>
          <w:szCs w:val="20"/>
        </w:rPr>
        <w:t xml:space="preserve">Four headline numbers give you the state of your team in under three seconds: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EAF2FB" w:val="clear"/>
            <w:tcMar>
              <w:top w:type="dxa" w:w="120"/>
              <w:left w:type="dxa" w:w="160"/>
              <w:bottom w:type="dxa" w:w="120"/>
              <w:right w:type="dxa" w:w="160"/>
            </w:tcMar>
          </w:tcPr>
          <w:p>
            <w:r>
              <w:rPr>
                <w:rFonts w:ascii="Arial" w:cs="Arial" w:eastAsia="Arial" w:hAnsi="Arial"/>
                <w:b/>
                <w:bCs/>
                <w:color w:val="E65100"/>
                <w:sz w:val="36"/>
                <w:szCs w:val="36"/>
              </w:rPr>
              <w:t xml:space="preserve">64%</w:t>
            </w:r>
          </w:p>
          <w:p>
            <w:pPr>
              <w:spacing w:after="40"/>
            </w:pPr>
            <w:r>
              <w:rPr>
                <w:rFonts w:ascii="Arial" w:cs="Arial" w:eastAsia="Arial" w:hAnsi="Arial"/>
                <w:color w:val="555555"/>
                <w:sz w:val="16"/>
                <w:szCs w:val="16"/>
              </w:rPr>
              <w:t xml:space="preserve">Team quota attainment</w:t>
            </w:r>
          </w:p>
          <w:p>
            <w:r>
              <w:rPr>
                <w:rFonts w:ascii="Arial" w:cs="Arial" w:eastAsia="Arial" w:hAnsi="Arial"/>
                <w:color w:val="999999"/>
                <w:sz w:val="15"/>
                <w:szCs w:val="15"/>
              </w:rPr>
              <w:t xml:space="preserve">7 weeks left in Q2</w:t>
            </w:r>
          </w:p>
        </w:tc>
        <w:tc>
          <w:tcPr>
            <w:tcW w:type="dxa" w:w="2340"/>
            <w:tcBorders>
              <w:top w:val="single" w:color="DDDDDD" w:sz="1"/>
              <w:left w:val="single" w:color="DDDDDD" w:sz="1"/>
              <w:bottom w:val="single" w:color="DDDDDD" w:sz="1"/>
              <w:right w:val="single" w:color="DDDDDD" w:sz="1"/>
            </w:tcBorders>
            <w:shd w:fill="EAF2FB" w:val="clear"/>
            <w:tcMar>
              <w:top w:type="dxa" w:w="120"/>
              <w:left w:type="dxa" w:w="160"/>
              <w:bottom w:type="dxa" w:w="120"/>
              <w:right w:type="dxa" w:w="160"/>
            </w:tcMar>
          </w:tcPr>
          <w:p>
            <w:r>
              <w:rPr>
                <w:rFonts w:ascii="Arial" w:cs="Arial" w:eastAsia="Arial" w:hAnsi="Arial"/>
                <w:b/>
                <w:bCs/>
                <w:color w:val="2E7D32"/>
                <w:sz w:val="36"/>
                <w:szCs w:val="36"/>
              </w:rPr>
              <w:t xml:space="preserve">€1.54M</w:t>
            </w:r>
          </w:p>
          <w:p>
            <w:pPr>
              <w:spacing w:after="40"/>
            </w:pPr>
            <w:r>
              <w:rPr>
                <w:rFonts w:ascii="Arial" w:cs="Arial" w:eastAsia="Arial" w:hAnsi="Arial"/>
                <w:color w:val="555555"/>
                <w:sz w:val="16"/>
                <w:szCs w:val="16"/>
              </w:rPr>
              <w:t xml:space="preserve">Closed won (Q2)</w:t>
            </w:r>
          </w:p>
          <w:p>
            <w:r>
              <w:rPr>
                <w:rFonts w:ascii="Arial" w:cs="Arial" w:eastAsia="Arial" w:hAnsi="Arial"/>
                <w:color w:val="999999"/>
                <w:sz w:val="15"/>
                <w:szCs w:val="15"/>
              </w:rPr>
              <w:t xml:space="preserve">+19% vs Q1</w:t>
            </w:r>
          </w:p>
        </w:tc>
        <w:tc>
          <w:tcPr>
            <w:tcW w:type="dxa" w:w="2340"/>
            <w:tcBorders>
              <w:top w:val="single" w:color="DDDDDD" w:sz="1"/>
              <w:left w:val="single" w:color="DDDDDD" w:sz="1"/>
              <w:bottom w:val="single" w:color="DDDDDD" w:sz="1"/>
              <w:right w:val="single" w:color="DDDDDD" w:sz="1"/>
            </w:tcBorders>
            <w:shd w:fill="EAF2FB" w:val="clear"/>
            <w:tcMar>
              <w:top w:type="dxa" w:w="120"/>
              <w:left w:type="dxa" w:w="160"/>
              <w:bottom w:type="dxa" w:w="120"/>
              <w:right w:type="dxa" w:w="160"/>
            </w:tcMar>
          </w:tcPr>
          <w:p>
            <w:r>
              <w:rPr>
                <w:rFonts w:ascii="Arial" w:cs="Arial" w:eastAsia="Arial" w:hAnsi="Arial"/>
                <w:b/>
                <w:bCs/>
                <w:color w:val="1A56A0"/>
                <w:sz w:val="36"/>
                <w:szCs w:val="36"/>
              </w:rPr>
              <w:t xml:space="preserve">3.2×</w:t>
            </w:r>
          </w:p>
          <w:p>
            <w:pPr>
              <w:spacing w:after="40"/>
            </w:pPr>
            <w:r>
              <w:rPr>
                <w:rFonts w:ascii="Arial" w:cs="Arial" w:eastAsia="Arial" w:hAnsi="Arial"/>
                <w:color w:val="555555"/>
                <w:sz w:val="16"/>
                <w:szCs w:val="16"/>
              </w:rPr>
              <w:t xml:space="preserve">Pipeline coverage</w:t>
            </w:r>
          </w:p>
          <w:p>
            <w:r>
              <w:rPr>
                <w:rFonts w:ascii="Arial" w:cs="Arial" w:eastAsia="Arial" w:hAnsi="Arial"/>
                <w:color w:val="999999"/>
                <w:sz w:val="15"/>
                <w:szCs w:val="15"/>
              </w:rPr>
              <w:t xml:space="preserve">Target 3× — on track</w:t>
            </w:r>
          </w:p>
        </w:tc>
        <w:tc>
          <w:tcPr>
            <w:tcW w:type="dxa" w:w="2340"/>
            <w:tcBorders>
              <w:top w:val="single" w:color="DDDDDD" w:sz="1"/>
              <w:left w:val="single" w:color="DDDDDD" w:sz="1"/>
              <w:bottom w:val="single" w:color="DDDDDD" w:sz="1"/>
              <w:right w:val="single" w:color="DDDDDD" w:sz="1"/>
            </w:tcBorders>
            <w:shd w:fill="EAF2FB" w:val="clear"/>
            <w:tcMar>
              <w:top w:type="dxa" w:w="120"/>
              <w:left w:type="dxa" w:w="160"/>
              <w:bottom w:type="dxa" w:w="120"/>
              <w:right w:type="dxa" w:w="160"/>
            </w:tcMar>
          </w:tcPr>
          <w:p>
            <w:r>
              <w:rPr>
                <w:rFonts w:ascii="Arial" w:cs="Arial" w:eastAsia="Arial" w:hAnsi="Arial"/>
                <w:b/>
                <w:bCs/>
                <w:color w:val="C62828"/>
                <w:sz w:val="36"/>
                <w:szCs w:val="36"/>
              </w:rPr>
              <w:t xml:space="preserve">6</w:t>
            </w:r>
          </w:p>
          <w:p>
            <w:pPr>
              <w:spacing w:after="40"/>
            </w:pPr>
            <w:r>
              <w:rPr>
                <w:rFonts w:ascii="Arial" w:cs="Arial" w:eastAsia="Arial" w:hAnsi="Arial"/>
                <w:color w:val="555555"/>
                <w:sz w:val="16"/>
                <w:szCs w:val="16"/>
              </w:rPr>
              <w:t xml:space="preserve">Deals at risk</w:t>
            </w:r>
          </w:p>
          <w:p>
            <w:r>
              <w:rPr>
                <w:rFonts w:ascii="Arial" w:cs="Arial" w:eastAsia="Arial" w:hAnsi="Arial"/>
                <w:color w:val="999999"/>
                <w:sz w:val="15"/>
                <w:szCs w:val="15"/>
              </w:rPr>
              <w:t xml:space="preserve">€412K exposed</w:t>
            </w:r>
          </w:p>
        </w:tc>
      </w:tr>
    </w:tbl>
    <w:p>
      <w:pPr>
        <w:spacing w:after="160"/>
      </w:pPr>
    </w:p>
    <w:p>
      <w:pPr>
        <w:pStyle w:val="Heading2"/>
        <w:spacing w:after="80" w:before="240"/>
      </w:pPr>
      <w:r>
        <w:rPr>
          <w:rFonts w:ascii="Arial" w:cs="Arial" w:eastAsia="Arial" w:hAnsi="Arial"/>
          <w:b/>
          <w:bCs/>
          <w:color w:val="1A56A0"/>
          <w:sz w:val="22"/>
          <w:szCs w:val="22"/>
        </w:rPr>
        <w:t xml:space="preserve">Rep performance</w:t>
      </w:r>
    </w:p>
    <w:p>
      <w:pPr>
        <w:spacing w:after="100"/>
      </w:pPr>
      <w:r>
        <w:rPr>
          <w:rFonts w:ascii="Arial" w:cs="Arial" w:eastAsia="Arial" w:hAnsi="Arial"/>
          <w:color w:val="555555"/>
          <w:sz w:val="20"/>
          <w:szCs w:val="20"/>
        </w:rPr>
        <w:t xml:space="preserve">Every rep is scored across six dimensions in a single row — attainment, closed revenue, pipeline value, activity level, and average deal size. You can see immediately who is on track, who needs coaching, and who is a flight risk.</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1200"/>
        <w:gridCol w:w="1200"/>
        <w:gridCol w:w="1600"/>
        <w:gridCol w:w="1760"/>
      </w:tblGrid>
      <w:tr>
        <w:trPr>
          <w:tblHeader/>
        </w:trPr>
        <w:tc>
          <w:tcPr>
            <w:tcW w:type="dxa" w:w="2100"/>
            <w:tcBorders>
              <w:top w:val="single" w:color="DDDDDD" w:sz="1"/>
              <w:left w:val="single" w:color="DDDDDD" w:sz="1"/>
              <w:bottom w:val="single" w:color="DDDDDD" w:sz="1"/>
              <w:right w:val="single" w:color="DDDDDD"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Rep</w:t>
            </w:r>
          </w:p>
        </w:tc>
        <w:tc>
          <w:tcPr>
            <w:tcW w:type="dxa" w:w="1500"/>
            <w:tcBorders>
              <w:top w:val="single" w:color="DDDDDD" w:sz="1"/>
              <w:left w:val="single" w:color="DDDDDD" w:sz="1"/>
              <w:bottom w:val="single" w:color="DDDDDD" w:sz="1"/>
              <w:right w:val="single" w:color="DDDDDD"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Attainment</w:t>
            </w:r>
          </w:p>
        </w:tc>
        <w:tc>
          <w:tcPr>
            <w:tcW w:type="dxa" w:w="1200"/>
            <w:tcBorders>
              <w:top w:val="single" w:color="DDDDDD" w:sz="1"/>
              <w:left w:val="single" w:color="DDDDDD" w:sz="1"/>
              <w:bottom w:val="single" w:color="DDDDDD" w:sz="1"/>
              <w:right w:val="single" w:color="DDDDDD"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Closed</w:t>
            </w:r>
          </w:p>
        </w:tc>
        <w:tc>
          <w:tcPr>
            <w:tcW w:type="dxa" w:w="1200"/>
            <w:tcBorders>
              <w:top w:val="single" w:color="DDDDDD" w:sz="1"/>
              <w:left w:val="single" w:color="DDDDDD" w:sz="1"/>
              <w:bottom w:val="single" w:color="DDDDDD" w:sz="1"/>
              <w:right w:val="single" w:color="DDDDDD"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Pipeline</w:t>
            </w:r>
          </w:p>
        </w:tc>
        <w:tc>
          <w:tcPr>
            <w:tcW w:type="dxa" w:w="1600"/>
            <w:tcBorders>
              <w:top w:val="single" w:color="DDDDDD" w:sz="1"/>
              <w:left w:val="single" w:color="DDDDDD" w:sz="1"/>
              <w:bottom w:val="single" w:color="DDDDDD" w:sz="1"/>
              <w:right w:val="single" w:color="DDDDDD"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Activity</w:t>
            </w:r>
          </w:p>
        </w:tc>
        <w:tc>
          <w:tcPr>
            <w:tcW w:type="dxa" w:w="1760"/>
            <w:tcBorders>
              <w:top w:val="single" w:color="DDDDDD" w:sz="1"/>
              <w:left w:val="single" w:color="DDDDDD" w:sz="1"/>
              <w:bottom w:val="single" w:color="DDDDDD" w:sz="1"/>
              <w:right w:val="single" w:color="DDDDDD"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Avg deal</w:t>
            </w:r>
          </w:p>
        </w:tc>
      </w:tr>
      <w:tr>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D2D2D"/>
                <w:sz w:val="18"/>
                <w:szCs w:val="18"/>
              </w:rPr>
              <w:t xml:space="preserve">Sara Linden</w:t>
            </w:r>
          </w:p>
          <w:p>
            <w:r>
              <w:rPr>
                <w:rFonts w:ascii="Arial" w:cs="Arial" w:eastAsia="Arial" w:hAnsi="Arial"/>
                <w:color w:val="999999"/>
                <w:sz w:val="15"/>
                <w:szCs w:val="15"/>
              </w:rPr>
              <w:t xml:space="preserve">Senior AE</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E7D32"/>
                <w:sz w:val="20"/>
                <w:szCs w:val="20"/>
              </w:rPr>
              <w:t xml:space="preserve">88%</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D2D2D"/>
                <w:sz w:val="18"/>
                <w:szCs w:val="18"/>
              </w:rPr>
              <w:t xml:space="preserve">€440K</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€620K</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56A0"/>
                <w:sz w:val="18"/>
                <w:szCs w:val="18"/>
              </w:rPr>
              <w:t xml:space="preserve">●●●●○</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€55K</w:t>
            </w:r>
          </w:p>
        </w:tc>
      </w:tr>
      <w:tr>
        <w:tc>
          <w:tcPr>
            <w:tcW w:type="dxa" w:w="210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r>
              <w:rPr>
                <w:rFonts w:ascii="Arial" w:cs="Arial" w:eastAsia="Arial" w:hAnsi="Arial"/>
                <w:b/>
                <w:bCs/>
                <w:color w:val="2D2D2D"/>
                <w:sz w:val="18"/>
                <w:szCs w:val="18"/>
              </w:rPr>
              <w:t xml:space="preserve">Marc Visser</w:t>
            </w:r>
          </w:p>
          <w:p>
            <w:r>
              <w:rPr>
                <w:rFonts w:ascii="Arial" w:cs="Arial" w:eastAsia="Arial" w:hAnsi="Arial"/>
                <w:color w:val="999999"/>
                <w:sz w:val="15"/>
                <w:szCs w:val="15"/>
              </w:rPr>
              <w:t xml:space="preserve">AE</w:t>
            </w:r>
          </w:p>
        </w:tc>
        <w:tc>
          <w:tcPr>
            <w:tcW w:type="dxa" w:w="150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r>
              <w:rPr>
                <w:rFonts w:ascii="Arial" w:cs="Arial" w:eastAsia="Arial" w:hAnsi="Arial"/>
                <w:b/>
                <w:bCs/>
                <w:color w:val="1A56A0"/>
                <w:sz w:val="20"/>
                <w:szCs w:val="20"/>
              </w:rPr>
              <w:t xml:space="preserve">71%</w:t>
            </w:r>
          </w:p>
        </w:tc>
        <w:tc>
          <w:tcPr>
            <w:tcW w:type="dxa" w:w="120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r>
              <w:rPr>
                <w:rFonts w:ascii="Arial" w:cs="Arial" w:eastAsia="Arial" w:hAnsi="Arial"/>
                <w:b/>
                <w:bCs/>
                <w:color w:val="2D2D2D"/>
                <w:sz w:val="18"/>
                <w:szCs w:val="18"/>
              </w:rPr>
              <w:t xml:space="preserve">€355K</w:t>
            </w:r>
          </w:p>
        </w:tc>
        <w:tc>
          <w:tcPr>
            <w:tcW w:type="dxa" w:w="120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r>
              <w:rPr>
                <w:rFonts w:ascii="Arial" w:cs="Arial" w:eastAsia="Arial" w:hAnsi="Arial"/>
                <w:color w:val="555555"/>
                <w:sz w:val="18"/>
                <w:szCs w:val="18"/>
              </w:rPr>
              <w:t xml:space="preserve">€510K</w:t>
            </w:r>
          </w:p>
        </w:tc>
        <w:tc>
          <w:tcPr>
            <w:tcW w:type="dxa" w:w="160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r>
              <w:rPr>
                <w:rFonts w:ascii="Arial" w:cs="Arial" w:eastAsia="Arial" w:hAnsi="Arial"/>
                <w:color w:val="1A56A0"/>
                <w:sz w:val="18"/>
                <w:szCs w:val="18"/>
              </w:rPr>
              <w:t xml:space="preserve">●●●○○</w:t>
            </w:r>
          </w:p>
        </w:tc>
        <w:tc>
          <w:tcPr>
            <w:tcW w:type="dxa" w:w="176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r>
              <w:rPr>
                <w:rFonts w:ascii="Arial" w:cs="Arial" w:eastAsia="Arial" w:hAnsi="Arial"/>
                <w:color w:val="555555"/>
                <w:sz w:val="18"/>
                <w:szCs w:val="18"/>
              </w:rPr>
              <w:t xml:space="preserve">€47K</w:t>
            </w:r>
          </w:p>
        </w:tc>
      </w:tr>
      <w:tr>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D2D2D"/>
                <w:sz w:val="18"/>
                <w:szCs w:val="18"/>
              </w:rPr>
              <w:t xml:space="preserve">Julia Berg</w:t>
            </w:r>
          </w:p>
          <w:p>
            <w:r>
              <w:rPr>
                <w:rFonts w:ascii="Arial" w:cs="Arial" w:eastAsia="Arial" w:hAnsi="Arial"/>
                <w:color w:val="999999"/>
                <w:sz w:val="15"/>
                <w:szCs w:val="15"/>
              </w:rPr>
              <w:t xml:space="preserve">AE</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E65100"/>
                <w:sz w:val="20"/>
                <w:szCs w:val="20"/>
              </w:rPr>
              <w:t xml:space="preserve">52%</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D2D2D"/>
                <w:sz w:val="18"/>
                <w:szCs w:val="18"/>
              </w:rPr>
              <w:t xml:space="preserve">€260K</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€380K</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56A0"/>
                <w:sz w:val="18"/>
                <w:szCs w:val="18"/>
              </w:rPr>
              <w:t xml:space="preserve">●○○○○</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€32K</w:t>
            </w:r>
          </w:p>
        </w:tc>
      </w:tr>
      <w:tr>
        <w:tc>
          <w:tcPr>
            <w:tcW w:type="dxa" w:w="210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r>
              <w:rPr>
                <w:rFonts w:ascii="Arial" w:cs="Arial" w:eastAsia="Arial" w:hAnsi="Arial"/>
                <w:b/>
                <w:bCs/>
                <w:color w:val="2D2D2D"/>
                <w:sz w:val="18"/>
                <w:szCs w:val="18"/>
              </w:rPr>
              <w:t xml:space="preserve">Remy Picard</w:t>
            </w:r>
          </w:p>
          <w:p>
            <w:r>
              <w:rPr>
                <w:rFonts w:ascii="Arial" w:cs="Arial" w:eastAsia="Arial" w:hAnsi="Arial"/>
                <w:color w:val="999999"/>
                <w:sz w:val="15"/>
                <w:szCs w:val="15"/>
              </w:rPr>
              <w:t xml:space="preserve">AE</w:t>
            </w:r>
          </w:p>
        </w:tc>
        <w:tc>
          <w:tcPr>
            <w:tcW w:type="dxa" w:w="150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r>
              <w:rPr>
                <w:rFonts w:ascii="Arial" w:cs="Arial" w:eastAsia="Arial" w:hAnsi="Arial"/>
                <w:b/>
                <w:bCs/>
                <w:color w:val="C62828"/>
                <w:sz w:val="20"/>
                <w:szCs w:val="20"/>
              </w:rPr>
              <w:t xml:space="preserve">34%</w:t>
            </w:r>
          </w:p>
        </w:tc>
        <w:tc>
          <w:tcPr>
            <w:tcW w:type="dxa" w:w="120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r>
              <w:rPr>
                <w:rFonts w:ascii="Arial" w:cs="Arial" w:eastAsia="Arial" w:hAnsi="Arial"/>
                <w:b/>
                <w:bCs/>
                <w:color w:val="2D2D2D"/>
                <w:sz w:val="18"/>
                <w:szCs w:val="18"/>
              </w:rPr>
              <w:t xml:space="preserve">€170K</w:t>
            </w:r>
          </w:p>
        </w:tc>
        <w:tc>
          <w:tcPr>
            <w:tcW w:type="dxa" w:w="120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r>
              <w:rPr>
                <w:rFonts w:ascii="Arial" w:cs="Arial" w:eastAsia="Arial" w:hAnsi="Arial"/>
                <w:color w:val="555555"/>
                <w:sz w:val="18"/>
                <w:szCs w:val="18"/>
              </w:rPr>
              <w:t xml:space="preserve">€290K</w:t>
            </w:r>
          </w:p>
        </w:tc>
        <w:tc>
          <w:tcPr>
            <w:tcW w:type="dxa" w:w="160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r>
              <w:rPr>
                <w:rFonts w:ascii="Arial" w:cs="Arial" w:eastAsia="Arial" w:hAnsi="Arial"/>
                <w:color w:val="1A56A0"/>
                <w:sz w:val="18"/>
                <w:szCs w:val="18"/>
              </w:rPr>
              <w:t xml:space="preserve">◑○○○○</w:t>
            </w:r>
          </w:p>
        </w:tc>
        <w:tc>
          <w:tcPr>
            <w:tcW w:type="dxa" w:w="176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r>
              <w:rPr>
                <w:rFonts w:ascii="Arial" w:cs="Arial" w:eastAsia="Arial" w:hAnsi="Arial"/>
                <w:color w:val="555555"/>
                <w:sz w:val="18"/>
                <w:szCs w:val="18"/>
              </w:rPr>
              <w:t xml:space="preserve">€28K</w:t>
            </w:r>
          </w:p>
        </w:tc>
      </w:tr>
      <w:tr>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D2D2D"/>
                <w:sz w:val="18"/>
                <w:szCs w:val="18"/>
              </w:rPr>
              <w:t xml:space="preserve">Nina Kok</w:t>
            </w:r>
          </w:p>
          <w:p>
            <w:r>
              <w:rPr>
                <w:rFonts w:ascii="Arial" w:cs="Arial" w:eastAsia="Arial" w:hAnsi="Arial"/>
                <w:color w:val="999999"/>
                <w:sz w:val="15"/>
                <w:szCs w:val="15"/>
              </w:rPr>
              <w:t xml:space="preserve">Junior AE</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E7D32"/>
                <w:sz w:val="20"/>
                <w:szCs w:val="20"/>
              </w:rPr>
              <w:t xml:space="preserve">79%</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D2D2D"/>
                <w:sz w:val="18"/>
                <w:szCs w:val="18"/>
              </w:rPr>
              <w:t xml:space="preserve">€315K</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€440K</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56A0"/>
                <w:sz w:val="18"/>
                <w:szCs w:val="18"/>
              </w:rPr>
              <w:t xml:space="preserve">●●●◑○</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€41K</w:t>
            </w:r>
          </w:p>
        </w:tc>
      </w:tr>
    </w:tbl>
    <w:p>
      <w:pPr>
        <w:spacing w:after="80"/>
      </w:pPr>
    </w:p>
    <w:p>
      <w:pPr>
        <w:pStyle w:val="ListParagraph"/>
        <w:numPr>
          <w:ilvl w:val="0"/>
          <w:numId w:val="2"/>
        </w:numPr>
        <w:spacing w:after="80"/>
      </w:pPr>
      <w:r>
        <w:rPr>
          <w:rFonts w:ascii="Arial" w:cs="Arial" w:eastAsia="Arial" w:hAnsi="Arial"/>
          <w:b w:val="false"/>
          <w:bCs w:val="false"/>
          <w:color w:val="555555"/>
          <w:sz w:val="20"/>
          <w:szCs w:val="20"/>
        </w:rPr>
        <w:t xml:space="preserve">Activity score (●) shows call, email, and meeting volume relative to the team benchmark</w:t>
      </w:r>
    </w:p>
    <w:p>
      <w:pPr>
        <w:pStyle w:val="ListParagraph"/>
        <w:numPr>
          <w:ilvl w:val="0"/>
          <w:numId w:val="2"/>
        </w:numPr>
        <w:spacing w:after="80"/>
      </w:pPr>
      <w:r>
        <w:rPr>
          <w:rFonts w:ascii="Arial" w:cs="Arial" w:eastAsia="Arial" w:hAnsi="Arial"/>
          <w:b w:val="false"/>
          <w:bCs w:val="false"/>
          <w:color w:val="555555"/>
          <w:sz w:val="20"/>
          <w:szCs w:val="20"/>
        </w:rPr>
        <w:t xml:space="preserve">Remy Picard at 34% attainment with very low activity is the priority coaching conversation this week</w:t>
      </w:r>
    </w:p>
    <w:p>
      <w:pPr>
        <w:pStyle w:val="ListParagraph"/>
        <w:numPr>
          <w:ilvl w:val="0"/>
          <w:numId w:val="2"/>
        </w:numPr>
        <w:spacing w:after="80"/>
      </w:pPr>
      <w:r>
        <w:rPr>
          <w:rFonts w:ascii="Arial" w:cs="Arial" w:eastAsia="Arial" w:hAnsi="Arial"/>
          <w:b w:val="false"/>
          <w:bCs w:val="false"/>
          <w:color w:val="555555"/>
          <w:sz w:val="20"/>
          <w:szCs w:val="20"/>
        </w:rPr>
        <w:t xml:space="preserve">Nina Kok at 79% as a Junior AE signals a strong ramp — worth accelerating</w:t>
      </w:r>
    </w:p>
    <w:p>
      <w:pPr>
        <w:spacing w:after="160"/>
      </w:pPr>
    </w:p>
    <w:p>
      <w:pPr>
        <w:pStyle w:val="Heading2"/>
        <w:spacing w:after="80" w:before="240"/>
      </w:pPr>
      <w:r>
        <w:rPr>
          <w:rFonts w:ascii="Arial" w:cs="Arial" w:eastAsia="Arial" w:hAnsi="Arial"/>
          <w:b/>
          <w:bCs/>
          <w:color w:val="1A56A0"/>
          <w:sz w:val="22"/>
          <w:szCs w:val="22"/>
        </w:rPr>
        <w:t xml:space="preserve">Deals at risk</w:t>
      </w:r>
    </w:p>
    <w:p>
      <w:pPr>
        <w:spacing w:after="100"/>
      </w:pPr>
      <w:r>
        <w:rPr>
          <w:rFonts w:ascii="Arial" w:cs="Arial" w:eastAsia="Arial" w:hAnsi="Arial"/>
          <w:color w:val="555555"/>
          <w:sz w:val="20"/>
          <w:szCs w:val="20"/>
        </w:rPr>
        <w:t xml:space="preserve">Stalled deals flagged automatically by days without an update or stage change. Red means immediate intervention required; amber means action this week.</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1400"/>
        <w:gridCol w:w="1360"/>
        <w:gridCol w:w="1600"/>
      </w:tblGrid>
      <w:tr>
        <w:trPr>
          <w:tblHeader/>
        </w:trPr>
        <w:tc>
          <w:tcPr>
            <w:tcW w:type="dxa" w:w="2800"/>
            <w:tcBorders>
              <w:top w:val="single" w:color="DDDDDD" w:sz="1"/>
              <w:left w:val="single" w:color="DDDDDD" w:sz="1"/>
              <w:bottom w:val="single" w:color="DDDDDD" w:sz="1"/>
              <w:right w:val="single" w:color="DDDDDD" w:sz="1"/>
            </w:tcBorders>
            <w:shd w:fill="C62828" w:val="clear"/>
            <w:tcMar>
              <w:top w:type="dxa" w:w="80"/>
              <w:left w:type="dxa" w:w="120"/>
              <w:bottom w:type="dxa" w:w="80"/>
              <w:right w:type="dxa" w:w="120"/>
            </w:tcMar>
          </w:tcPr>
          <w:p>
            <w:r>
              <w:rPr>
                <w:rFonts w:ascii="Arial" w:cs="Arial" w:eastAsia="Arial" w:hAnsi="Arial"/>
                <w:b/>
                <w:bCs/>
                <w:color w:val="FFFFFF"/>
                <w:sz w:val="18"/>
                <w:szCs w:val="18"/>
              </w:rPr>
              <w:t xml:space="preserve">Company</w:t>
            </w:r>
          </w:p>
        </w:tc>
        <w:tc>
          <w:tcPr>
            <w:tcW w:type="dxa" w:w="2200"/>
            <w:tcBorders>
              <w:top w:val="single" w:color="DDDDDD" w:sz="1"/>
              <w:left w:val="single" w:color="DDDDDD" w:sz="1"/>
              <w:bottom w:val="single" w:color="DDDDDD" w:sz="1"/>
              <w:right w:val="single" w:color="DDDDDD" w:sz="1"/>
            </w:tcBorders>
            <w:shd w:fill="C62828" w:val="clear"/>
            <w:tcMar>
              <w:top w:type="dxa" w:w="80"/>
              <w:left w:type="dxa" w:w="120"/>
              <w:bottom w:type="dxa" w:w="80"/>
              <w:right w:type="dxa" w:w="120"/>
            </w:tcMar>
          </w:tcPr>
          <w:p>
            <w:r>
              <w:rPr>
                <w:rFonts w:ascii="Arial" w:cs="Arial" w:eastAsia="Arial" w:hAnsi="Arial"/>
                <w:b/>
                <w:bCs/>
                <w:color w:val="FFFFFF"/>
                <w:sz w:val="18"/>
                <w:szCs w:val="18"/>
              </w:rPr>
              <w:t xml:space="preserve">Rep</w:t>
            </w:r>
          </w:p>
        </w:tc>
        <w:tc>
          <w:tcPr>
            <w:tcW w:type="dxa" w:w="1400"/>
            <w:tcBorders>
              <w:top w:val="single" w:color="DDDDDD" w:sz="1"/>
              <w:left w:val="single" w:color="DDDDDD" w:sz="1"/>
              <w:bottom w:val="single" w:color="DDDDDD" w:sz="1"/>
              <w:right w:val="single" w:color="DDDDDD" w:sz="1"/>
            </w:tcBorders>
            <w:shd w:fill="C62828" w:val="clear"/>
            <w:tcMar>
              <w:top w:type="dxa" w:w="80"/>
              <w:left w:type="dxa" w:w="120"/>
              <w:bottom w:type="dxa" w:w="80"/>
              <w:right w:type="dxa" w:w="120"/>
            </w:tcMar>
          </w:tcPr>
          <w:p>
            <w:r>
              <w:rPr>
                <w:rFonts w:ascii="Arial" w:cs="Arial" w:eastAsia="Arial" w:hAnsi="Arial"/>
                <w:b/>
                <w:bCs/>
                <w:color w:val="FFFFFF"/>
                <w:sz w:val="18"/>
                <w:szCs w:val="18"/>
              </w:rPr>
              <w:t xml:space="preserve">Stage</w:t>
            </w:r>
          </w:p>
        </w:tc>
        <w:tc>
          <w:tcPr>
            <w:tcW w:type="dxa" w:w="1360"/>
            <w:tcBorders>
              <w:top w:val="single" w:color="DDDDDD" w:sz="1"/>
              <w:left w:val="single" w:color="DDDDDD" w:sz="1"/>
              <w:bottom w:val="single" w:color="DDDDDD" w:sz="1"/>
              <w:right w:val="single" w:color="DDDDDD" w:sz="1"/>
            </w:tcBorders>
            <w:shd w:fill="C62828" w:val="clear"/>
            <w:tcMar>
              <w:top w:type="dxa" w:w="80"/>
              <w:left w:type="dxa" w:w="120"/>
              <w:bottom w:type="dxa" w:w="80"/>
              <w:right w:type="dxa" w:w="120"/>
            </w:tcMar>
          </w:tcPr>
          <w:p>
            <w:r>
              <w:rPr>
                <w:rFonts w:ascii="Arial" w:cs="Arial" w:eastAsia="Arial" w:hAnsi="Arial"/>
                <w:b/>
                <w:bCs/>
                <w:color w:val="FFFFFF"/>
                <w:sz w:val="18"/>
                <w:szCs w:val="18"/>
              </w:rPr>
              <w:t xml:space="preserve">Value</w:t>
            </w:r>
          </w:p>
        </w:tc>
        <w:tc>
          <w:tcPr>
            <w:tcW w:type="dxa" w:w="1600"/>
            <w:tcBorders>
              <w:top w:val="single" w:color="DDDDDD" w:sz="1"/>
              <w:left w:val="single" w:color="DDDDDD" w:sz="1"/>
              <w:bottom w:val="single" w:color="DDDDDD" w:sz="1"/>
              <w:right w:val="single" w:color="DDDDDD" w:sz="1"/>
            </w:tcBorders>
            <w:shd w:fill="C62828" w:val="clear"/>
            <w:tcMar>
              <w:top w:type="dxa" w:w="80"/>
              <w:left w:type="dxa" w:w="120"/>
              <w:bottom w:type="dxa" w:w="80"/>
              <w:right w:type="dxa" w:w="120"/>
            </w:tcMar>
          </w:tcPr>
          <w:p>
            <w:r>
              <w:rPr>
                <w:rFonts w:ascii="Arial" w:cs="Arial" w:eastAsia="Arial" w:hAnsi="Arial"/>
                <w:b/>
                <w:bCs/>
                <w:color w:val="FFFFFF"/>
                <w:sz w:val="18"/>
                <w:szCs w:val="18"/>
              </w:rPr>
              <w:t xml:space="preserve">Stalled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D2D2D"/>
                <w:sz w:val="18"/>
                <w:szCs w:val="18"/>
              </w:rPr>
              <w:t xml:space="preserve">Nationale-Nederlanden</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Remy Picard</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Negotiation</w:t>
            </w:r>
          </w:p>
        </w:tc>
        <w:tc>
          <w:tcPr>
            <w:tcW w:type="dxa" w:w="1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D2D2D"/>
                <w:sz w:val="18"/>
                <w:szCs w:val="18"/>
              </w:rPr>
              <w:t xml:space="preserve">€95K</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C62828"/>
                <w:sz w:val="18"/>
                <w:szCs w:val="18"/>
              </w:rPr>
              <w:t xml:space="preserve">24 days</w:t>
            </w:r>
          </w:p>
        </w:tc>
      </w:tr>
      <w:tr>
        <w:tc>
          <w:tcPr>
            <w:tcW w:type="dxa" w:w="280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r>
              <w:rPr>
                <w:rFonts w:ascii="Arial" w:cs="Arial" w:eastAsia="Arial" w:hAnsi="Arial"/>
                <w:b/>
                <w:bCs/>
                <w:color w:val="2D2D2D"/>
                <w:sz w:val="18"/>
                <w:szCs w:val="18"/>
              </w:rPr>
              <w:t xml:space="preserve">ING Group</w:t>
            </w:r>
          </w:p>
        </w:tc>
        <w:tc>
          <w:tcPr>
            <w:tcW w:type="dxa" w:w="220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r>
              <w:rPr>
                <w:rFonts w:ascii="Arial" w:cs="Arial" w:eastAsia="Arial" w:hAnsi="Arial"/>
                <w:color w:val="555555"/>
                <w:sz w:val="18"/>
                <w:szCs w:val="18"/>
              </w:rPr>
              <w:t xml:space="preserve">Julia Berg</w:t>
            </w:r>
          </w:p>
        </w:tc>
        <w:tc>
          <w:tcPr>
            <w:tcW w:type="dxa" w:w="140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r>
              <w:rPr>
                <w:rFonts w:ascii="Arial" w:cs="Arial" w:eastAsia="Arial" w:hAnsi="Arial"/>
                <w:color w:val="555555"/>
                <w:sz w:val="18"/>
                <w:szCs w:val="18"/>
              </w:rPr>
              <w:t xml:space="preserve">Proposal sent</w:t>
            </w:r>
          </w:p>
        </w:tc>
        <w:tc>
          <w:tcPr>
            <w:tcW w:type="dxa" w:w="136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r>
              <w:rPr>
                <w:rFonts w:ascii="Arial" w:cs="Arial" w:eastAsia="Arial" w:hAnsi="Arial"/>
                <w:b/>
                <w:bCs/>
                <w:color w:val="2D2D2D"/>
                <w:sz w:val="18"/>
                <w:szCs w:val="18"/>
              </w:rPr>
              <w:t xml:space="preserve">€120K</w:t>
            </w:r>
          </w:p>
        </w:tc>
        <w:tc>
          <w:tcPr>
            <w:tcW w:type="dxa" w:w="160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r>
              <w:rPr>
                <w:rFonts w:ascii="Arial" w:cs="Arial" w:eastAsia="Arial" w:hAnsi="Arial"/>
                <w:b/>
                <w:bCs/>
                <w:color w:val="C62828"/>
                <w:sz w:val="18"/>
                <w:szCs w:val="18"/>
              </w:rPr>
              <w:t xml:space="preserve">18 days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D2D2D"/>
                <w:sz w:val="18"/>
                <w:szCs w:val="18"/>
              </w:rPr>
              <w:t xml:space="preserve">Wolters Kluwer</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Marc Visser</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Demo / eval</w:t>
            </w:r>
          </w:p>
        </w:tc>
        <w:tc>
          <w:tcPr>
            <w:tcW w:type="dxa" w:w="1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D2D2D"/>
                <w:sz w:val="18"/>
                <w:szCs w:val="18"/>
              </w:rPr>
              <w:t xml:space="preserve">€78K</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E65100"/>
                <w:sz w:val="18"/>
                <w:szCs w:val="18"/>
              </w:rPr>
              <w:t xml:space="preserve">12 days</w:t>
            </w:r>
          </w:p>
        </w:tc>
      </w:tr>
      <w:tr>
        <w:tc>
          <w:tcPr>
            <w:tcW w:type="dxa" w:w="280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r>
              <w:rPr>
                <w:rFonts w:ascii="Arial" w:cs="Arial" w:eastAsia="Arial" w:hAnsi="Arial"/>
                <w:b/>
                <w:bCs/>
                <w:color w:val="2D2D2D"/>
                <w:sz w:val="18"/>
                <w:szCs w:val="18"/>
              </w:rPr>
              <w:t xml:space="preserve">Signify</w:t>
            </w:r>
          </w:p>
        </w:tc>
        <w:tc>
          <w:tcPr>
            <w:tcW w:type="dxa" w:w="220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r>
              <w:rPr>
                <w:rFonts w:ascii="Arial" w:cs="Arial" w:eastAsia="Arial" w:hAnsi="Arial"/>
                <w:color w:val="555555"/>
                <w:sz w:val="18"/>
                <w:szCs w:val="18"/>
              </w:rPr>
              <w:t xml:space="preserve">Remy Picard</w:t>
            </w:r>
          </w:p>
        </w:tc>
        <w:tc>
          <w:tcPr>
            <w:tcW w:type="dxa" w:w="140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r>
              <w:rPr>
                <w:rFonts w:ascii="Arial" w:cs="Arial" w:eastAsia="Arial" w:hAnsi="Arial"/>
                <w:color w:val="555555"/>
                <w:sz w:val="18"/>
                <w:szCs w:val="18"/>
              </w:rPr>
              <w:t xml:space="preserve">Verbal yes</w:t>
            </w:r>
          </w:p>
        </w:tc>
        <w:tc>
          <w:tcPr>
            <w:tcW w:type="dxa" w:w="136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r>
              <w:rPr>
                <w:rFonts w:ascii="Arial" w:cs="Arial" w:eastAsia="Arial" w:hAnsi="Arial"/>
                <w:b/>
                <w:bCs/>
                <w:color w:val="2D2D2D"/>
                <w:sz w:val="18"/>
                <w:szCs w:val="18"/>
              </w:rPr>
              <w:t xml:space="preserve">€64K</w:t>
            </w:r>
          </w:p>
        </w:tc>
        <w:tc>
          <w:tcPr>
            <w:tcW w:type="dxa" w:w="160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r>
              <w:rPr>
                <w:rFonts w:ascii="Arial" w:cs="Arial" w:eastAsia="Arial" w:hAnsi="Arial"/>
                <w:b/>
                <w:bCs/>
                <w:color w:val="E65100"/>
                <w:sz w:val="18"/>
                <w:szCs w:val="18"/>
              </w:rPr>
              <w:t xml:space="preserve">9 days</w:t>
            </w:r>
          </w:p>
        </w:tc>
      </w:tr>
    </w:tbl>
    <w:p>
      <w:pPr>
        <w:spacing w:after="160"/>
      </w:pPr>
    </w:p>
    <w:p>
      <w:pPr>
        <w:pStyle w:val="Heading2"/>
        <w:spacing w:after="80" w:before="240"/>
      </w:pPr>
      <w:r>
        <w:rPr>
          <w:rFonts w:ascii="Arial" w:cs="Arial" w:eastAsia="Arial" w:hAnsi="Arial"/>
          <w:b/>
          <w:bCs/>
          <w:color w:val="1A56A0"/>
          <w:sz w:val="22"/>
          <w:szCs w:val="22"/>
        </w:rPr>
        <w:t xml:space="preserve">Q2 forecast</w:t>
      </w:r>
    </w:p>
    <w:p>
      <w:pPr>
        <w:spacing w:after="100"/>
      </w:pPr>
      <w:r>
        <w:rPr>
          <w:rFonts w:ascii="Arial" w:cs="Arial" w:eastAsia="Arial" w:hAnsi="Arial"/>
          <w:color w:val="555555"/>
          <w:sz w:val="20"/>
          <w:szCs w:val="20"/>
        </w:rPr>
        <w:t xml:space="preserve">Commit, best case, and gap to quota in one table — no spreadsheet hunting needed. Deal velocity at the bottom tells you whether the pipeline you have can realistically close in the time remaining.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DDDDD" w:sz="1"/>
              <w:left w:val="single" w:color="DDDDDD" w:sz="1"/>
              <w:bottom w:val="single" w:color="DDDDDD" w:sz="1"/>
              <w:right w:val="single" w:color="DDDDDD"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4680"/>
            <w:tcBorders>
              <w:top w:val="single" w:color="DDDDDD" w:sz="1"/>
              <w:left w:val="single" w:color="DDDDDD" w:sz="1"/>
              <w:bottom w:val="single" w:color="DDDDDD" w:sz="1"/>
              <w:right w:val="single" w:color="DDDDDD"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Quota (Q2 target)</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D2D2D"/>
                <w:sz w:val="18"/>
                <w:szCs w:val="18"/>
              </w:rPr>
              <w:t xml:space="preserve">€2.40M</w:t>
            </w:r>
          </w:p>
        </w:tc>
      </w:tr>
      <w:tr>
        <w:tc>
          <w:tcPr>
            <w:tcW w:type="dxa" w:w="468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r>
              <w:rPr>
                <w:rFonts w:ascii="Arial" w:cs="Arial" w:eastAsia="Arial" w:hAnsi="Arial"/>
                <w:color w:val="555555"/>
                <w:sz w:val="18"/>
                <w:szCs w:val="18"/>
              </w:rPr>
              <w:t xml:space="preserve">Closed won to date</w:t>
            </w:r>
          </w:p>
        </w:tc>
        <w:tc>
          <w:tcPr>
            <w:tcW w:type="dxa" w:w="468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r>
              <w:rPr>
                <w:rFonts w:ascii="Arial" w:cs="Arial" w:eastAsia="Arial" w:hAnsi="Arial"/>
                <w:b/>
                <w:bCs/>
                <w:color w:val="2E7D32"/>
                <w:sz w:val="18"/>
                <w:szCs w:val="18"/>
              </w:rPr>
              <w:t xml:space="preserve">€1.54M</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Commit forecast</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E65100"/>
                <w:sz w:val="18"/>
                <w:szCs w:val="18"/>
              </w:rPr>
              <w:t xml:space="preserve">€1.92M</w:t>
            </w:r>
          </w:p>
        </w:tc>
      </w:tr>
      <w:tr>
        <w:tc>
          <w:tcPr>
            <w:tcW w:type="dxa" w:w="468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r>
              <w:rPr>
                <w:rFonts w:ascii="Arial" w:cs="Arial" w:eastAsia="Arial" w:hAnsi="Arial"/>
                <w:color w:val="555555"/>
                <w:sz w:val="18"/>
                <w:szCs w:val="18"/>
              </w:rPr>
              <w:t xml:space="preserve">Best case</w:t>
            </w:r>
          </w:p>
        </w:tc>
        <w:tc>
          <w:tcPr>
            <w:tcW w:type="dxa" w:w="468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r>
              <w:rPr>
                <w:rFonts w:ascii="Arial" w:cs="Arial" w:eastAsia="Arial" w:hAnsi="Arial"/>
                <w:b/>
                <w:bCs/>
                <w:color w:val="1A56A0"/>
                <w:sz w:val="18"/>
                <w:szCs w:val="18"/>
              </w:rPr>
              <w:t xml:space="preserve">€2.18M</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Gap to quota</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C62828"/>
                <w:sz w:val="18"/>
                <w:szCs w:val="18"/>
              </w:rPr>
              <w:t xml:space="preserve">−€860K</w:t>
            </w:r>
          </w:p>
        </w:tc>
      </w:tr>
      <w:tr>
        <w:tc>
          <w:tcPr>
            <w:tcW w:type="dxa" w:w="468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r>
              <w:rPr>
                <w:rFonts w:ascii="Arial" w:cs="Arial" w:eastAsia="Arial" w:hAnsi="Arial"/>
                <w:color w:val="555555"/>
                <w:sz w:val="18"/>
                <w:szCs w:val="18"/>
              </w:rPr>
              <w:t xml:space="preserve">New pipeline created</w:t>
            </w:r>
          </w:p>
        </w:tc>
        <w:tc>
          <w:tcPr>
            <w:tcW w:type="dxa" w:w="468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r>
              <w:rPr>
                <w:rFonts w:ascii="Arial" w:cs="Arial" w:eastAsia="Arial" w:hAnsi="Arial"/>
                <w:b/>
                <w:bCs/>
                <w:color w:val="2D2D2D"/>
                <w:sz w:val="18"/>
                <w:szCs w:val="18"/>
              </w:rPr>
              <w:t xml:space="preserve">€540K</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Avg deal velocity</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D2D2D"/>
                <w:sz w:val="18"/>
                <w:szCs w:val="18"/>
              </w:rPr>
              <w:t xml:space="preserve">38 days</w:t>
            </w:r>
          </w:p>
        </w:tc>
      </w:tr>
    </w:tbl>
    <w:p>
      <w:pPr>
        <w:spacing w:after="160"/>
      </w:pPr>
    </w:p>
    <w:p>
      <w:pPr>
        <w:pStyle w:val="Heading2"/>
        <w:spacing w:after="80" w:before="240"/>
      </w:pPr>
      <w:r>
        <w:rPr>
          <w:rFonts w:ascii="Arial" w:cs="Arial" w:eastAsia="Arial" w:hAnsi="Arial"/>
          <w:b/>
          <w:bCs/>
          <w:color w:val="1A56A0"/>
          <w:sz w:val="22"/>
          <w:szCs w:val="22"/>
        </w:rPr>
        <w:t xml:space="preserve">Pipeline funnel</w:t>
      </w:r>
    </w:p>
    <w:p>
      <w:pPr>
        <w:spacing w:after="100"/>
      </w:pPr>
      <w:r>
        <w:rPr>
          <w:rFonts w:ascii="Arial" w:cs="Arial" w:eastAsia="Arial" w:hAnsi="Arial"/>
          <w:color w:val="555555"/>
          <w:sz w:val="20"/>
          <w:szCs w:val="20"/>
        </w:rPr>
        <w:t xml:space="preserve">The funnel shows deal count and value at each stage across the whole team. A sudden cliff at one stage tells you exactly where the process is breaking down and where to focus coaching effort.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rPr>
          <w:tblHeader/>
        </w:trPr>
        <w:tc>
          <w:tcPr>
            <w:tcW w:type="dxa" w:w="2200"/>
            <w:tcBorders>
              <w:top w:val="single" w:color="DDDDDD" w:sz="1"/>
              <w:left w:val="single" w:color="DDDDDD" w:sz="1"/>
              <w:bottom w:val="single" w:color="DDDDDD" w:sz="1"/>
              <w:right w:val="single" w:color="DDDDDD"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Stage</w:t>
            </w:r>
          </w:p>
        </w:tc>
        <w:tc>
          <w:tcPr>
            <w:tcW w:type="dxa" w:w="2200"/>
            <w:tcBorders>
              <w:top w:val="single" w:color="DDDDDD" w:sz="1"/>
              <w:left w:val="single" w:color="DDDDDD" w:sz="1"/>
              <w:bottom w:val="single" w:color="DDDDDD" w:sz="1"/>
              <w:right w:val="single" w:color="DDDDDD"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Deals</w:t>
            </w:r>
          </w:p>
        </w:tc>
        <w:tc>
          <w:tcPr>
            <w:tcW w:type="dxa" w:w="2200"/>
            <w:tcBorders>
              <w:top w:val="single" w:color="DDDDDD" w:sz="1"/>
              <w:left w:val="single" w:color="DDDDDD" w:sz="1"/>
              <w:bottom w:val="single" w:color="DDDDDD" w:sz="1"/>
              <w:right w:val="single" w:color="DDDDDD"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Value</w:t>
            </w:r>
          </w:p>
        </w:tc>
        <w:tc>
          <w:tcPr>
            <w:tcW w:type="dxa" w:w="2760"/>
            <w:tcBorders>
              <w:top w:val="single" w:color="DDDDDD" w:sz="1"/>
              <w:left w:val="single" w:color="DDDDDD" w:sz="1"/>
              <w:bottom w:val="single" w:color="DDDDDD" w:sz="1"/>
              <w:right w:val="single" w:color="DDDDDD"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Drop-off</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D2D2D"/>
                <w:sz w:val="18"/>
                <w:szCs w:val="18"/>
              </w:rPr>
              <w:t xml:space="preserve">Prospecting</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38</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D2D2D"/>
                <w:sz w:val="18"/>
                <w:szCs w:val="18"/>
              </w:rPr>
              <w:t xml:space="preserve">€1.8M</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555555"/>
                <w:sz w:val="18"/>
                <w:szCs w:val="18"/>
              </w:rPr>
              <w:t xml:space="preserve">—</w:t>
            </w:r>
          </w:p>
        </w:tc>
      </w:tr>
      <w:tr>
        <w:tc>
          <w:tcPr>
            <w:tcW w:type="dxa" w:w="220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r>
              <w:rPr>
                <w:rFonts w:ascii="Arial" w:cs="Arial" w:eastAsia="Arial" w:hAnsi="Arial"/>
                <w:b/>
                <w:bCs/>
                <w:color w:val="2D2D2D"/>
                <w:sz w:val="18"/>
                <w:szCs w:val="18"/>
              </w:rPr>
              <w:t xml:space="preserve">Qualified</w:t>
            </w:r>
          </w:p>
        </w:tc>
        <w:tc>
          <w:tcPr>
            <w:tcW w:type="dxa" w:w="220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r>
              <w:rPr>
                <w:rFonts w:ascii="Arial" w:cs="Arial" w:eastAsia="Arial" w:hAnsi="Arial"/>
                <w:color w:val="555555"/>
                <w:sz w:val="18"/>
                <w:szCs w:val="18"/>
              </w:rPr>
              <w:t xml:space="preserve">28</w:t>
            </w:r>
          </w:p>
        </w:tc>
        <w:tc>
          <w:tcPr>
            <w:tcW w:type="dxa" w:w="220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r>
              <w:rPr>
                <w:rFonts w:ascii="Arial" w:cs="Arial" w:eastAsia="Arial" w:hAnsi="Arial"/>
                <w:b/>
                <w:bCs/>
                <w:color w:val="2D2D2D"/>
                <w:sz w:val="18"/>
                <w:szCs w:val="18"/>
              </w:rPr>
              <w:t xml:space="preserve">€1.4M</w:t>
            </w:r>
          </w:p>
        </w:tc>
        <w:tc>
          <w:tcPr>
            <w:tcW w:type="dxa" w:w="276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r>
              <w:rPr>
                <w:rFonts w:ascii="Arial" w:cs="Arial" w:eastAsia="Arial" w:hAnsi="Arial"/>
                <w:b/>
                <w:bCs/>
                <w:color w:val="C62828"/>
                <w:sz w:val="18"/>
                <w:szCs w:val="18"/>
              </w:rPr>
              <w:t xml:space="preserve">−26%</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D2D2D"/>
                <w:sz w:val="18"/>
                <w:szCs w:val="18"/>
              </w:rPr>
              <w:t xml:space="preserve">Demo / eval</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21</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D2D2D"/>
                <w:sz w:val="18"/>
                <w:szCs w:val="18"/>
              </w:rPr>
              <w:t xml:space="preserve">€980K</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C62828"/>
                <w:sz w:val="18"/>
                <w:szCs w:val="18"/>
              </w:rPr>
              <w:t xml:space="preserve">−25%</w:t>
            </w:r>
          </w:p>
        </w:tc>
      </w:tr>
      <w:tr>
        <w:tc>
          <w:tcPr>
            <w:tcW w:type="dxa" w:w="220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r>
              <w:rPr>
                <w:rFonts w:ascii="Arial" w:cs="Arial" w:eastAsia="Arial" w:hAnsi="Arial"/>
                <w:b/>
                <w:bCs/>
                <w:color w:val="2D2D2D"/>
                <w:sz w:val="18"/>
                <w:szCs w:val="18"/>
              </w:rPr>
              <w:t xml:space="preserve">Proposal</w:t>
            </w:r>
          </w:p>
        </w:tc>
        <w:tc>
          <w:tcPr>
            <w:tcW w:type="dxa" w:w="220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r>
              <w:rPr>
                <w:rFonts w:ascii="Arial" w:cs="Arial" w:eastAsia="Arial" w:hAnsi="Arial"/>
                <w:color w:val="555555"/>
                <w:sz w:val="18"/>
                <w:szCs w:val="18"/>
              </w:rPr>
              <w:t xml:space="preserve">14</w:t>
            </w:r>
          </w:p>
        </w:tc>
        <w:tc>
          <w:tcPr>
            <w:tcW w:type="dxa" w:w="220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r>
              <w:rPr>
                <w:rFonts w:ascii="Arial" w:cs="Arial" w:eastAsia="Arial" w:hAnsi="Arial"/>
                <w:b/>
                <w:bCs/>
                <w:color w:val="2D2D2D"/>
                <w:sz w:val="18"/>
                <w:szCs w:val="18"/>
              </w:rPr>
              <w:t xml:space="preserve">€670K</w:t>
            </w:r>
          </w:p>
        </w:tc>
        <w:tc>
          <w:tcPr>
            <w:tcW w:type="dxa" w:w="276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r>
              <w:rPr>
                <w:rFonts w:ascii="Arial" w:cs="Arial" w:eastAsia="Arial" w:hAnsi="Arial"/>
                <w:b/>
                <w:bCs/>
                <w:color w:val="C62828"/>
                <w:sz w:val="18"/>
                <w:szCs w:val="18"/>
              </w:rPr>
              <w:t xml:space="preserve">−33%</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D2D2D"/>
                <w:sz w:val="18"/>
                <w:szCs w:val="18"/>
              </w:rPr>
              <w:t xml:space="preserve">Negotiation</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8</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D2D2D"/>
                <w:sz w:val="18"/>
                <w:szCs w:val="18"/>
              </w:rPr>
              <w:t xml:space="preserve">€390K</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C62828"/>
                <w:sz w:val="18"/>
                <w:szCs w:val="18"/>
              </w:rPr>
              <w:t xml:space="preserve">−43%</w:t>
            </w:r>
          </w:p>
        </w:tc>
      </w:tr>
      <w:tr>
        <w:tc>
          <w:tcPr>
            <w:tcW w:type="dxa" w:w="220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r>
              <w:rPr>
                <w:rFonts w:ascii="Arial" w:cs="Arial" w:eastAsia="Arial" w:hAnsi="Arial"/>
                <w:b/>
                <w:bCs/>
                <w:color w:val="2D2D2D"/>
                <w:sz w:val="18"/>
                <w:szCs w:val="18"/>
              </w:rPr>
              <w:t xml:space="preserve">Closed won</w:t>
            </w:r>
          </w:p>
        </w:tc>
        <w:tc>
          <w:tcPr>
            <w:tcW w:type="dxa" w:w="220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r>
              <w:rPr>
                <w:rFonts w:ascii="Arial" w:cs="Arial" w:eastAsia="Arial" w:hAnsi="Arial"/>
                <w:color w:val="555555"/>
                <w:sz w:val="18"/>
                <w:szCs w:val="18"/>
              </w:rPr>
              <w:t xml:space="preserve">5</w:t>
            </w:r>
          </w:p>
        </w:tc>
        <w:tc>
          <w:tcPr>
            <w:tcW w:type="dxa" w:w="220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r>
              <w:rPr>
                <w:rFonts w:ascii="Arial" w:cs="Arial" w:eastAsia="Arial" w:hAnsi="Arial"/>
                <w:b/>
                <w:bCs/>
                <w:color w:val="2D2D2D"/>
                <w:sz w:val="18"/>
                <w:szCs w:val="18"/>
              </w:rPr>
              <w:t xml:space="preserve">€215K</w:t>
            </w:r>
          </w:p>
        </w:tc>
        <w:tc>
          <w:tcPr>
            <w:tcW w:type="dxa" w:w="276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r>
              <w:rPr>
                <w:rFonts w:ascii="Arial" w:cs="Arial" w:eastAsia="Arial" w:hAnsi="Arial"/>
                <w:b/>
                <w:bCs/>
                <w:color w:val="C62828"/>
                <w:sz w:val="18"/>
                <w:szCs w:val="18"/>
              </w:rPr>
              <w:t xml:space="preserve">−38%</w:t>
            </w:r>
          </w:p>
        </w:tc>
      </w:tr>
    </w:tbl>
    <w:p>
      <w:pPr>
        <w:spacing w:after="200"/>
      </w:pPr>
    </w:p>
    <w:p>
      <w:pPr>
        <w:pStyle w:val="Heading1"/>
        <w:pBdr>
          <w:bottom w:val="single" w:color="1A56A0" w:sz="8" w:space="4"/>
        </w:pBdr>
        <w:spacing w:after="120" w:before="360"/>
      </w:pPr>
      <w:r>
        <w:rPr>
          <w:rFonts w:ascii="Arial" w:cs="Arial" w:eastAsia="Arial" w:hAnsi="Arial"/>
          <w:b/>
          <w:bCs/>
          <w:color w:val="2D2D2D"/>
          <w:sz w:val="28"/>
          <w:szCs w:val="28"/>
        </w:rPr>
        <w:t xml:space="preserve">3. Activities, Opportunities &amp; Revenue — Team Timeline</w:t>
      </w:r>
    </w:p>
    <w:p>
      <w:pPr>
        <w:pBdr>
          <w:left w:val="single" w:color="1A56A0" w:sz="16" w:space="8"/>
        </w:pBdr>
        <w:shd w:fill="EAF2FB" w:val="clear"/>
        <w:spacing w:after="140"/>
        <w:ind w:left="200"/>
      </w:pPr>
      <w:r>
        <w:rPr>
          <w:rFonts w:ascii="Arial" w:cs="Arial" w:eastAsia="Arial" w:hAnsi="Arial"/>
          <w:i/>
          <w:iCs/>
          <w:color w:val="555555"/>
          <w:sz w:val="20"/>
          <w:szCs w:val="20"/>
        </w:rPr>
        <w:t xml:space="preserve">Overlaying activities (dots), opportunity revenue (bars), and actual closed revenue (line) on a single timeline reveals the lag between effort and outcome — typically around six weeks — and turns today's activity level into a revenue forecast.</w:t>
      </w:r>
    </w:p>
    <w:p>
      <w:pPr>
        <w:spacing w:after="100"/>
      </w:pPr>
    </w:p>
    <w:p>
      <w:pPr>
        <w:spacing w:after="80"/>
        <w:jc w:val="center"/>
      </w:pPr>
      <w:r>
        <w:drawing>
          <wp:inline distT="0" distB="0" distL="0" distR="0">
            <wp:extent cx="5991225"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91225" cy="2447925"/>
                    </a:xfrm>
                    <a:prstGeom prst="rect">
                      <a:avLst/>
                    </a:prstGeom>
                  </pic:spPr>
                </pic:pic>
              </a:graphicData>
            </a:graphic>
          </wp:inline>
        </w:drawing>
      </w:r>
    </w:p>
    <w:p>
      <w:pPr>
        <w:spacing w:after="260"/>
        <w:jc w:val="center"/>
      </w:pPr>
      <w:r>
        <w:rPr>
          <w:rFonts w:ascii="Arial" w:cs="Arial" w:eastAsia="Arial" w:hAnsi="Arial"/>
          <w:i/>
          <w:iCs/>
          <w:color w:val="AAAAAA"/>
          <w:sz w:val="16"/>
          <w:szCs w:val="16"/>
        </w:rPr>
        <w:t xml:space="preserve">Figure 2 — Team activity (dots) · opportunity revenue (bars) · actual revenue (line) — Jan–Aug 2026</w:t>
      </w:r>
    </w:p>
    <w:p>
      <w:pPr>
        <w:pStyle w:val="Heading2"/>
        <w:spacing w:after="80" w:before="240"/>
      </w:pPr>
      <w:r>
        <w:rPr>
          <w:rFonts w:ascii="Arial" w:cs="Arial" w:eastAsia="Arial" w:hAnsi="Arial"/>
          <w:b/>
          <w:bCs/>
          <w:color w:val="1A56A0"/>
          <w:sz w:val="22"/>
          <w:szCs w:val="22"/>
        </w:rPr>
        <w:t xml:space="preserve">What the timeline tells you</w:t>
      </w:r>
    </w:p>
    <w:p>
      <w:pPr>
        <w:spacing w:after="100"/>
      </w:pPr>
      <w:r>
        <w:rPr>
          <w:rFonts w:ascii="Arial" w:cs="Arial" w:eastAsia="Arial" w:hAnsi="Arial"/>
          <w:color w:val="555555"/>
          <w:sz w:val="20"/>
          <w:szCs w:val="20"/>
        </w:rPr>
        <w:t xml:space="preserve">The chart plots three signals across the same time axis, each encoded differently for instant recognition:</w:t>
      </w:r>
    </w:p>
    <w:p>
      <w:pPr>
        <w:spacing w:after="60"/>
      </w:pPr>
    </w:p>
    <w:p>
      <w:pPr>
        <w:pStyle w:val="ListParagraph"/>
        <w:numPr>
          <w:ilvl w:val="0"/>
          <w:numId w:val="2"/>
        </w:numPr>
        <w:spacing w:after="80"/>
      </w:pPr>
      <w:r>
        <w:rPr>
          <w:rFonts w:ascii="Arial" w:cs="Arial" w:eastAsia="Arial" w:hAnsi="Arial"/>
          <w:b w:val="false"/>
          <w:bCs w:val="false"/>
          <w:color w:val="555555"/>
          <w:sz w:val="20"/>
          <w:szCs w:val="20"/>
        </w:rPr>
        <w:t xml:space="preserve">Dots — activity count (calls, emails, meetings). The input lever management can directly influence.</w:t>
      </w:r>
    </w:p>
    <w:p>
      <w:pPr>
        <w:pStyle w:val="ListParagraph"/>
        <w:numPr>
          <w:ilvl w:val="0"/>
          <w:numId w:val="2"/>
        </w:numPr>
        <w:spacing w:after="80"/>
      </w:pPr>
      <w:r>
        <w:rPr>
          <w:rFonts w:ascii="Arial" w:cs="Arial" w:eastAsia="Arial" w:hAnsi="Arial"/>
          <w:b w:val="false"/>
          <w:bCs w:val="false"/>
          <w:color w:val="555555"/>
          <w:sz w:val="20"/>
          <w:szCs w:val="20"/>
        </w:rPr>
        <w:t xml:space="preserve">Bars — opportunity revenue in the pipeline at that point in time. The immediate output of activity.</w:t>
      </w:r>
    </w:p>
    <w:p>
      <w:pPr>
        <w:pStyle w:val="ListParagraph"/>
        <w:numPr>
          <w:ilvl w:val="0"/>
          <w:numId w:val="2"/>
        </w:numPr>
        <w:spacing w:after="80"/>
      </w:pPr>
      <w:r>
        <w:rPr>
          <w:rFonts w:ascii="Arial" w:cs="Arial" w:eastAsia="Arial" w:hAnsi="Arial"/>
          <w:b w:val="false"/>
          <w:bCs w:val="false"/>
          <w:color w:val="555555"/>
          <w:sz w:val="20"/>
          <w:szCs w:val="20"/>
        </w:rPr>
        <w:t xml:space="preserve">Line — actual revenue closed. The lagging outcome, typically appearing 4–8 weeks after the activity that drove it.</w:t>
      </w:r>
    </w:p>
    <w:p>
      <w:pPr>
        <w:spacing w:after="80"/>
      </w:pPr>
    </w:p>
    <w:p>
      <w:pPr>
        <w:spacing w:after="100"/>
      </w:pPr>
      <w:r>
        <w:rPr>
          <w:rFonts w:ascii="Arial" w:cs="Arial" w:eastAsia="Arial" w:hAnsi="Arial"/>
          <w:color w:val="555555"/>
          <w:sz w:val="20"/>
          <w:szCs w:val="20"/>
        </w:rPr>
        <w:t xml:space="preserve">The ~6 week lag between the dot trend and the revenue line is the critical insight. It means that revenue problems you see today were caused by low activity six weeks ago — and that a drop in activity today will show up as a shortfall in six weeks, well before end of quarter. This gives you a genuine early warning system: monitor the dots to predict the line.</w:t>
      </w:r>
    </w:p>
    <w:p>
      <w:pPr>
        <w:spacing w:after="200"/>
      </w:pPr>
    </w:p>
    <w:p>
      <w:pPr>
        <w:pStyle w:val="Heading1"/>
        <w:pBdr>
          <w:bottom w:val="single" w:color="1A56A0" w:sz="8" w:space="4"/>
        </w:pBdr>
        <w:spacing w:after="120" w:before="360"/>
      </w:pPr>
      <w:r>
        <w:rPr>
          <w:rFonts w:ascii="Arial" w:cs="Arial" w:eastAsia="Arial" w:hAnsi="Arial"/>
          <w:b/>
          <w:bCs/>
          <w:color w:val="2D2D2D"/>
          <w:sz w:val="28"/>
          <w:szCs w:val="28"/>
        </w:rPr>
        <w:t xml:space="preserve">4. Activity, Opportunities &amp; Revenue — Per Account Manager</w:t>
      </w:r>
    </w:p>
    <w:p>
      <w:pPr>
        <w:pBdr>
          <w:left w:val="single" w:color="1A56A0" w:sz="16" w:space="8"/>
        </w:pBdr>
        <w:shd w:fill="EAF2FB" w:val="clear"/>
        <w:spacing w:after="140"/>
        <w:ind w:left="200"/>
      </w:pPr>
      <w:r>
        <w:rPr>
          <w:rFonts w:ascii="Arial" w:cs="Arial" w:eastAsia="Arial" w:hAnsi="Arial"/>
          <w:i/>
          <w:iCs/>
          <w:color w:val="555555"/>
          <w:sz w:val="20"/>
          <w:szCs w:val="20"/>
        </w:rPr>
        <w:t xml:space="preserve">Breaking the same three signals down by rep turns the timeline into a precision coaching instrument. The relationship between dots, bars, and line for each rep immediately reveals whether the problem is volume, conversion, or closing — and what specific action will have the most impact.</w:t>
      </w:r>
    </w:p>
    <w:p>
      <w:pPr>
        <w:spacing w:after="100"/>
      </w:pPr>
    </w:p>
    <w:p>
      <w:pPr>
        <w:spacing w:after="80"/>
        <w:jc w:val="center"/>
      </w:pPr>
      <w:r>
        <w:drawing>
          <wp:inline distT="0" distB="0" distL="0" distR="0">
            <wp:extent cx="5991225" cy="3667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91225" cy="3667125"/>
                    </a:xfrm>
                    <a:prstGeom prst="rect">
                      <a:avLst/>
                    </a:prstGeom>
                  </pic:spPr>
                </pic:pic>
              </a:graphicData>
            </a:graphic>
          </wp:inline>
        </w:drawing>
      </w:r>
    </w:p>
    <w:p>
      <w:pPr>
        <w:spacing w:after="260"/>
        <w:jc w:val="center"/>
      </w:pPr>
      <w:r>
        <w:rPr>
          <w:rFonts w:ascii="Arial" w:cs="Arial" w:eastAsia="Arial" w:hAnsi="Arial"/>
          <w:i/>
          <w:iCs/>
          <w:color w:val="AAAAAA"/>
          <w:sz w:val="16"/>
          <w:szCs w:val="16"/>
        </w:rPr>
        <w:t xml:space="preserve">Figure 3 — Activity (dots) · opportunity revenue (bars) · actual revenue (line) per account manager — Jan–Aug 2026</w:t>
      </w:r>
    </w:p>
    <w:p>
      <w:pPr>
        <w:pStyle w:val="Heading2"/>
        <w:spacing w:after="80" w:before="240"/>
      </w:pPr>
      <w:r>
        <w:rPr>
          <w:rFonts w:ascii="Arial" w:cs="Arial" w:eastAsia="Arial" w:hAnsi="Arial"/>
          <w:b/>
          <w:bCs/>
          <w:color w:val="1A56A0"/>
          <w:sz w:val="22"/>
          <w:szCs w:val="22"/>
        </w:rPr>
        <w:t xml:space="preserve">Reading the pattern — three diagnostic signatures</w:t>
      </w:r>
    </w:p>
    <w:p>
      <w:pPr>
        <w:spacing w:after="100"/>
      </w:pPr>
      <w:r>
        <w:rPr>
          <w:rFonts w:ascii="Arial" w:cs="Arial" w:eastAsia="Arial" w:hAnsi="Arial"/>
          <w:color w:val="555555"/>
          <w:sz w:val="20"/>
          <w:szCs w:val="20"/>
        </w:rPr>
        <w:t xml:space="preserve">The colour of the dots signals the diagnosis at a glance:</w:t>
      </w:r>
    </w:p>
    <w:p>
      <w:pPr>
        <w:spacing w:after="60"/>
      </w:pPr>
    </w:p>
    <w:p>
      <w:pPr>
        <w:pStyle w:val="ListParagraph"/>
        <w:numPr>
          <w:ilvl w:val="0"/>
          <w:numId w:val="2"/>
        </w:numPr>
        <w:spacing w:after="80"/>
      </w:pPr>
      <w:r>
        <w:rPr>
          <w:rFonts w:ascii="Arial" w:cs="Arial" w:eastAsia="Arial" w:hAnsi="Arial"/>
          <w:b w:val="false"/>
          <w:bCs w:val="false"/>
          <w:color w:val="555555"/>
          <w:sz w:val="20"/>
          <w:szCs w:val="20"/>
        </w:rPr>
        <w:t xml:space="preserve">Blue dots (Sara, Marc) — activity and revenue move together in healthy proportion. Focus: scale up volume to lift revenue further.</w:t>
      </w:r>
    </w:p>
    <w:p>
      <w:pPr>
        <w:pStyle w:val="ListParagraph"/>
        <w:numPr>
          <w:ilvl w:val="0"/>
          <w:numId w:val="2"/>
        </w:numPr>
        <w:spacing w:after="80"/>
      </w:pPr>
      <w:r>
        <w:rPr>
          <w:rFonts w:ascii="Arial" w:cs="Arial" w:eastAsia="Arial" w:hAnsi="Arial"/>
          <w:b w:val="false"/>
          <w:bCs w:val="false"/>
          <w:color w:val="555555"/>
          <w:sz w:val="20"/>
          <w:szCs w:val="20"/>
        </w:rPr>
        <w:t xml:space="preserve">Amber dots (Julia) — activity is present but the revenue line lags the bars significantly. The rep is generating pipeline but not closing it. Focus: deal qualification and late-stage coaching.</w:t>
      </w:r>
    </w:p>
    <w:p>
      <w:pPr>
        <w:pStyle w:val="ListParagraph"/>
        <w:numPr>
          <w:ilvl w:val="0"/>
          <w:numId w:val="2"/>
        </w:numPr>
        <w:spacing w:after="80"/>
      </w:pPr>
      <w:r>
        <w:rPr>
          <w:rFonts w:ascii="Arial" w:cs="Arial" w:eastAsia="Arial" w:hAnsi="Arial"/>
          <w:b w:val="false"/>
          <w:bCs w:val="false"/>
          <w:color w:val="555555"/>
          <w:sz w:val="20"/>
          <w:szCs w:val="20"/>
        </w:rPr>
        <w:t xml:space="preserve">Red dots (Remy) — low activity is the root cause. Everything downstream — pipeline, opportunities, revenue — suffers as a direct consequence. Focus: structured prospecting routine and daily accountability.</w:t>
      </w:r>
    </w:p>
    <w:p>
      <w:pPr>
        <w:pStyle w:val="ListParagraph"/>
        <w:numPr>
          <w:ilvl w:val="0"/>
          <w:numId w:val="2"/>
        </w:numPr>
        <w:spacing w:after="80"/>
      </w:pPr>
      <w:r>
        <w:rPr>
          <w:rFonts w:ascii="Arial" w:cs="Arial" w:eastAsia="Arial" w:hAnsi="Arial"/>
          <w:b w:val="false"/>
          <w:bCs w:val="false"/>
          <w:color w:val="555555"/>
          <w:sz w:val="20"/>
          <w:szCs w:val="20"/>
        </w:rPr>
        <w:t xml:space="preserve">Green dots (Nina) — strong upward ramp across all three signals, exceptional for a Junior AE. Focus: accelerate by pairing with a senior rep on enterprise deals.</w:t>
      </w:r>
    </w:p>
    <w:p>
      <w:pPr>
        <w:spacing w:after="120"/>
      </w:pPr>
    </w:p>
    <w:p>
      <w:pPr>
        <w:pStyle w:val="Heading2"/>
        <w:spacing w:after="80" w:before="240"/>
      </w:pPr>
      <w:r>
        <w:rPr>
          <w:rFonts w:ascii="Arial" w:cs="Arial" w:eastAsia="Arial" w:hAnsi="Arial"/>
          <w:b/>
          <w:bCs/>
          <w:color w:val="1A56A0"/>
          <w:sz w:val="22"/>
          <w:szCs w:val="22"/>
        </w:rPr>
        <w:t xml:space="preserve">Recommended coaching actions — Q2 2026</w:t>
      </w:r>
    </w:p>
    <w:p>
      <w:pPr>
        <w:spacing w:after="100"/>
      </w:pPr>
      <w:r>
        <w:rPr>
          <w:rFonts w:ascii="Arial" w:cs="Arial" w:eastAsia="Arial" w:hAnsi="Arial"/>
          <w:color w:val="555555"/>
          <w:sz w:val="20"/>
          <w:szCs w:val="20"/>
        </w:rPr>
        <w:t xml:space="preserve">Based on the activity-to-revenue correlation for each rep, the following actions are recommended: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1460"/>
        <w:gridCol w:w="1700"/>
        <w:gridCol w:w="2000"/>
        <w:gridCol w:w="1000"/>
      </w:tblGrid>
      <w:tr>
        <w:trPr>
          <w:tblHeader/>
        </w:trPr>
        <w:tc>
          <w:tcPr>
            <w:tcW w:type="dxa" w:w="1900"/>
            <w:tcBorders>
              <w:top w:val="single" w:color="DDDDDD" w:sz="1"/>
              <w:left w:val="single" w:color="DDDDDD" w:sz="1"/>
              <w:bottom w:val="single" w:color="DDDDDD" w:sz="1"/>
              <w:right w:val="single" w:color="DDDDDD"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Rep</w:t>
            </w:r>
          </w:p>
        </w:tc>
        <w:tc>
          <w:tcPr>
            <w:tcW w:type="dxa" w:w="1300"/>
            <w:tcBorders>
              <w:top w:val="single" w:color="DDDDDD" w:sz="1"/>
              <w:left w:val="single" w:color="DDDDDD" w:sz="1"/>
              <w:bottom w:val="single" w:color="DDDDDD" w:sz="1"/>
              <w:right w:val="single" w:color="DDDDDD"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Activity</w:t>
            </w:r>
          </w:p>
        </w:tc>
        <w:tc>
          <w:tcPr>
            <w:tcW w:type="dxa" w:w="1460"/>
            <w:tcBorders>
              <w:top w:val="single" w:color="DDDDDD" w:sz="1"/>
              <w:left w:val="single" w:color="DDDDDD" w:sz="1"/>
              <w:bottom w:val="single" w:color="DDDDDD" w:sz="1"/>
              <w:right w:val="single" w:color="DDDDDD"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Opps</w:t>
            </w:r>
          </w:p>
        </w:tc>
        <w:tc>
          <w:tcPr>
            <w:tcW w:type="dxa" w:w="1700"/>
            <w:tcBorders>
              <w:top w:val="single" w:color="DDDDDD" w:sz="1"/>
              <w:left w:val="single" w:color="DDDDDD" w:sz="1"/>
              <w:bottom w:val="single" w:color="DDDDDD" w:sz="1"/>
              <w:right w:val="single" w:color="DDDDDD"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Revenue</w:t>
            </w:r>
          </w:p>
        </w:tc>
        <w:tc>
          <w:tcPr>
            <w:tcW w:type="dxa" w:w="2000"/>
            <w:tcBorders>
              <w:top w:val="single" w:color="DDDDDD" w:sz="1"/>
              <w:left w:val="single" w:color="DDDDDD" w:sz="1"/>
              <w:bottom w:val="single" w:color="DDDDDD" w:sz="1"/>
              <w:right w:val="single" w:color="DDDDDD"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Recommended action</w:t>
            </w:r>
          </w:p>
        </w:tc>
        <w:tc>
          <w:tcPr>
            <w:tcW w:type="dxa" w:w="1000"/>
            <w:tcBorders>
              <w:top w:val="single" w:color="DDDDDD" w:sz="1"/>
              <w:left w:val="single" w:color="DDDDDD" w:sz="1"/>
              <w:bottom w:val="single" w:color="DDDDDD" w:sz="1"/>
              <w:right w:val="single" w:color="DDDDDD"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1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D2D2D"/>
                <w:sz w:val="18"/>
                <w:szCs w:val="18"/>
              </w:rPr>
              <w:t xml:space="preserve">Sara Linden</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62/mo</w:t>
            </w:r>
          </w:p>
        </w:tc>
        <w:tc>
          <w:tcPr>
            <w:tcW w:type="dxa" w:w="1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11</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D2D2D"/>
                <w:sz w:val="18"/>
                <w:szCs w:val="18"/>
              </w:rPr>
              <w:t xml:space="preserve">€440K</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7"/>
                <w:szCs w:val="17"/>
              </w:rPr>
              <w:t xml:space="preserve">Replicate outreach cadence across team</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E7D32"/>
                <w:sz w:val="18"/>
                <w:szCs w:val="18"/>
              </w:rPr>
              <w:t xml:space="preserve">Low</w:t>
            </w:r>
          </w:p>
        </w:tc>
      </w:tr>
      <w:tr>
        <w:tc>
          <w:tcPr>
            <w:tcW w:type="dxa" w:w="190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r>
              <w:rPr>
                <w:rFonts w:ascii="Arial" w:cs="Arial" w:eastAsia="Arial" w:hAnsi="Arial"/>
                <w:b/>
                <w:bCs/>
                <w:color w:val="2D2D2D"/>
                <w:sz w:val="18"/>
                <w:szCs w:val="18"/>
              </w:rPr>
              <w:t xml:space="preserve">Marc Visser</w:t>
            </w:r>
          </w:p>
        </w:tc>
        <w:tc>
          <w:tcPr>
            <w:tcW w:type="dxa" w:w="130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r>
              <w:rPr>
                <w:rFonts w:ascii="Arial" w:cs="Arial" w:eastAsia="Arial" w:hAnsi="Arial"/>
                <w:color w:val="555555"/>
                <w:sz w:val="18"/>
                <w:szCs w:val="18"/>
              </w:rPr>
              <w:t xml:space="preserve">48/mo</w:t>
            </w:r>
          </w:p>
        </w:tc>
        <w:tc>
          <w:tcPr>
            <w:tcW w:type="dxa" w:w="146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r>
              <w:rPr>
                <w:rFonts w:ascii="Arial" w:cs="Arial" w:eastAsia="Arial" w:hAnsi="Arial"/>
                <w:color w:val="555555"/>
                <w:sz w:val="18"/>
                <w:szCs w:val="18"/>
              </w:rPr>
              <w:t xml:space="preserve">9</w:t>
            </w:r>
          </w:p>
        </w:tc>
        <w:tc>
          <w:tcPr>
            <w:tcW w:type="dxa" w:w="170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r>
              <w:rPr>
                <w:rFonts w:ascii="Arial" w:cs="Arial" w:eastAsia="Arial" w:hAnsi="Arial"/>
                <w:b/>
                <w:bCs/>
                <w:color w:val="2D2D2D"/>
                <w:sz w:val="18"/>
                <w:szCs w:val="18"/>
              </w:rPr>
              <w:t xml:space="preserve">€355K</w:t>
            </w:r>
          </w:p>
        </w:tc>
        <w:tc>
          <w:tcPr>
            <w:tcW w:type="dxa" w:w="200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r>
              <w:rPr>
                <w:rFonts w:ascii="Arial" w:cs="Arial" w:eastAsia="Arial" w:hAnsi="Arial"/>
                <w:color w:val="555555"/>
                <w:sz w:val="17"/>
                <w:szCs w:val="17"/>
              </w:rPr>
              <w:t xml:space="preserve">Increase prospecting volume by 20%</w:t>
            </w:r>
          </w:p>
        </w:tc>
        <w:tc>
          <w:tcPr>
            <w:tcW w:type="dxa" w:w="100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r>
              <w:rPr>
                <w:rFonts w:ascii="Arial" w:cs="Arial" w:eastAsia="Arial" w:hAnsi="Arial"/>
                <w:b/>
                <w:bCs/>
                <w:color w:val="E65100"/>
                <w:sz w:val="18"/>
                <w:szCs w:val="18"/>
              </w:rPr>
              <w:t xml:space="preserve">Med</w:t>
            </w:r>
          </w:p>
        </w:tc>
      </w:tr>
      <w:tr>
        <w:tc>
          <w:tcPr>
            <w:tcW w:type="dxa" w:w="1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D2D2D"/>
                <w:sz w:val="18"/>
                <w:szCs w:val="18"/>
              </w:rPr>
              <w:t xml:space="preserve">Julia Berg</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51/mo</w:t>
            </w:r>
          </w:p>
        </w:tc>
        <w:tc>
          <w:tcPr>
            <w:tcW w:type="dxa" w:w="1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8</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D2D2D"/>
                <w:sz w:val="18"/>
                <w:szCs w:val="18"/>
              </w:rPr>
              <w:t xml:space="preserve">€260K</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7"/>
                <w:szCs w:val="17"/>
              </w:rPr>
              <w:t xml:space="preserve">Qualification &amp; late-stage closing coaching</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C62828"/>
                <w:sz w:val="18"/>
                <w:szCs w:val="18"/>
              </w:rPr>
              <w:t xml:space="preserve">High</w:t>
            </w:r>
          </w:p>
        </w:tc>
      </w:tr>
      <w:tr>
        <w:tc>
          <w:tcPr>
            <w:tcW w:type="dxa" w:w="190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r>
              <w:rPr>
                <w:rFonts w:ascii="Arial" w:cs="Arial" w:eastAsia="Arial" w:hAnsi="Arial"/>
                <w:b/>
                <w:bCs/>
                <w:color w:val="2D2D2D"/>
                <w:sz w:val="18"/>
                <w:szCs w:val="18"/>
              </w:rPr>
              <w:t xml:space="preserve">Remy Picard</w:t>
            </w:r>
          </w:p>
        </w:tc>
        <w:tc>
          <w:tcPr>
            <w:tcW w:type="dxa" w:w="130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r>
              <w:rPr>
                <w:rFonts w:ascii="Arial" w:cs="Arial" w:eastAsia="Arial" w:hAnsi="Arial"/>
                <w:color w:val="555555"/>
                <w:sz w:val="18"/>
                <w:szCs w:val="18"/>
              </w:rPr>
              <w:t xml:space="preserve">24/mo</w:t>
            </w:r>
          </w:p>
        </w:tc>
        <w:tc>
          <w:tcPr>
            <w:tcW w:type="dxa" w:w="146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r>
              <w:rPr>
                <w:rFonts w:ascii="Arial" w:cs="Arial" w:eastAsia="Arial" w:hAnsi="Arial"/>
                <w:color w:val="555555"/>
                <w:sz w:val="18"/>
                <w:szCs w:val="18"/>
              </w:rPr>
              <w:t xml:space="preserve">4</w:t>
            </w:r>
          </w:p>
        </w:tc>
        <w:tc>
          <w:tcPr>
            <w:tcW w:type="dxa" w:w="170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r>
              <w:rPr>
                <w:rFonts w:ascii="Arial" w:cs="Arial" w:eastAsia="Arial" w:hAnsi="Arial"/>
                <w:b/>
                <w:bCs/>
                <w:color w:val="2D2D2D"/>
                <w:sz w:val="18"/>
                <w:szCs w:val="18"/>
              </w:rPr>
              <w:t xml:space="preserve">€170K</w:t>
            </w:r>
          </w:p>
        </w:tc>
        <w:tc>
          <w:tcPr>
            <w:tcW w:type="dxa" w:w="200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r>
              <w:rPr>
                <w:rFonts w:ascii="Arial" w:cs="Arial" w:eastAsia="Arial" w:hAnsi="Arial"/>
                <w:color w:val="555555"/>
                <w:sz w:val="17"/>
                <w:szCs w:val="17"/>
              </w:rPr>
              <w:t xml:space="preserve">Weekly prospecting block + daily check-ins</w:t>
            </w:r>
          </w:p>
        </w:tc>
        <w:tc>
          <w:tcPr>
            <w:tcW w:type="dxa" w:w="1000"/>
            <w:tcBorders>
              <w:top w:val="single" w:color="DDDDDD" w:sz="1"/>
              <w:left w:val="single" w:color="DDDDDD" w:sz="1"/>
              <w:bottom w:val="single" w:color="DDDDDD" w:sz="1"/>
              <w:right w:val="single" w:color="DDDDDD" w:sz="1"/>
            </w:tcBorders>
            <w:shd w:fill="F4F4F2" w:val="clear"/>
            <w:tcMar>
              <w:top w:type="dxa" w:w="80"/>
              <w:left w:type="dxa" w:w="120"/>
              <w:bottom w:type="dxa" w:w="80"/>
              <w:right w:type="dxa" w:w="120"/>
            </w:tcMar>
          </w:tcPr>
          <w:p>
            <w:r>
              <w:rPr>
                <w:rFonts w:ascii="Arial" w:cs="Arial" w:eastAsia="Arial" w:hAnsi="Arial"/>
                <w:b/>
                <w:bCs/>
                <w:color w:val="C62828"/>
                <w:sz w:val="18"/>
                <w:szCs w:val="18"/>
              </w:rPr>
              <w:t xml:space="preserve">Urgent</w:t>
            </w:r>
          </w:p>
        </w:tc>
      </w:tr>
      <w:tr>
        <w:tc>
          <w:tcPr>
            <w:tcW w:type="dxa" w:w="1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D2D2D"/>
                <w:sz w:val="18"/>
                <w:szCs w:val="18"/>
              </w:rPr>
              <w:t xml:space="preserve">Nina Kok</w:t>
            </w:r>
          </w:p>
        </w:tc>
        <w:tc>
          <w:tcPr>
            <w:tcW w:type="dxa" w:w="13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55/mo</w:t>
            </w:r>
          </w:p>
        </w:tc>
        <w:tc>
          <w:tcPr>
            <w:tcW w:type="dxa" w:w="1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10</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D2D2D"/>
                <w:sz w:val="18"/>
                <w:szCs w:val="18"/>
              </w:rPr>
              <w:t xml:space="preserve">€315K</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17"/>
                <w:szCs w:val="17"/>
              </w:rPr>
              <w:t xml:space="preserve">Pair with Sara on enterprise deal strategy</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2E7D32"/>
                <w:sz w:val="18"/>
                <w:szCs w:val="18"/>
              </w:rPr>
              <w:t xml:space="preserve">Low</w:t>
            </w:r>
          </w:p>
        </w:tc>
      </w:tr>
    </w:tbl>
    <w:p>
      <w:pPr>
        <w:spacing w:after="200"/>
      </w:pPr>
    </w:p>
    <w:p>
      <w:pPr>
        <w:pStyle w:val="Heading2"/>
        <w:spacing w:after="80" w:before="240"/>
      </w:pPr>
      <w:r>
        <w:rPr>
          <w:rFonts w:ascii="Arial" w:cs="Arial" w:eastAsia="Arial" w:hAnsi="Arial"/>
          <w:b/>
          <w:bCs/>
          <w:color w:val="1A56A0"/>
          <w:sz w:val="22"/>
          <w:szCs w:val="22"/>
        </w:rPr>
        <w:t xml:space="preserve">Activity, opportunities &amp; revenue — coaching overview per rep</w:t>
      </w:r>
    </w:p>
    <w:p>
      <w:pPr>
        <w:spacing w:after="100"/>
      </w:pPr>
      <w:r>
        <w:rPr>
          <w:rFonts w:ascii="Arial" w:cs="Arial" w:eastAsia="Arial" w:hAnsi="Arial"/>
          <w:color w:val="555555"/>
          <w:sz w:val="20"/>
          <w:szCs w:val="20"/>
        </w:rPr>
        <w:t xml:space="preserve">The view below complements the dot-bar-line timeline by showing the same three metrics as proportional bars per rep — making the relative scale between reps directly comparable. Where the timeline shows trajectory, this shows where each rep stands right now.</w:t>
      </w:r>
    </w:p>
    <w:p>
      <w:pPr>
        <w:spacing w:after="80"/>
      </w:pPr>
    </w:p>
    <w:p>
      <w:pPr>
        <w:spacing w:after="80"/>
        <w:jc w:val="center"/>
      </w:pPr>
      <w:r>
        <w:drawing>
          <wp:inline distT="0" distB="0" distL="0" distR="0">
            <wp:extent cx="5991225"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91225" cy="3057525"/>
                    </a:xfrm>
                    <a:prstGeom prst="rect">
                      <a:avLst/>
                    </a:prstGeom>
                  </pic:spPr>
                </pic:pic>
              </a:graphicData>
            </a:graphic>
          </wp:inline>
        </w:drawing>
      </w:r>
    </w:p>
    <w:p>
      <w:pPr>
        <w:spacing w:after="260"/>
        <w:jc w:val="center"/>
      </w:pPr>
      <w:r>
        <w:rPr>
          <w:rFonts w:ascii="Arial" w:cs="Arial" w:eastAsia="Arial" w:hAnsi="Arial"/>
          <w:i/>
          <w:iCs/>
          <w:color w:val="AAAAAA"/>
          <w:sz w:val="16"/>
          <w:szCs w:val="16"/>
        </w:rPr>
        <w:t xml:space="preserve">Figure 3b — Activity vs opportunity vs actual revenue per account manager — monthly average Q2 2026</w:t>
      </w:r>
    </w:p>
    <w:p>
      <w:pPr>
        <w:spacing w:after="80"/>
      </w:pPr>
    </w:p>
    <w:p>
      <w:pPr>
        <w:pStyle w:val="ListParagraph"/>
        <w:numPr>
          <w:ilvl w:val="0"/>
          <w:numId w:val="2"/>
        </w:numPr>
        <w:spacing w:after="80"/>
      </w:pPr>
      <w:r>
        <w:rPr>
          <w:rFonts w:ascii="Arial" w:cs="Arial" w:eastAsia="Arial" w:hAnsi="Arial"/>
          <w:b w:val="false"/>
          <w:bCs w:val="false"/>
          <w:color w:val="555555"/>
          <w:sz w:val="20"/>
          <w:szCs w:val="20"/>
        </w:rPr>
        <w:t xml:space="preserve">Sara Linden and Nina Kok — all three bars in close proportion, confirming healthy conversion efficiency throughout the pipeline.</w:t>
      </w:r>
    </w:p>
    <w:p>
      <w:pPr>
        <w:pStyle w:val="ListParagraph"/>
        <w:numPr>
          <w:ilvl w:val="0"/>
          <w:numId w:val="2"/>
        </w:numPr>
        <w:spacing w:after="80"/>
      </w:pPr>
      <w:r>
        <w:rPr>
          <w:rFonts w:ascii="Arial" w:cs="Arial" w:eastAsia="Arial" w:hAnsi="Arial"/>
          <w:b w:val="false"/>
          <w:bCs w:val="false"/>
          <w:color w:val="555555"/>
          <w:sz w:val="20"/>
          <w:szCs w:val="20"/>
        </w:rPr>
        <w:t xml:space="preserve">Marc Visser — bars are proportional but shorter overall. The fix is straightforward: more outreach volume, not a change in approach.</w:t>
      </w:r>
    </w:p>
    <w:p>
      <w:pPr>
        <w:pStyle w:val="ListParagraph"/>
        <w:numPr>
          <w:ilvl w:val="0"/>
          <w:numId w:val="2"/>
        </w:numPr>
        <w:spacing w:after="80"/>
      </w:pPr>
      <w:r>
        <w:rPr>
          <w:rFonts w:ascii="Arial" w:cs="Arial" w:eastAsia="Arial" w:hAnsi="Arial"/>
          <w:b w:val="false"/>
          <w:bCs w:val="false"/>
          <w:color w:val="555555"/>
          <w:sz w:val="20"/>
          <w:szCs w:val="20"/>
        </w:rPr>
        <w:t xml:space="preserve">Julia Berg — activity bar is comparable to the top performers but the revenue bar is significantly shorter. Activity is not translating, pointing to a mid-to-late stage conversion issue.</w:t>
      </w:r>
    </w:p>
    <w:p>
      <w:pPr>
        <w:pStyle w:val="ListParagraph"/>
        <w:numPr>
          <w:ilvl w:val="0"/>
          <w:numId w:val="2"/>
        </w:numPr>
        <w:spacing w:after="80"/>
      </w:pPr>
      <w:r>
        <w:rPr>
          <w:rFonts w:ascii="Arial" w:cs="Arial" w:eastAsia="Arial" w:hAnsi="Arial"/>
          <w:b w:val="false"/>
          <w:bCs w:val="false"/>
          <w:color w:val="555555"/>
          <w:sz w:val="20"/>
          <w:szCs w:val="20"/>
        </w:rPr>
        <w:t xml:space="preserve">Remy Picard — all three bars are the lowest on the team. The root cause is input volume, not conversion quality. Closing coaching will not help until activity increases first.</w:t>
      </w:r>
    </w:p>
    <w:p>
      <w:pPr>
        <w:spacing w:after="200"/>
      </w:pPr>
    </w:p>
    <w:p>
      <w:pPr>
        <w:pStyle w:val="Heading1"/>
        <w:pBdr>
          <w:bottom w:val="single" w:color="1A56A0" w:sz="8" w:space="4"/>
        </w:pBdr>
        <w:spacing w:after="120" w:before="360"/>
      </w:pPr>
      <w:r>
        <w:rPr>
          <w:rFonts w:ascii="Arial" w:cs="Arial" w:eastAsia="Arial" w:hAnsi="Arial"/>
          <w:b/>
          <w:bCs/>
          <w:color w:val="2D2D2D"/>
          <w:sz w:val="28"/>
          <w:szCs w:val="28"/>
        </w:rPr>
        <w:t xml:space="preserve">5. Activity, Opportunities &amp; Revenue — Per Account</w:t>
      </w:r>
    </w:p>
    <w:p>
      <w:pPr>
        <w:pBdr>
          <w:left w:val="single" w:color="1A56A0" w:sz="16" w:space="8"/>
        </w:pBdr>
        <w:shd w:fill="EAF2FB" w:val="clear"/>
        <w:spacing w:after="140"/>
        <w:ind w:left="200"/>
      </w:pPr>
      <w:r>
        <w:rPr>
          <w:rFonts w:ascii="Arial" w:cs="Arial" w:eastAsia="Arial" w:hAnsi="Arial"/>
          <w:i/>
          <w:iCs/>
          <w:color w:val="555555"/>
          <w:sz w:val="20"/>
          <w:szCs w:val="20"/>
        </w:rPr>
        <w:t xml:space="preserve">The same three-signal view applied at individual account level shows which accounts are being actively nurtured and which are drifting — and whether the opportunity value being built in each account is actually converting to closed revenue.</w:t>
      </w:r>
    </w:p>
    <w:p>
      <w:pPr>
        <w:spacing w:after="100"/>
      </w:pPr>
    </w:p>
    <w:p>
      <w:pPr>
        <w:spacing w:after="80"/>
        <w:jc w:val="center"/>
      </w:pPr>
      <w:r>
        <w:drawing>
          <wp:inline distT="0" distB="0" distL="0" distR="0">
            <wp:extent cx="5991225" cy="4895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91225" cy="4895850"/>
                    </a:xfrm>
                    <a:prstGeom prst="rect">
                      <a:avLst/>
                    </a:prstGeom>
                  </pic:spPr>
                </pic:pic>
              </a:graphicData>
            </a:graphic>
          </wp:inline>
        </w:drawing>
      </w:r>
    </w:p>
    <w:p>
      <w:pPr>
        <w:spacing w:after="260"/>
        <w:jc w:val="center"/>
      </w:pPr>
      <w:r>
        <w:rPr>
          <w:rFonts w:ascii="Arial" w:cs="Arial" w:eastAsia="Arial" w:hAnsi="Arial"/>
          <w:i/>
          <w:iCs/>
          <w:color w:val="AAAAAA"/>
          <w:sz w:val="16"/>
          <w:szCs w:val="16"/>
        </w:rPr>
        <w:t xml:space="preserve">Figure 4 — Activity (dots) · opportunity revenue (bars) · actual revenue (line) per account — Jan–Aug 2026</w:t>
      </w:r>
    </w:p>
    <w:p>
      <w:pPr>
        <w:pStyle w:val="Heading2"/>
        <w:spacing w:after="80" w:before="240"/>
      </w:pPr>
      <w:r>
        <w:rPr>
          <w:rFonts w:ascii="Arial" w:cs="Arial" w:eastAsia="Arial" w:hAnsi="Arial"/>
          <w:b/>
          <w:bCs/>
          <w:color w:val="1A56A0"/>
          <w:sz w:val="22"/>
          <w:szCs w:val="22"/>
        </w:rPr>
        <w:t xml:space="preserve">How to read the per-account charts</w:t>
      </w:r>
    </w:p>
    <w:p>
      <w:pPr>
        <w:spacing w:after="100"/>
      </w:pPr>
      <w:r>
        <w:rPr>
          <w:rFonts w:ascii="Arial" w:cs="Arial" w:eastAsia="Arial" w:hAnsi="Arial"/>
          <w:color w:val="555555"/>
          <w:sz w:val="20"/>
          <w:szCs w:val="20"/>
        </w:rPr>
        <w:t xml:space="preserve">Each account card is scaled to its own revenue range so you compare shape, not size. A healthy account shows all three signals rising together. A troubled account shows a widening gap between the bars and the line, or dots that plateau while bars keep growing:</w:t>
      </w:r>
    </w:p>
    <w:p>
      <w:pPr>
        <w:spacing w:after="60"/>
      </w:pPr>
    </w:p>
    <w:p>
      <w:pPr>
        <w:pStyle w:val="ListParagraph"/>
        <w:numPr>
          <w:ilvl w:val="0"/>
          <w:numId w:val="2"/>
        </w:numPr>
        <w:spacing w:after="80"/>
      </w:pPr>
      <w:r>
        <w:rPr>
          <w:rFonts w:ascii="Arial" w:cs="Arial" w:eastAsia="Arial" w:hAnsi="Arial"/>
          <w:b w:val="false"/>
          <w:bCs w:val="false"/>
          <w:color w:val="555555"/>
          <w:sz w:val="20"/>
          <w:szCs w:val="20"/>
        </w:rPr>
        <w:t xml:space="preserve">Heineken NV &amp; ASML (Sara Linden) — blue bars, green line, rising dots. All three signals in alignment. These accounts are being actively managed and converting well.</w:t>
      </w:r>
    </w:p>
    <w:p>
      <w:pPr>
        <w:pStyle w:val="ListParagraph"/>
        <w:numPr>
          <w:ilvl w:val="0"/>
          <w:numId w:val="2"/>
        </w:numPr>
        <w:spacing w:after="80"/>
      </w:pPr>
      <w:r>
        <w:rPr>
          <w:rFonts w:ascii="Arial" w:cs="Arial" w:eastAsia="Arial" w:hAnsi="Arial"/>
          <w:b w:val="false"/>
          <w:bCs w:val="false"/>
          <w:color w:val="555555"/>
          <w:sz w:val="20"/>
          <w:szCs w:val="20"/>
        </w:rPr>
        <w:t xml:space="preserve">Rabobank (Marc Visser) — steady blue signals across all three. Consistent account management delivering predictable revenue growth.</w:t>
      </w:r>
    </w:p>
    <w:p>
      <w:pPr>
        <w:pStyle w:val="ListParagraph"/>
        <w:numPr>
          <w:ilvl w:val="0"/>
          <w:numId w:val="2"/>
        </w:numPr>
        <w:spacing w:after="80"/>
      </w:pPr>
      <w:r>
        <w:rPr>
          <w:rFonts w:ascii="Arial" w:cs="Arial" w:eastAsia="Arial" w:hAnsi="Arial"/>
          <w:b w:val="false"/>
          <w:bCs w:val="false"/>
          <w:color w:val="555555"/>
          <w:sz w:val="20"/>
          <w:szCs w:val="20"/>
        </w:rPr>
        <w:t xml:space="preserve">TomTom (Marc Visser) — amber bars growing steadily but the revenue line is nearly flat. Pipeline is accumulating without converting. Renewal in 22 days makes this the most urgent account in the portfolio.</w:t>
      </w:r>
    </w:p>
    <w:p>
      <w:pPr>
        <w:pStyle w:val="ListParagraph"/>
        <w:numPr>
          <w:ilvl w:val="0"/>
          <w:numId w:val="2"/>
        </w:numPr>
        <w:spacing w:after="80"/>
      </w:pPr>
      <w:r>
        <w:rPr>
          <w:rFonts w:ascii="Arial" w:cs="Arial" w:eastAsia="Arial" w:hAnsi="Arial"/>
          <w:b w:val="false"/>
          <w:bCs w:val="false"/>
          <w:color w:val="555555"/>
          <w:sz w:val="20"/>
          <w:szCs w:val="20"/>
        </w:rPr>
        <w:t xml:space="preserve">Coolblue (Julia Berg) — red bars and a red revenue line that barely moves despite growing opportunity value. High pipeline, very low conversion — a qualification or decision-maker access problem.</w:t>
      </w:r>
    </w:p>
    <w:p>
      <w:pPr>
        <w:pStyle w:val="ListParagraph"/>
        <w:numPr>
          <w:ilvl w:val="0"/>
          <w:numId w:val="2"/>
        </w:numPr>
        <w:spacing w:after="80"/>
      </w:pPr>
      <w:r>
        <w:rPr>
          <w:rFonts w:ascii="Arial" w:cs="Arial" w:eastAsia="Arial" w:hAnsi="Arial"/>
          <w:b w:val="false"/>
          <w:bCs w:val="false"/>
          <w:color w:val="555555"/>
          <w:sz w:val="20"/>
          <w:szCs w:val="20"/>
        </w:rPr>
        <w:t xml:space="preserve">ING Group (Julia Berg) — amber dots are rising but the revenue line lags the bars by a wide and growing margin. Activity is there; the deal process needs a coaching review.</w:t>
      </w:r>
    </w:p>
    <w:p>
      <w:pPr>
        <w:pStyle w:val="ListParagraph"/>
        <w:numPr>
          <w:ilvl w:val="0"/>
          <w:numId w:val="2"/>
        </w:numPr>
        <w:spacing w:after="80"/>
      </w:pPr>
      <w:r>
        <w:rPr>
          <w:rFonts w:ascii="Arial" w:cs="Arial" w:eastAsia="Arial" w:hAnsi="Arial"/>
          <w:b w:val="false"/>
          <w:bCs w:val="false"/>
          <w:color w:val="555555"/>
          <w:sz w:val="20"/>
          <w:szCs w:val="20"/>
        </w:rPr>
        <w:t xml:space="preserve">Nationale-Nederlanden (Remy Picard) — the lowest dot count of all accounts, red bars, and a flat red line. Both activity and conversion are failing simultaneously. This account needs immediate manager involvement.</w:t>
      </w:r>
    </w:p>
    <w:p>
      <w:pPr>
        <w:pStyle w:val="ListParagraph"/>
        <w:numPr>
          <w:ilvl w:val="0"/>
          <w:numId w:val="2"/>
        </w:numPr>
        <w:spacing w:after="80"/>
      </w:pPr>
      <w:r>
        <w:rPr>
          <w:rFonts w:ascii="Arial" w:cs="Arial" w:eastAsia="Arial" w:hAnsi="Arial"/>
          <w:b w:val="false"/>
          <w:bCs w:val="false"/>
          <w:color w:val="555555"/>
          <w:sz w:val="20"/>
          <w:szCs w:val="20"/>
        </w:rPr>
        <w:t xml:space="preserve">Wolters Kluwer (Marc Visser) — amber throughout: moderate activity, growing pipeline, but revenue stubbornly low. A focused closing coaching session should unlock this account.</w:t>
      </w:r>
    </w:p>
    <w:p>
      <w:pPr>
        <w:spacing w:after="200"/>
      </w:pPr>
    </w:p>
    <w:p>
      <w:pPr>
        <w:pStyle w:val="Heading1"/>
        <w:pBdr>
          <w:bottom w:val="single" w:color="1A56A0" w:sz="8" w:space="4"/>
        </w:pBdr>
        <w:spacing w:after="120" w:before="360"/>
      </w:pPr>
      <w:r>
        <w:rPr>
          <w:rFonts w:ascii="Arial" w:cs="Arial" w:eastAsia="Arial" w:hAnsi="Arial"/>
          <w:b/>
          <w:bCs/>
          <w:color w:val="2D2D2D"/>
          <w:sz w:val="28"/>
          <w:szCs w:val="28"/>
        </w:rPr>
        <w:t xml:space="preserve">6. Coaching Conclusions — At a Glance</w:t>
      </w:r>
    </w:p>
    <w:p>
      <w:pPr>
        <w:pBdr>
          <w:left w:val="single" w:color="1A56A0" w:sz="16" w:space="8"/>
        </w:pBdr>
        <w:shd w:fill="EAF2FB" w:val="clear"/>
        <w:spacing w:after="140"/>
        <w:ind w:left="200"/>
      </w:pPr>
      <w:r>
        <w:rPr>
          <w:rFonts w:ascii="Arial" w:cs="Arial" w:eastAsia="Arial" w:hAnsi="Arial"/>
          <w:i/>
          <w:iCs/>
          <w:color w:val="555555"/>
          <w:sz w:val="20"/>
          <w:szCs w:val="20"/>
        </w:rPr>
        <w:t xml:space="preserve">The scatter chart below plots every rep by their activity volume and quota attainment, placing them in one of four coaching quadrants. Position in the chart determines the prescription — not opinion, but data.</w:t>
      </w:r>
    </w:p>
    <w:p>
      <w:pPr>
        <w:spacing w:after="100"/>
      </w:pPr>
    </w:p>
    <w:p>
      <w:pPr>
        <w:spacing w:after="80"/>
        <w:jc w:val="center"/>
      </w:pPr>
      <w:r>
        <w:drawing>
          <wp:inline distT="0" distB="0" distL="0" distR="0">
            <wp:extent cx="5991225"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91225" cy="3609975"/>
                    </a:xfrm>
                    <a:prstGeom prst="rect">
                      <a:avLst/>
                    </a:prstGeom>
                  </pic:spPr>
                </pic:pic>
              </a:graphicData>
            </a:graphic>
          </wp:inline>
        </w:drawing>
      </w:r>
    </w:p>
    <w:p>
      <w:pPr>
        <w:spacing w:after="260"/>
        <w:jc w:val="center"/>
      </w:pPr>
      <w:r>
        <w:rPr>
          <w:rFonts w:ascii="Arial" w:cs="Arial" w:eastAsia="Arial" w:hAnsi="Arial"/>
          <w:i/>
          <w:iCs/>
          <w:color w:val="AAAAAA"/>
          <w:sz w:val="16"/>
          <w:szCs w:val="16"/>
        </w:rPr>
        <w:t xml:space="preserve">Figure 5 — Coaching quadrant: activity level vs quota attainment per rep (Q2 2026)</w:t>
      </w:r>
    </w:p>
    <w:p>
      <w:pPr>
        <w:pStyle w:val="Heading2"/>
        <w:spacing w:after="80" w:before="240"/>
      </w:pPr>
      <w:r>
        <w:rPr>
          <w:rFonts w:ascii="Arial" w:cs="Arial" w:eastAsia="Arial" w:hAnsi="Arial"/>
          <w:b/>
          <w:bCs/>
          <w:color w:val="1A56A0"/>
          <w:sz w:val="22"/>
          <w:szCs w:val="22"/>
        </w:rPr>
        <w:t xml:space="preserve">Reading the quadrants</w:t>
      </w:r>
    </w:p>
    <w:p>
      <w:pPr>
        <w:spacing w:after="100"/>
      </w:pPr>
      <w:r>
        <w:rPr>
          <w:rFonts w:ascii="Arial" w:cs="Arial" w:eastAsia="Arial" w:hAnsi="Arial"/>
          <w:color w:val="555555"/>
          <w:sz w:val="20"/>
          <w:szCs w:val="20"/>
        </w:rPr>
        <w:t xml:space="preserve">The two axes capture the two independent dimensions of sales performance. Together they produce four distinct coaching situations:</w:t>
      </w:r>
    </w:p>
    <w:p>
      <w:pPr>
        <w:spacing w:after="60"/>
      </w:pPr>
    </w:p>
    <w:p>
      <w:pPr>
        <w:pStyle w:val="ListParagraph"/>
        <w:numPr>
          <w:ilvl w:val="0"/>
          <w:numId w:val="2"/>
        </w:numPr>
        <w:spacing w:after="80"/>
      </w:pPr>
      <w:r>
        <w:rPr>
          <w:rFonts w:ascii="Arial" w:cs="Arial" w:eastAsia="Arial" w:hAnsi="Arial"/>
          <w:b w:val="false"/>
          <w:bCs w:val="false"/>
          <w:color w:val="555555"/>
          <w:sz w:val="20"/>
          <w:szCs w:val="20"/>
        </w:rPr>
        <w:t xml:space="preserve">Scale &amp; replicate (top-right) — Sara Linden and Nina Kok sit inside the target zone. High activity is converting to high attainment. Share their approach across the team.</w:t>
      </w:r>
    </w:p>
    <w:p>
      <w:pPr>
        <w:pStyle w:val="ListParagraph"/>
        <w:numPr>
          <w:ilvl w:val="0"/>
          <w:numId w:val="2"/>
        </w:numPr>
        <w:spacing w:after="80"/>
      </w:pPr>
      <w:r>
        <w:rPr>
          <w:rFonts w:ascii="Arial" w:cs="Arial" w:eastAsia="Arial" w:hAnsi="Arial"/>
          <w:b w:val="false"/>
          <w:bCs w:val="false"/>
          <w:color w:val="555555"/>
          <w:sz w:val="20"/>
          <w:szCs w:val="20"/>
        </w:rPr>
        <w:t xml:space="preserve">Grow activity (top-left) — Marc Visser converts well but volume is below the top performers. A 20% increase in prospecting activity, without changing his approach, moves him directly into the target zone.</w:t>
      </w:r>
    </w:p>
    <w:p>
      <w:pPr>
        <w:pStyle w:val="ListParagraph"/>
        <w:numPr>
          <w:ilvl w:val="0"/>
          <w:numId w:val="2"/>
        </w:numPr>
        <w:spacing w:after="80"/>
      </w:pPr>
      <w:r>
        <w:rPr>
          <w:rFonts w:ascii="Arial" w:cs="Arial" w:eastAsia="Arial" w:hAnsi="Arial"/>
          <w:b w:val="false"/>
          <w:bCs w:val="false"/>
          <w:color w:val="555555"/>
          <w:sz w:val="20"/>
          <w:szCs w:val="20"/>
        </w:rPr>
        <w:t xml:space="preserve">Fix conversion quality (bottom-right) — Julia Berg is active but revenue output does not match effort. Coach on deal qualification and late-stage closing — not on increasing call volume.</w:t>
      </w:r>
    </w:p>
    <w:p>
      <w:pPr>
        <w:pStyle w:val="ListParagraph"/>
        <w:numPr>
          <w:ilvl w:val="0"/>
          <w:numId w:val="2"/>
        </w:numPr>
        <w:spacing w:after="80"/>
      </w:pPr>
      <w:r>
        <w:rPr>
          <w:rFonts w:ascii="Arial" w:cs="Arial" w:eastAsia="Arial" w:hAnsi="Arial"/>
          <w:b w:val="false"/>
          <w:bCs w:val="false"/>
          <w:color w:val="555555"/>
          <w:sz w:val="20"/>
          <w:szCs w:val="20"/>
        </w:rPr>
        <w:t xml:space="preserve">Urgent intervention (bottom-left) — Remy Picard is the only rep in the danger quadrant. Both activity and attainment are critically low. First restore volume through structured prospecting blocks, then address conversion quality once activity is stabilised.</w:t>
      </w:r>
    </w:p>
    <w:p>
      <w:pPr>
        <w:spacing w:after="120"/>
      </w:pPr>
    </w:p>
    <w:p>
      <w:pPr>
        <w:spacing w:after="100"/>
      </w:pPr>
      <w:r>
        <w:rPr>
          <w:rFonts w:ascii="Arial" w:cs="Arial" w:eastAsia="Arial" w:hAnsi="Arial"/>
          <w:color w:val="555555"/>
          <w:sz w:val="20"/>
          <w:szCs w:val="20"/>
        </w:rPr>
        <w:t xml:space="preserve">The target zone — 55+ interactions per month and 80%+ quota attainment — is where Sara, Nina, and Marc are approaching. The Q2 priority is moving Marc across the threshold and beginning the two-phase recovery plan for Remy.</w:t>
      </w:r>
    </w:p>
    <w:p>
      <w:pPr>
        <w:spacing w:after="200"/>
      </w:pPr>
    </w:p>
    <w:p>
      <w:pPr>
        <w:pStyle w:val="Heading1"/>
        <w:pBdr>
          <w:bottom w:val="single" w:color="1A56A0" w:sz="8" w:space="4"/>
        </w:pBdr>
        <w:spacing w:after="120" w:before="360"/>
      </w:pPr>
      <w:r>
        <w:rPr>
          <w:rFonts w:ascii="Arial" w:cs="Arial" w:eastAsia="Arial" w:hAnsi="Arial"/>
          <w:b/>
          <w:bCs/>
          <w:color w:val="2D2D2D"/>
          <w:sz w:val="28"/>
          <w:szCs w:val="28"/>
        </w:rPr>
        <w:t xml:space="preserve">7. Summary</w:t>
      </w:r>
    </w:p>
    <w:p>
      <w:pPr>
        <w:pBdr>
          <w:left w:val="single" w:color="1A56A0" w:sz="16" w:space="8"/>
        </w:pBdr>
        <w:shd w:fill="EAF2FB" w:val="clear"/>
        <w:spacing w:after="140"/>
        <w:ind w:left="200"/>
      </w:pPr>
      <w:r>
        <w:rPr>
          <w:rFonts w:ascii="Arial" w:cs="Arial" w:eastAsia="Arial" w:hAnsi="Arial"/>
          <w:i/>
          <w:iCs/>
          <w:color w:val="555555"/>
          <w:sz w:val="20"/>
          <w:szCs w:val="20"/>
        </w:rPr>
        <w:t xml:space="preserve">A well-configured CRM gives a sales manager three capabilities: visibility over what is happening now, an early warning of what is coming, and a clear coaching agenda for each rep and each account.</w:t>
      </w:r>
    </w:p>
    <w:p>
      <w:pPr>
        <w:spacing w:after="80"/>
      </w:pPr>
    </w:p>
    <w:p>
      <w:pPr>
        <w:spacing w:after="100"/>
      </w:pPr>
      <w:r>
        <w:rPr>
          <w:rFonts w:ascii="Arial" w:cs="Arial" w:eastAsia="Arial" w:hAnsi="Arial"/>
          <w:color w:val="555555"/>
          <w:sz w:val="20"/>
          <w:szCs w:val="20"/>
        </w:rPr>
        <w:t xml:space="preserve">The dashboard (Section 2) answers the first. It shows quota progress, rep performance, at-risk deals, and the forecast in a single view — no Monday morning status calls needed.</w:t>
      </w:r>
    </w:p>
    <w:p>
      <w:pPr>
        <w:spacing w:after="60"/>
      </w:pPr>
    </w:p>
    <w:p>
      <w:pPr>
        <w:spacing w:after="100"/>
      </w:pPr>
      <w:r>
        <w:rPr>
          <w:rFonts w:ascii="Arial" w:cs="Arial" w:eastAsia="Arial" w:hAnsi="Arial"/>
          <w:color w:val="555555"/>
          <w:sz w:val="20"/>
          <w:szCs w:val="20"/>
        </w:rPr>
        <w:t xml:space="preserve">The team timeline (Section 3) answers the second. By overlaying activity dots, opportunity bars, and the revenue line, it surfaces the typical 6-week lag between effort and income — turning today's activity level into a six-week revenue prediction. A drop in dots today is a red flag six weeks before it appears in closed-won.</w:t>
      </w:r>
    </w:p>
    <w:p>
      <w:pPr>
        <w:spacing w:after="60"/>
      </w:pPr>
    </w:p>
    <w:p>
      <w:pPr>
        <w:spacing w:after="100"/>
      </w:pPr>
      <w:r>
        <w:rPr>
          <w:rFonts w:ascii="Arial" w:cs="Arial" w:eastAsia="Arial" w:hAnsi="Arial"/>
          <w:color w:val="555555"/>
          <w:sz w:val="20"/>
          <w:szCs w:val="20"/>
        </w:rPr>
        <w:t xml:space="preserve">The per-AM and per-account views (Sections 4 and 5) answer the third. Breaking the same three signals down by rep and then by account makes the coaching agenda concrete: which rep has a volume problem, which has a conversion problem, which has a closing problem — and which specific accounts need manager involvement this week.</w:t>
      </w:r>
    </w:p>
    <w:p>
      <w:pPr>
        <w:spacing w:after="120"/>
      </w:pPr>
    </w:p>
    <w:p>
      <w:pPr>
        <w:spacing w:after="100"/>
      </w:pPr>
      <w:r>
        <w:rPr>
          <w:rFonts w:ascii="Arial" w:cs="Arial" w:eastAsia="Arial" w:hAnsi="Arial"/>
          <w:b w:val="false"/>
          <w:bCs w:val="false"/>
          <w:color w:val="555555"/>
          <w:sz w:val="20"/>
          <w:szCs w:val="20"/>
        </w:rPr>
        <w:t xml:space="preserve">Together they answer the five questions that define a sales manager's week:</w:t>
      </w:r>
    </w:p>
    <w:p>
      <w:pPr>
        <w:spacing w:after="60"/>
      </w:pPr>
    </w:p>
    <w:p>
      <w:pPr>
        <w:pStyle w:val="ListParagraph"/>
        <w:numPr>
          <w:ilvl w:val="0"/>
          <w:numId w:val="2"/>
        </w:numPr>
        <w:spacing w:after="80"/>
      </w:pPr>
      <w:r>
        <w:rPr>
          <w:rFonts w:ascii="Arial" w:cs="Arial" w:eastAsia="Arial" w:hAnsi="Arial"/>
          <w:b/>
          <w:bCs/>
          <w:color w:val="555555"/>
          <w:sz w:val="20"/>
          <w:szCs w:val="20"/>
        </w:rPr>
        <w:t xml:space="preserve">Which reps need my attention — and for what specific reason?</w:t>
      </w:r>
    </w:p>
    <w:p>
      <w:pPr>
        <w:pStyle w:val="ListParagraph"/>
        <w:numPr>
          <w:ilvl w:val="0"/>
          <w:numId w:val="2"/>
        </w:numPr>
        <w:spacing w:after="80"/>
      </w:pPr>
      <w:r>
        <w:rPr>
          <w:rFonts w:ascii="Arial" w:cs="Arial" w:eastAsia="Arial" w:hAnsi="Arial"/>
          <w:b/>
          <w:bCs/>
          <w:color w:val="555555"/>
          <w:sz w:val="20"/>
          <w:szCs w:val="20"/>
        </w:rPr>
        <w:t xml:space="preserve">Are we going to hit the number, and what is at risk?</w:t>
      </w:r>
    </w:p>
    <w:p>
      <w:pPr>
        <w:pStyle w:val="ListParagraph"/>
        <w:numPr>
          <w:ilvl w:val="0"/>
          <w:numId w:val="2"/>
        </w:numPr>
        <w:spacing w:after="80"/>
      </w:pPr>
      <w:r>
        <w:rPr>
          <w:rFonts w:ascii="Arial" w:cs="Arial" w:eastAsia="Arial" w:hAnsi="Arial"/>
          <w:b/>
          <w:bCs/>
          <w:color w:val="555555"/>
          <w:sz w:val="20"/>
          <w:szCs w:val="20"/>
        </w:rPr>
        <w:t xml:space="preserve">Where is the pipeline breaking down across the team?</w:t>
      </w:r>
    </w:p>
    <w:p>
      <w:pPr>
        <w:pStyle w:val="ListParagraph"/>
        <w:numPr>
          <w:ilvl w:val="0"/>
          <w:numId w:val="2"/>
        </w:numPr>
        <w:spacing w:after="80"/>
      </w:pPr>
      <w:r>
        <w:rPr>
          <w:rFonts w:ascii="Arial" w:cs="Arial" w:eastAsia="Arial" w:hAnsi="Arial"/>
          <w:b/>
          <w:bCs/>
          <w:color w:val="555555"/>
          <w:sz w:val="20"/>
          <w:szCs w:val="20"/>
        </w:rPr>
        <w:t xml:space="preserve">Is today's activity level enough to sustain next quarter's revenue?</w:t>
      </w:r>
    </w:p>
    <w:p>
      <w:pPr>
        <w:pStyle w:val="ListParagraph"/>
        <w:numPr>
          <w:ilvl w:val="0"/>
          <w:numId w:val="2"/>
        </w:numPr>
        <w:spacing w:after="80"/>
      </w:pPr>
      <w:r>
        <w:rPr>
          <w:rFonts w:ascii="Arial" w:cs="Arial" w:eastAsia="Arial" w:hAnsi="Arial"/>
          <w:b/>
          <w:bCs/>
          <w:color w:val="555555"/>
          <w:sz w:val="20"/>
          <w:szCs w:val="20"/>
        </w:rPr>
        <w:t xml:space="preserve">Which accounts need my direct involvement, and what kind of help?</w:t>
      </w:r>
    </w:p>
    <w:p>
      <w:pPr>
        <w:spacing w:after="80"/>
      </w:pPr>
    </w:p>
    <w:p>
      <w:pPr>
        <w:spacing w:after="100"/>
      </w:pPr>
      <w:r>
        <w:rPr>
          <w:rFonts w:ascii="Arial" w:cs="Arial" w:eastAsia="Arial" w:hAnsi="Arial"/>
          <w:color w:val="555555"/>
          <w:sz w:val="20"/>
          <w:szCs w:val="20"/>
        </w:rPr>
        <w:t xml:space="preserve">Used consistently, these views shift the sales manager from reactive firefighter to proactive coach — with the data to back every conversation and the foresight to act before problems show up in the number.</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tabs>
        <w:tab w:val="right" w:pos="9026"/>
      </w:tabs>
      <w:spacing w:before="80"/>
    </w:pPr>
    <w:r>
      <w:rPr>
        <w:rFonts w:ascii="Arial" w:cs="Arial" w:eastAsia="Arial" w:hAnsi="Arial"/>
        <w:color w:val="AAAAAA"/>
        <w:sz w:val="16"/>
        <w:szCs w:val="16"/>
      </w:rPr>
      <w:t xml:space="preserve">Confidential — Sales Management Overview</w:t>
    </w:r>
    <w:r>
      <w:rPr>
        <w:rFonts w:ascii="Arial" w:cs="Arial" w:eastAsia="Arial" w:hAnsi="Arial"/>
        <w:color w:val="AAAAAA"/>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A0" w:sz="8" w:space="4"/>
      </w:pBdr>
      <w:spacing w:after="100"/>
    </w:pPr>
    <w:r>
      <w:rPr>
        <w:rFonts w:ascii="Arial" w:cs="Arial" w:eastAsia="Arial" w:hAnsi="Arial"/>
        <w:b/>
        <w:bCs/>
        <w:color w:val="1A56A0"/>
        <w:sz w:val="18"/>
        <w:szCs w:val="18"/>
      </w:rPr>
      <w:t xml:space="preserve">CRM for Sales Managers</w:t>
    </w:r>
    <w:r>
      <w:rPr>
        <w:rFonts w:ascii="Arial" w:cs="Arial" w:eastAsia="Arial" w:hAnsi="Arial"/>
        <w:color w:val="AAAAAA"/>
        <w:sz w:val="18"/>
        <w:szCs w:val="18"/>
      </w:rPr>
      <w:t xml:space="preserve">  ·  Q2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55555"/>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D2D2D"/>
      <w:sz w:val="28"/>
      <w:szCs w:val="28"/>
    </w:rPr>
  </w:style>
  <w:style w:type="paragraph" w:styleId="Heading2">
    <w:name w:val="Heading 2"/>
    <w:basedOn w:val="Normal"/>
    <w:next w:val="Normal"/>
    <w:qFormat/>
    <w:pPr>
      <w:spacing w:after="80" w:before="240"/>
      <w:outlineLvl w:val="1"/>
    </w:pPr>
    <w:rPr>
      <w:rFonts w:ascii="Arial" w:cs="Arial" w:eastAsia="Arial" w:hAnsi="Arial"/>
      <w:b/>
      <w:bCs/>
      <w:color w:val="1A56A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d824ab72f81a2fcba1182e36fe905396c925e80.png"/><Relationship Id="rId10" Type="http://schemas.openxmlformats.org/officeDocument/2006/relationships/image" Target="media/2d7d3b48ec6a73db04a933a78f37822e75ff158f.png"/><Relationship Id="rId11" Type="http://schemas.openxmlformats.org/officeDocument/2006/relationships/image" Target="media/871e8dc203ac7f9ffdb583e5fc4ed092d5bbf44b.png"/><Relationship Id="rId12" Type="http://schemas.openxmlformats.org/officeDocument/2006/relationships/image" Target="media/011d42c2531238f58e5cb4eea6d8de9a3932a4db.png"/><Relationship Id="rId13" Type="http://schemas.openxmlformats.org/officeDocument/2006/relationships/image" Target="media/778ea15a6088a2d3c6aff43b8c51662f8b9703df.png"/><Relationship Id="rId14" Type="http://schemas.openxmlformats.org/officeDocument/2006/relationships/image" Target="media/d9dcab2c517522a80a4d6ec37c27a14cbc91eaab.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2026-04-04T08:41:44.927Z</dcterms:created>
  <dcterms:modified xsi:type="dcterms:W3CDTF">2026-04-04T08:41:44.927Z</dcterms:modified>
</cp:coreProperties>
</file>

<file path=docProps/custom.xml><?xml version="1.0" encoding="utf-8"?>
<Properties xmlns="http://schemas.openxmlformats.org/officeDocument/2006/custom-properties" xmlns:vt="http://schemas.openxmlformats.org/officeDocument/2006/docPropsVTypes"/>
</file>