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Report</w:t>
      </w:r>
    </w:p>
    <w:p>
      <w:pPr>
        <w:pStyle w:val="Heading1"/>
      </w:pPr>
      <w:r>
        <w:t>Summary</w:t>
      </w:r>
    </w:p>
    <w:p>
      <w:r>
        <w:t xml:space="preserve">Revenue grew </w:t>
      </w:r>
      <w:r>
        <w:rPr>
          <w:b/>
        </w:rPr>
        <w:t>12%</w:t>
      </w:r>
      <w:r>
        <w:t xml:space="preserve"> in </w:t>
      </w:r>
      <w:r>
        <w:rPr>
          <w:i/>
        </w:rPr>
        <w:t>Q3</w:t>
      </w:r>
      <w:r>
        <w:t xml:space="preserve">, see the </w:t>
      </w:r>
      <w:hyperlink r:id="rId9">
        <w:r>
          <w:t>full report</w:t>
        </w:r>
      </w:hyperlink>
      <w:r>
        <w:t xml:space="preserve"> for details.</w:t>
      </w:r>
      <w:r>
        <w:footnoteReference w:id="1"/>
      </w:r>
    </w:p>
    <w:p>
      <w:pPr>
        <w:pStyle w:val="Heading2"/>
      </w:pPr>
      <w:r>
        <w:t>Highlights</w:t>
      </w:r>
    </w:p>
    <w:p>
      <w:pPr>
        <w:pStyle w:val="ListBullet"/>
      </w:pPr>
      <w:r>
        <w:t>New markets opened</w:t>
      </w:r>
    </w:p>
    <w:p>
      <w:pPr>
        <w:pStyle w:val="ListBullet2"/>
      </w:pPr>
      <w:r>
        <w:t>Two regions</w:t>
      </w:r>
    </w:p>
    <w:p>
      <w:pPr>
        <w:pStyle w:val="ListBullet"/>
      </w:pPr>
      <w:r>
        <w:t>Costs reduced</w:t>
      </w:r>
    </w:p>
    <w:p>
      <w:pPr>
        <w:pStyle w:val="ListNumber"/>
      </w:pPr>
      <w:r>
        <w:t>Plan</w:t>
      </w:r>
    </w:p>
    <w:p>
      <w:pPr>
        <w:pStyle w:val="ListNumber"/>
      </w:pPr>
      <w:r>
        <w:t>Execute</w:t>
      </w:r>
    </w:p>
    <w:p>
      <w:pPr>
        <w:pStyle w:val="ListNumber"/>
      </w:pPr>
      <w:r>
        <w:t>Review</w:t>
      </w:r>
    </w:p>
    <w:p>
      <w:pPr>
        <w:pStyle w:val="Heading2"/>
      </w:pPr>
      <w:r>
        <w:t>Numbers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Q2</w:t>
            </w:r>
          </w:p>
        </w:tc>
        <w:tc>
          <w:tcPr>
            <w:tcW w:type="dxa" w:w="2880"/>
          </w:tcPr>
          <w:p>
            <w:r>
              <w:t>Q3</w:t>
            </w:r>
          </w:p>
        </w:tc>
      </w:tr>
      <w:tr>
        <w:tc>
          <w:tcPr>
            <w:tcW w:type="dxa" w:w="2880"/>
          </w:tcPr>
          <w:p>
            <w:r>
              <w:t>North</w:t>
            </w:r>
          </w:p>
        </w:tc>
        <w:tc>
          <w:tcPr>
            <w:tcW w:type="dxa" w:w="2880"/>
          </w:tcPr>
          <w:p>
            <w:r>
              <w:t>1,200</w:t>
            </w:r>
          </w:p>
        </w:tc>
        <w:tc>
          <w:tcPr>
            <w:tcW w:type="dxa" w:w="2880"/>
          </w:tcPr>
          <w:p>
            <w:r>
              <w:t>1,350</w:t>
            </w:r>
          </w:p>
        </w:tc>
      </w:tr>
      <w:tr>
        <w:tc>
          <w:tcPr>
            <w:tcW w:type="dxa" w:w="2880"/>
          </w:tcPr>
          <w:p>
            <w:r>
              <w:t>South | West</w:t>
            </w:r>
          </w:p>
        </w:tc>
        <w:tc>
          <w:tcPr>
            <w:tcW w:type="dxa" w:w="2880"/>
          </w:tcPr>
          <w:p>
            <w:r>
              <w:t>900</w:t>
            </w:r>
          </w:p>
        </w:tc>
        <w:tc>
          <w:tcPr>
            <w:tcW w:type="dxa" w:w="2880"/>
          </w:tcPr>
          <w:p>
            <w:r>
              <w:t>1,010</w:t>
            </w:r>
          </w:p>
        </w:tc>
      </w:tr>
    </w:tbl>
    <w:p>
      <w:pPr>
        <w:pStyle w:val="Heading2"/>
      </w:pPr>
      <w:r>
        <w:t>Code</w:t>
      </w:r>
    </w:p>
    <w:p>
      <w:r>
        <w:rPr>
          <w:rFonts w:ascii="Courier New" w:hAnsi="Courier New"/>
        </w:rPr>
        <w:t>def total(xs):</w:t>
      </w:r>
    </w:p>
    <w:p>
      <w:r>
        <w:rPr>
          <w:rFonts w:ascii="Courier New" w:hAnsi="Courier New"/>
        </w:rPr>
        <w:t xml:space="preserve">    return sum(xs)</w:t>
      </w:r>
    </w:p>
    <w:p>
      <w:pPr>
        <w:pStyle w:val="Quote"/>
      </w:pPr>
      <w:r>
        <w:t>A wise quote about *growth* and_snake_case.</w:t>
      </w:r>
    </w:p>
    <w:p>
      <w:r>
        <w:drawing>
          <wp:inline xmlns:a="http://schemas.openxmlformats.org/drawingml/2006/main" xmlns:pic="http://schemas.openxmlformats.org/drawingml/2006/picture">
            <wp:extent cx="13716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Strike </w:t>
      </w:r>
      <w:r>
        <w:rPr>
          <w:strike/>
        </w:rPr>
        <w:t>this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Unaudited figures.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report" TargetMode="External"/><Relationship Id="rId10" Type="http://schemas.openxmlformats.org/officeDocument/2006/relationships/image" Target="media/image1.png"/><Relationship Id="rIdFn1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subject/>
  <dc:creator>Ana Souza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