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spacing w:before="680" w:after="160" w:line="252" w:lineRule="auto"/>
        <w:jc w:val="center"/>
      </w:pPr>
      <w:r>
        <w:rPr>
          <w:rFonts w:ascii="Noto Sans CJK SC" w:hAnsi="Noto Sans CJK SC" w:eastAsia="Noto Sans CJK SC"/>
          <w:b/>
          <w:i w:val="0"/>
          <w:color w:val="173F5F"/>
          <w:sz w:val="49"/>
          <w:u w:val="none"/>
        </w:rPr>
        <w:t>OptiMax 风险预警与协同处置平台</w:t>
      </w:r>
    </w:p>
    <w:p>
      <w:pPr>
        <w:keepNext w:val="0"/>
        <w:widowControl w:val="0"/>
        <w:spacing w:before="0" w:after="160" w:line="252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3"/>
          <w:u w:val="none"/>
        </w:rPr>
        <w:t>研发交付版需求说明书</w:t>
      </w:r>
    </w:p>
    <w:p>
      <w:pPr>
        <w:keepNext w:val="0"/>
        <w:widowControl w:val="0"/>
        <w:spacing w:before="0" w:after="240" w:line="264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6B7A"/>
          <w:sz w:val="23"/>
          <w:u w:val="none"/>
        </w:rPr>
        <w:t>基于《OptiMax Agent-first PRD v1.0》与《第一版-产品战略思考点》的二次拆解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83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内容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版本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V1.0（研发交付版）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日期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2026-03-20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文档目标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将战略型 PRD 转为可供产品、设计、前后端、算法、测试与实施使用的统一交付基线。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适用对象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产品经理 / UI 设计 / 前后端研发 / 算法 / 测试 / 实施 / 解决方案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产品边界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叠加在 ERP / SRM / 采购 / 计划系统之上的风险 intelligence、业务影响量化与协同处置平台，不替代底层事务系统。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EAF2FB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本文件的交付使用方式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产品可在此基础上继续补充字段级定义、接口明细和项目排期。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UI 可依据“页面布局 + 组件规范 + 低保真示意图”开始高保真设计。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研发可依据“页面规格 + 功能框架 + 服务边界 + 验收项”拆分任务。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测试可依据页面验收与非功能章节建立测试清单。</w:t>
            </w:r>
          </w:p>
        </w:tc>
      </w:tr>
    </w:tbl>
    <w:p>
      <w:r>
        <w:br w:type="page"/>
      </w: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目录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1. 文档说明与交付原则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2. 产品总体架构与产品旅程设计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3. 客户使用旅程（外部风险 / 内部规则 / 角色视角）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4. 产品信息架构与导航体系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5. 页面级需求规格（P01–P11）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6. 功能框架与研发模块映射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7. 视觉 UI 设计规范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8. 非功能、权限与验收要求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1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9. 研发落地建议与待确认事项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4E5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研发拆解建议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先打通风险事件主线：采集 → 归并 → 映射 → 评估 → 预警 → Case。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再补齐管理与运营支撑：报告中心、规则中心、权限与数据治理。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优化中心与全局智能助手建议作为 P1.5 / P2 形态迭代，不阻断主闭环上线。</w:t>
            </w:r>
          </w:p>
        </w:tc>
      </w:tr>
    </w:tbl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1. 文档说明与交付原则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本文件以原始 PRD 中明确的产品定位、行业切入、Agent-first 原则、五层架构和分阶段目标为基础，并将其拆分为更适合研发执行的页面、模块、交互、对象与验收要求。目标不是再写一遍战略，而是把战略意图固化为可以开发、测试、联调和验收的交付说明。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1.1 产品边界与非目标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维度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产品定位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叠加在 ERP / SRM / 电子采购 / 计划系统之上的风险 intelligence、业务影响量化与协同处置决策层平台。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本期范围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围绕风险事件主线构建工作台、事件详情、供应商画像、风险地图、War Room、报告中心、规则中心与管理后台。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非目标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不重建 ERP / SRM 主流程，不做通用 BI 平台，不把 Agent 设计成脱离工作流的聊天入口。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交付原则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工作流优先、结构化结果优先、人机协同、权限可控、审计留痕、先打通 P0 再做差异化 P2。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1.2 阶段范围（建议）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阶段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目标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主要交付</w:t>
            </w:r>
          </w:p>
        </w:tc>
        <w:tc>
          <w:tcPr>
            <w:tcW w:type="dxa" w:w="272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关键指标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MVP / P0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打通外部风险监测与基础闭环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风险工作台、事件详情、基础驾驶舱、基础地图、规则中心、订阅消息、报告初版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重大事件首轮预警 ≤ 90 分钟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P1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打通组织协同与影响解释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供应商画像、War Room、报告中心增强、评分解释、内部规则联动、后台治理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闭环率 &gt; 70%，人工筛选时间下降 &gt; 50%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P2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形成差异化决策能力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优化中心、替代 / 调拨模型、全局智能助手增强、方案审批与执行联动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Top 风险处置时间下降 &gt; 30%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1.3 建议纳入里程碑的核心指标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指标域</w:t>
            </w:r>
          </w:p>
        </w:tc>
        <w:tc>
          <w:tcPr>
            <w:tcW w:type="dxa" w:w="5726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目标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预警时效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重大外部事件到首轮预警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≤ 90 分钟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映射质量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Top 100 高价值供应商 / 关键物料关联准确率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&gt; 85%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运营效率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人工筛选时间下降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&gt; 50%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闭环质量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高风险事件闭环率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&gt; 70%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分析效率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重大事件完成首轮影响分析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≤ 4 小时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EAF2FB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研发落地的五条原则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先把风险事件主线做通，再做广。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所有页面都围绕“发生了什么、影响谁、为什么、下一步做什么”组织。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所有关键动作都要有权限控制和审计记录。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Agent 输出必须落回结构化结果，不以自然语言作为唯一交付物。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地图与大屏是结果层，不能牺牲底层实体映射与流程闭环。</w:t>
            </w:r>
          </w:p>
        </w:tc>
      </w:tr>
    </w:tbl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2. 产品总体架构与产品旅程设计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产品应围绕一条统一旅程展开：监测与采集、事件归并、实体映射、风险评估、预警推送、协同处置、复盘沉淀。页面层只是不同角色在这条旅程上的入口，研发拆分应围绕同一条对象流和状态流。</w:t>
      </w:r>
    </w:p>
    <w:p>
      <w:r>
        <w:drawing>
          <wp:inline xmlns:a="http://schemas.openxmlformats.org/drawingml/2006/main" xmlns:pic="http://schemas.openxmlformats.org/drawingml/2006/picture">
            <wp:extent cx="5903999" cy="191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ey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91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widowControl w:val="0"/>
        <w:spacing w:before="40" w:after="16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6B7A"/>
          <w:sz w:val="17"/>
          <w:u w:val="none"/>
        </w:rPr>
        <w:t>图 1 端到端产品旅程示意（从事件发现到复盘沉淀）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2.1 五层产品架构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02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层次</w:t>
            </w:r>
          </w:p>
        </w:tc>
        <w:tc>
          <w:tcPr>
            <w:tcW w:type="dxa" w:w="277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主要模块</w:t>
            </w:r>
          </w:p>
        </w:tc>
        <w:tc>
          <w:tcPr>
            <w:tcW w:type="dxa" w:w="255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关键输出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研发拆分建议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数据层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外部情报接入、内部系统接入、来源治理、主数据治理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标准化事件流、结构化对象、时间戳与版本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连接器、采集服务、清洗管道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实体标准化、别名归一、供应链图谱、Tier-N / BOM 关系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supplier-site-part-product-order-region 关系网络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图谱服务、映射服务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风险分类、评分卡、影响量化、传播分析、可解释输出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风险等级、影响对象、原因解释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风险引擎、解释器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决策层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Playbook、方案推荐、优化模型、审批门禁、规则联动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推荐动作、替代方案、放弃原因、审批请求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优化服务、规则服务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应用层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驾驶舱、工作台、画像、地图、War Room、报告、后台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页面交互、待办、消息、报告、审计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门户壳层、前端模块、消息中心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2.2 核心对象模型（研发精简版）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对象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关键字段建议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风险事件 Event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event_id、title、type、severity、source_count、confidence、occurred_at、discovered_at、status、owner_id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系统统一入口对象，承接采集、映射、评估、预警与处置。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影响对象 Impact Object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supplier_id、site_id、material_id、order_id、customer_id、criticality、region_id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支撑画像、地图、影响量化和优化模型。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 / War Room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case_id、level、owner、participants、sla_due_at、status、related_event_id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承接跨部门协同、会议、方案与复盘。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任务 Task / Action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task_id、type、owner、due_at、approval_required、status、source_case_id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承接任务执行、跟办、审批与提醒。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推荐方案 Recommendation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plan_id、scenario_id、constraints、cost_delta、service_delta、confidence、status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承接优化中心和建议 Agent 的输出。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订阅规则 Subscription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rule_id、receiver、threshold、digest_type、scope、channel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控制消息精准触达与周报/日报分发。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审计记录 Audit Log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actor、action、object_id、old_value、new_value、timestamp、version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满足内控、审计与模型回放需要。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2.3 状态机与人工检查点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对象</w:t>
            </w:r>
          </w:p>
        </w:tc>
        <w:tc>
          <w:tcPr>
            <w:tcW w:type="dxa" w:w="442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状态流转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人工检查点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风险事件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新入库 → 已归并 → 待映射 → 待研判 → 已预警 → 处理中 → 已解决 / 已归档 / 已驳回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低置信映射、红色预警升级、重大供应商相关事件需人工确认。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Case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草案 → 开启 → 研判中 → 决策中 → 执行中 → 复盘中 → 已关闭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建案、关闭、重大方案采纳需审批。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任务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待领取 → 进行中 → 待审批 → 已完成 / 已阻塞 / 已超时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涉及成本、交期重大影响的动作必须审批。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2.4 人机协同策略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模式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典型能力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原则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自动执行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采集、去重、摘要、初步映射、相似案例召回、消息草稿生成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效率优先，适合高频低风险动作。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半自动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风险等级建议、影响量化解释、Case 草稿、会议纪要初稿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系统先给建议，人确认后提交。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仅建议不可直达执行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红色预警升级、重大替代方案、涉及敏感供应商或重大成本/交付变化的动作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必须保留审批与审计。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2.5 建议的研发模块边界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模块域</w:t>
            </w:r>
          </w:p>
        </w:tc>
        <w:tc>
          <w:tcPr>
            <w:tcW w:type="dxa" w:w="725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主要责任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前端壳层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登录、组织切换、全局搜索、消息中心、全局助手、权限导航控制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风险运营模块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风险工作台、事件详情、审核队列、订阅与批量处理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供应商与网络模块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供应商画像、风险地图、对象明细与网络钻取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协同处置模块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War Room、任务 / SLA、审批、评论、附件、纪要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优化与建议模块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场景构建、方案对比、执行清单、推荐方案历史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报告与运营模块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模板库、日报周报、专题快报、案例库、阅读回执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后台治理模块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规则中心、组织权限、数据源、SLA、审计与主数据治理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后台服务域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采集清洗、实体映射、图谱、风险引擎、消息、报告、优化、审计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3. 客户使用旅程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用户旅程需要分别覆盖“外部风险事件”与“内部规则触发”两种主路径，同时再映射到不同角色的高频入口。研发与设计应确保不同角色虽然入口不同，但看到的是同一条事实链与动作链。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3.1 典型外部风险旅程（关键器件断供 / 港口中断）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阶段</w:t>
            </w:r>
          </w:p>
        </w:tc>
        <w:tc>
          <w:tcPr>
            <w:tcW w:type="dxa" w:w="107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时间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主要角色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关键动作</w:t>
            </w:r>
          </w:p>
        </w:tc>
        <w:tc>
          <w:tcPr>
            <w:tcW w:type="dxa" w:w="266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系统输出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发现风险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T0–T+5m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采集 Agent / 专家运营员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查看新事件、判断是否为重点来源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事件卡片、来源可信度、初始标签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归并与映射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T+5m–T+30m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映射 Agent / 运营员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确认供应商、物料、订单、区域关联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关联对象、映射置信度、异常提示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评估与升级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T+30m–T+90m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风控经理 / 采购 / 计划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判断等级、识别影响范围、是否升级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风险等级、影响清单、预警推送、Case 草稿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协同处置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T+90m–T+1d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 / 计划 / 工厂 / 审批人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确定替代、调拨、通知和任务分工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War Room、任务板、审批单、会议纪要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复盘沉淀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事件关闭后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运营经理 / 专家运营员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评估避免损失、沉淀案例和报告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复盘报告、案例标签、模板更新建议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3.2 典型内部规则旅程（需求 / 采购 / 执行环节）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环节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触发示例</w:t>
            </w:r>
          </w:p>
        </w:tc>
        <w:tc>
          <w:tcPr>
            <w:tcW w:type="dxa" w:w="209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用户动作</w:t>
            </w:r>
          </w:p>
        </w:tc>
        <w:tc>
          <w:tcPr>
            <w:tcW w:type="dxa" w:w="204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平台能力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需求风险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需求变更频繁、取消率异常、需求与执行偏差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确认是否属实、判断是否需要阻断或提醒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规则引擎、阈值比对、任务派发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形成内部风险事件或待办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采购风险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合同到期、价格异常、评分标准不一致、保证金逾期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查看命中规则、发起提醒或审批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规则中心、价格联动、流程提醒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形成采购风险单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执行风险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订单配置异常、质量预警、超框架金额、超期接收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阻断 / 放行、补充原因、追加责任人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审批阻断、待办、质检联动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进入闭环工单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闭环处理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红黄预警后需要跟催与升级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认领、评论、推进、关闭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Case、SLA、跟办 Agent、审计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形成闭环记录与复盘素材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3.3 角色视角旅程矩阵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角色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进入系统的首要目的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最常用页面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典型判断点</w:t>
            </w:r>
          </w:p>
        </w:tc>
        <w:tc>
          <w:tcPr>
            <w:tcW w:type="dxa" w:w="164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交付给 TA 的结果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集团风控平台主管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看全局态势与重大事件升级链路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首页驾驶舱、风险地图、月报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是否升级、是否要求跨区域协同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管理摘要、升级视图、闭环率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供应链运营经理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快速确认影响并推动处置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风险工作台、事件详情、War Room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优先处理谁、先开哪个 Case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影响清单、责任链、任务板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采购经理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知道哪个供应商 / 物料有问题以及替代方案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供应商画像、事件详情、优化中心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是否启动替代、是否需要审批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供应商对比、候选方案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计划经理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判断库存、调拨、排产是否受影响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事件详情、优化中心、风险地图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是否调拨、是否改排产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库存影响、调拨建议、受影响订单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专家运营员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提升预警质量并输出周报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风险工作台、报告中心、案例库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哪些是噪声、哪些应沉淀模板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清洗后的事件池、快报、案例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EEF8F1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E8B57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使用旅程设计原则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2E8B57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任何角色都不能只看到“信息”，还必须看到“下一步动作”。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2E8B57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角色差异主要体现在入口与权限，不应该体现在事实版本不一致。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2E8B57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外部风险与内部规则是两条不同入口，但最终要落到同一个 Case / Task / Audit 闭环。</w:t>
            </w:r>
          </w:p>
        </w:tc>
      </w:tr>
    </w:tbl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4. 产品信息架构与导航体系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信息架构的设计目标是让管理者、运营者、采购与计划角色都能从同一个产品壳层进入系统，但按职责看到不同入口、不同默认视图和不同可执行动作。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4.1 一级导航建议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一级导航</w:t>
            </w:r>
          </w:p>
        </w:tc>
        <w:tc>
          <w:tcPr>
            <w:tcW w:type="dxa" w:w="113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对应页面</w:t>
            </w:r>
          </w:p>
        </w:tc>
        <w:tc>
          <w:tcPr>
            <w:tcW w:type="dxa" w:w="23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目标用户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主要目标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首页驾驶舱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P01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管理层、运营经理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总览态势、进入重点事件与重点区域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风险运营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P02 / P03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专家运营员、风控经理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审核事件、确认映射、升级建案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供应商与网络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P04 / P05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采购、计划、管理层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看画像、看网络、看空间风险分布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协同处置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P06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跨部门处置团队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推进任务、做会商、形成结论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P07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采购、计划、审批人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对比方案、输出执行清单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P08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管理层、运营团队、售前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生成快报、周报、复盘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管理后台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P09 / P10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配置人员、IT、安全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规则、权限、数据源、审计治理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4.2 全局壳层组件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组件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研发要点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组织切换器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支持集团 / 事业部 / 省公司 / 子公司 / 工厂切换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影响所有查询条件与权限边界。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全局搜索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按事件、供应商、物料、订单、Case 搜索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需要统一索引与结果分组。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消息中心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展示实时通知、日报周报、待审批、系统告警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需要已读、回执、去重、订阅逻辑。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全局智能助手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从任意页面呼出做检索、解释、生成与捷径操作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输出必须回落到结构化页面和审计。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帮助与审计入口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提供口径说明、字段说明、日志查看入口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降低学习成本，方便内控排查。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4.3 页面与对象映射关系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页面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主要对象</w:t>
            </w:r>
          </w:p>
        </w:tc>
        <w:tc>
          <w:tcPr>
            <w:tcW w:type="dxa" w:w="243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次级对象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关键跳转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首页驾驶舱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 / 指标 / 区域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审批事项、报告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风险工作台 / 风险地图 / War Room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风险工作台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标签、责任人、订阅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事件详情 / 建案 / 供应商画像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事件详情页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证据、影响对象、Case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供应商画像 / 订单明细 / War Room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供应商画像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站点、物料、订单、Case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风险地图 / 优化中心 / 事件详情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风险地图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区域 / 节点 / 事件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物流路径、对象清单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节点明细 / 事件详情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War Room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任务、评论、纪要、方案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优化中心 / 报告中心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方案 / 场景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参数、执行清单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→ 审批 / 任务 / 报告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5. 页面级需求规格（P01–P11）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以下页面规格已经按“页面定位—目标角色—推荐布局—模块明细—规则与验收”结构展开，可直接作为产品、设计、研发和测试对齐底稿。</w:t>
      </w:r>
    </w:p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P01｜首页驾驶舱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集团 / 事业部 / 省公司层面的风险态势总览与管理入口。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集团风控平台主管、业务负责人、运营经理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顶部摘要区 + 中部地图与趋势区 + 右侧待审批/升级事项 + 底部钻取列表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经营与风险摘要卡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重大事件数、高风险未闭环数、SLA 超期数、影响订单金额、覆盖供应商数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切换组织/时间、点击钻取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事件/流程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风险分布地图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按地区、节点、风险类型展示热力与聚类，支持点位下钻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切换图层、查看节点明细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图谱/地图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风险趋势与类别分布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7/30/90 天趋势、Top 风险类型、Top 区域与 Top 供应商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更改时间窗、联动过滤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分析引擎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升级事项与待审批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当前红色事件、待审批方案、超时任务、重要通知回执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进入 War Room、进入审批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流程/消息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报告与快报入口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日报、周报、专题快报、最新复盘报告预览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预览、下载、发布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报告服务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默认展示当前登录人所在组织；具备集团权限的用户可切换集团 / 事业部 / 省公司视角。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所有卡片都必须支持钻取到列表页，避免“只能看不能做”。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摘要区必须展示数据更新时间、数据覆盖范围和统计口径。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验收：Top 1000 供应商场景下首屏加载不超过 3 秒。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验收：地图、趋势、待审批事项之间支持联动过滤。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验收：卡片指标口径可在提示层查看。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P02｜风险工作台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事件审核、分派、升级与批量处理的主作战入口。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专家运营员、供应链运营经理、风控经理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顶部筛选 + 批量操作条 + 中部事件列表 + 右侧详情抽屉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筛选与视图保存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支持风险类型、等级、组织、区域、对象、状态、责任人、时间、来源等维度筛选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查询、保存视图、重置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搜索服务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事件列表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默认展示严重级别、标题、来源时间、影响对象数、映射置信度、状态、责任人、SLA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排序、勾选、多选批量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批量处理栏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对事件做合并、忽略、分派、升级、加标签、导出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批量执行、填写原因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流程/审计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AI 建议区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给出建议映射对象、建议级别、相似案例与处置动作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采纳 / 拒绝 / 查看依据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Agent/案例库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右侧详情抽屉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快速查看来源、关联对象、影响量化、推荐动作和操作日志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确认、建案、订阅、指派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事件/流程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默认排序：严重级别降序，再按影响值降序，再按来源时间倒序。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映射置信度低于阈值时显示橙色提示，并强制进入人工确认。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忽略、合并、升级等操作必须记录责任人、原因和时间戳。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 100 条以上事件的批量处理且可回放审计。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验收：右侧抽屉不跳页，保证运营员连续作业。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验收：保存视图支持按角色共享。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P03｜事件详情页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单一风险事件的完整研判与行动入口。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运营经理、风控经理、采购经理、计划经理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顶部事件摘要 + 左中证据 / 图谱 / 影响区 + 右侧建议动作与审批 + 底部审计时间线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事件摘要卡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事件标题、类型、风险等级、来源数、更新时间、责任人与 SLA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升级、订阅、共享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证据与来源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原文、AI 摘要、可信度、来源列表、多语种原文与快照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查看原文、标注可信度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采集服务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关联对象图谱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供应商、站点、物料、订单、区域、责任人等关系链路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查看关联链路、修正映射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影响量化面板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影响订单数、金额、交付延迟估计、库存缓冲、受影响客户等级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查看明细、导出清单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分析引擎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推荐动作与审批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系统给出建案、替代、调拨、通知等动作，并展示需要审批的动作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创建 Case、发起审批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流程/优化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活动时间线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记录从发现到解决的操作、评论、审批与通知回执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评论、查看审计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审计服务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事件详情页是跨部门讨论的事实基线，证据、映射、影响、建议必须可回溯。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所有人工修正都要记录版本；系统建议被拒绝时需记录拒绝原因。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红色预警必须能一键升级到 War Room。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验收：支持从摘要跳转到供应商画像、订单清单、Case 页面。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验收：影响量化数据缺失时给出缺失项与依赖接口提示。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验收：对等级、映射、责任人的修改都写入审计。</w:t>
            </w:r>
          </w:p>
        </w:tc>
      </w:tr>
    </w:tbl>
    <w:p>
      <w:pPr>
        <w:keepNext w:val="0"/>
        <w:widowControl w:val="0"/>
        <w:spacing w:before="0" w:after="0" w:line="240" w:lineRule="auto"/>
        <w:jc w:val="left"/>
      </w:pPr>
    </w:p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P04｜供应商画像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围绕供应商 360 信息、历史风险与业务影响的分析页面。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采购经理、风控经理、计划经理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顶部基础档案 + 左侧评分和历史预警 + 右侧网络关系 / 相关订单 + 底部替代对比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基础档案与标签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企业名称、统一编码、区域、合作状态、认证、合规标签、敏感级别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订阅、对比、导出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主数据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评分与趋势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总体风险评分、评分因子拆解、近 12 个月趋势、风险复发记录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查看解释、切换时间窗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风险引擎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预警历史与 Case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历史事件、关闭率、平均处置时长、当前未闭环问题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进入详情或 Case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事件/流程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网络关系与关键对象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Tier-N 关系、关键物料、工厂、订单、共享客户与区域暴露度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查看链路、筛选关键对象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替代与对比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候选替代供应商、资格约束、成本 / 交期 / 风险对比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发起比较、进入优化中心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供应商画像必须兼容“总部看到全局、区域只看到授权范围”的权限隔离。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评分结果必须能下钻到评分因子与证据，不可只给总分。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对外沟通动作（如发问卷、共享报告）需要权限判断。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验收：支持与风险工作台、事件详情页、优化中心双向跳转。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验收：重点供应商画像可直接看到关键物料和关联订单。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验收：敏感字段支持脱敏展示。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P05｜风险地图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用于管理层概览、运营钻取与区域协同的空间化风险视图。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管理层、运营经理、采购经理、工厂负责人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顶部图层控制 + 中部地图主画布 + 右侧节点排行 / 明细 + 底部快照栏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地图主画布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展示国家 / 区域 / 站点 / 港口 / 物流节点的风险热度和聚类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缩放、钻取、切换底图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地图服务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图层控制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风险类型、节点类型、时间窗、严重级别、状态、组织范围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开关图层、保存视图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分析/搜索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节点排行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Top 风险区域、Top 风险站点、Top 风险供应商列表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点击联动、跳转详情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分析引擎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路径与物流影响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展示港口、线路、仓库、在途节点受影响情况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查看路线替代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物流/WMS/TMS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地图快照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将当前视图保存为周报或案例截图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导出快照、纳入报告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报告服务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地图是结果层，不是独立业务层；所有点位必须能落回事件或对象详情。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聚类规则按组织权限、生效时间、风险类型联动，不允许越权显示。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没有地理坐标的数据对象要在列表层有明确兜底。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验收：支持省公司级 / 工厂级过滤视图。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验收：点击任何节点都可查看关联事件与影响对象。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验收：支持按事件和对象两种模式查看地图。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P06｜War Room 协同处置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高风险事件的跨部门会商、方案决策、任务跟办与复盘入口。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运营经理、采购经理、计划经理、工厂负责人、审批人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 Case 摘要 + 左侧任务 / SLA + 中间方案对比 / 纪要 + 右侧时间线 / 评论 / 审批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 摘要区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展示事件级别、负责人、参会人、SLA、当前决策状态和下一步动作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修改负责人、追加参会人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任务板与 SLA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任务按待领取、进行中、待审批、已完成、超时分栏展示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认领、转派、更新状态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任务服务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方案对比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展示推荐方案、备选方案、成本 / 交期变化、约束冲突、放弃原因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采纳、提交审批、退回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会议纪要与附件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记录会议结论、上传证据、沉淀 FAQ 与经验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新增纪要、上传附件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文档服务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时间线与评论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完整展示事件升级、任务变化、审批与通知回执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评论、@协同人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审计/消息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每个高风险 Case 必须至少有 1 个负责人、1 个 SLA 和 1 个下一步动作。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状态流转必须明确谁能推进、谁能关闭、谁能回退。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会议纪要生成后允许人工修订，但必须保留 Agent 初稿与最终稿版本。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验收：支持跨部门评论、附件上传、任务提醒和审批回执。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验收：超时任务自动进入升级路径，并支持总部 / 区域两级升级。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验收：Case 关闭时自动触发复盘与案例归档。</w:t>
            </w:r>
          </w:p>
        </w:tc>
      </w:tr>
    </w:tbl>
    <w:p>
      <w:pPr>
        <w:keepNext w:val="0"/>
        <w:widowControl w:val="0"/>
        <w:spacing w:before="0" w:after="0" w:line="240" w:lineRule="auto"/>
        <w:jc w:val="left"/>
      </w:pPr>
    </w:p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P07｜优化中心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对替代、调拨、库存、加急等策略进行建模、对比和落地的决策页面。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计划经理、采购经理、运营经理、审批人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顶部场景信息 + 左侧参数 / 约束编辑 + 中部方案列表与对比 + 右侧执行清单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场景构建器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选择事件、受影响对象、时间窗、服务水平目标与业务优先级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选择场景、复制场景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图谱/事件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参数与约束编辑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成本、交付、产能、合规、认证、库存、物流时效等参数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修改参数、保存模板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推荐方案列表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系统输出推荐方案、可行方案、不可行方案及放弃原因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查看细节、标星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方案对比面板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比较成本增量、交期改善、受影响订单、风险降低效果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双方案对比、导出截图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分析/优化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执行清单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将方案拆解为执行动作、审批动作和需同步外部系统的清单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发起审批、推送任务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流程/集成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所有方案都要解释：为什么推荐、为什么淘汰、依赖哪些输入数据。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涉及重大成本、交付承诺或敏感供应商的方案必须走审批。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优化中心输出不是终点，必须能落到任务与审批。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验收：支持复制场景和保存模板。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验收：方案对比至少提供成本、交期、订单影响三个核心维度。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验收：历史运行结果可追溯，便于复盘与模型改进。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P08｜报告中心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面向管理层、运营团队和售前复用的报告生产与归档页面。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管理层、运营团队、售前、客户成功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左侧模板与报告目录 + 中部草稿编辑 / 数据块配置 + 右侧发布与归档信息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模板库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日报、周报、月报、专题快报、复盘报告模板，支持组织级复用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选择模板、复制模板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数据块配置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指标卡、图表、事件摘要、地图快照、Case 结论等可组合数据块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拖拽排序、显隐设置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分析/报告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草稿编辑器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 AI 初稿、手工修订、批注、导出到 Word / PDF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编辑、重置、版本另存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Agent/文档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发布与订阅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选择接收人、发送频率、发送渠道和权限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发布、预约、撤回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消息中心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报告归档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展示历史报告、阅读记录、关联事件与 Case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检索、回看、复制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审计/文档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对外 / 对管理层报告必须保留发布版本，发布后不可覆盖。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模板支持组织级权限控制，集团模板可下发到省公司。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报告里的所有数据块都要带生成时间与数据来源。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验收：标准日报在 5 分钟内可生成并允许人工修订。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验收：支持一键插入地图快照、重点 Case、未闭环清单。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验收：发布日志与阅读回执可追踪。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P09｜规则中心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内部风险规则与流程联动的配置页面。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风控配置人员、IT 管理员、产品运营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顶部规则分类 + 中部规则列表 + 右侧条件编辑 / 测试结果 + 底部版本与发布记录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规则列表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按需求、采购、执行、质量、合同、审批等分类展示规则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筛选、复制、启停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条件编辑器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可配置阈值、条件组合、触发范围、阻断 / 提醒级别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新增、编辑、删除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触发动作配置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配置消息、待办、审批、建案、阻断流程等动作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绑定流程动作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流程/消息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仿真测试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用测试数据验证规则是否命中、误报情况与执行动作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测试、保存结果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测试服务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版本与发布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支持版本发布、灰度、生效时间与回滚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发布、回滚、查看差异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配置管理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规则必须具备生效范围、负责人、版本号和变更说明。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高等级阻断规则需审批后发布。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规则结果必须与工单、审批、审计联动。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验收：支持按组织维度发布规则。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验收：支持规则灰度与回滚。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验收：规则命中日志可追溯。</w:t>
            </w:r>
          </w:p>
        </w:tc>
      </w:tr>
    </w:tbl>
    <w:p>
      <w:pPr>
        <w:keepNext w:val="0"/>
        <w:widowControl w:val="0"/>
        <w:spacing w:before="0" w:after="0" w:line="240" w:lineRule="auto"/>
        <w:jc w:val="left"/>
      </w:pPr>
    </w:p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P10｜系统管理与权限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用于组织、权限、数据源、订阅、SLA 与审计治理的后台页面。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IT 管理员、平台管理员、安全与审计人员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左侧后台菜单 + 中部配置页签 + 右侧操作日志 / 帮助抽屉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组织与角色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集团 / 事业部 / 省公司 / 子公司 / 工厂多层级组织模型与角色配置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新增角色、授权、继承模板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权限服务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数据源配置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外部采集源、内部系统接口、来源可信度、抓取频率、断流告警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启停、调频、校验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连接器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订阅与通知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集合订阅、阈值订阅、日报 / 周报策略、群组与个人接收范围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配置订阅、测试发送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消息中心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SLA 与升级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配置事件、Case、任务的超时策略与升级路径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设置阈值、模拟升级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流程服务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审计与主数据治理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展示谁查看、谁修改、谁审批、数据版本与脱敏策略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查询、导出审计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审计/主数据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后台配置必须支持导出和审计，满足国央企审计要求。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组织与权限优先级高于页面可见性，不能通过 URL 绕过。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数据源断流和权限异常必须有系统级告警。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验收：支持单点登录 / 企业身份源映射。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验收：支持审计查询与导出。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验收：支持按组织模板复制配置。</w:t>
            </w:r>
          </w:p>
        </w:tc>
      </w:tr>
    </w:tbl>
    <w:p>
      <w:pPr>
        <w:keepNext/>
        <w:widowControl w:val="0"/>
        <w:spacing w:before="100" w:after="6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3"/>
          <w:u w:val="none"/>
        </w:rPr>
        <w:t>P11｜全局智能助手（侧边抽屉 / Command Bar）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4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42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F4E79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页面定位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作为全局入口提供检索、解释、生成和结构化操作，不替代表单与流程。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目标角色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全角色，按权限提供不同能力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推荐布局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右侧抽屉或全局快捷键呼出；上部自然语言输入，中部结构化结果卡片，下部推荐操作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</w:t>
            </w:r>
          </w:p>
        </w:tc>
        <w:tc>
          <w:tcPr>
            <w:tcW w:type="dxa" w:w="345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153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主要操作</w:t>
            </w:r>
          </w:p>
        </w:tc>
        <w:tc>
          <w:tcPr>
            <w:tcW w:type="dxa" w:w="62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192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依赖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自然语言检索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查询最近事件、供应商风险、报告和 Case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提问、查看来源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搜索/知识库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解释卡片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解释为什么判高风险、为什么推荐某方案、哪些数据参与判断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查看依据、展开图谱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风险引擎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操作捷径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生成简报、发起 Case、创建任务、通知责任人、打开特定页面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确认执行、撤回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流程/报告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分析辅助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对单个事件做 what-if 分析、替代建议、影响范围解释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调用模型、保存结果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优化/图谱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历史与审计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记录会话上下文、调用工具、生成结果与人工确认轨迹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回看、复制结论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审计服务</w:t>
            </w:r>
          </w:p>
        </w:tc>
      </w:tr>
    </w:tbl>
    <w:p>
      <w:pPr>
        <w:keepNext w:val="0"/>
        <w:widowControl w:val="0"/>
        <w:spacing w:before="0" w:after="4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页面规则与验收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所有助手输出都必须落回结构化结果或可执行动作，并写入审计。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敏感动作必须二次确认，且遵循页面权限与审批门禁。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助手提供建议，但不绕开风险工作台、War Room 和审批流程。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验收：支持从任意页面呼出。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验收：支持返回引用来源和数据时间戳。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1F4E79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验收：支持把结论写入报告、Case 或评论。</w:t>
            </w:r>
          </w:p>
        </w:tc>
      </w:tr>
    </w:tbl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6. 功能框架与研发模块映射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面向研发落地时，建议从“页面”反向映射到“服务域”和“集成对象”，确保页面功能不是孤立开发，而是依托稳定的数据对象、状态流和权限体系实现。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6.1 功能框架总表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模块域</w:t>
            </w:r>
          </w:p>
        </w:tc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子模块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页面 / 入口</w:t>
            </w:r>
          </w:p>
        </w:tc>
        <w:tc>
          <w:tcPr>
            <w:tcW w:type="dxa" w:w="6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优先级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研发说明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平台壳层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登录 / SSO / 组织切换 / 全局搜索 / 消息中心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全局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决定统一身份、权限与全局检索体验。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风险感知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外部采集、内部规则、事件归并、来源治理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P01 / P02 / P03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是风险事件主线的起点。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实体与图谱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供应商、站点、物料、订单、区域、别名归一、Tier-N / BOM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P03 / P04 / P05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支撑映射准确性与影响计算。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研判评估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评分卡、影响量化、相似案例、解释服务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P03 / P04 / P01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先可解释，后复杂化。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协同处置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Case、任务、SLA、评论、会议纪要、审批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P06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形成组织动作与闭环。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优化决策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场景构建、方案推荐、方案对比、执行清单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P07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P2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与运筹模型和业务约束深度耦合。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运营输出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报告模板、日报周报、案例库、阅读回执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P08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服务管理层与客户成功运营。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管理治理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规则中心、权限中心、数据源管理、审计治理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P09 / P10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是国央企项目上线门槛。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智能助手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检索、解释、生成、快捷操作、会话审计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</w:t>
            </w:r>
          </w:p>
        </w:tc>
        <w:tc>
          <w:tcPr>
            <w:tcW w:type="dxa" w:w="198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不替代表单与流程，只做加速器。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6.2 页面到后端服务的建议映射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9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页面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前端模块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核心服务域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主要集成对象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P01 首页驾驶舱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KPI 卡片 / 趋势图 / 地图 / 审批列表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事件服务、分析服务、报告服务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图谱、流程、消息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P02 风险工作台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筛选区 / 列表 / 批量操作 / 详情抽屉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事件服务、搜索服务、审计服务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采集、图谱、流程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P03 事件详情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证据区 / 图谱区 / 影响区 / 时间线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事件服务、图谱服务、解释服务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订单、库存、报告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P04 供应商画像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档案 / 评分 / 历史预警 / 网络关系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主数据服务、评分服务、图谱服务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SRM/ERP/采购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P05 风险地图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图层控制 / 地图画布 / 节点排行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地图服务、分析服务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GIS、物流、仓储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P06 War Room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 头部 / 任务板 / 纪要 / 评论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 服务、任务服务、消息服务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OA/工单/IM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P07 优化中心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场景区 / 参数区 / 方案列表 / 执行清单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优化服务、场景服务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APS/MES/WMS/TMS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P08 报告中心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模板库 / 编辑器 / 发布侧栏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报告服务、文档服务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消息、案例库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P09 规则中心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规则列表 / 条件编辑器 / 测试区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规则服务、配置服务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内部交易 / 订单 / 合同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P10 系统管理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组织角色 / 数据源 / 审计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权限服务、连接器服务、审计服务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SSO、主数据、监控</w:t>
            </w:r>
          </w:p>
        </w:tc>
      </w:tr>
      <w:tr>
        <w:trPr>
          <w:cantSplit/>
        </w:trP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P11 智能助手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输入区 / 结果卡 / 推荐操作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搜索服务、Agent 编排服务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知识库、流程服务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6.3 关键集成对象与字段建议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集成对象</w:t>
            </w:r>
          </w:p>
        </w:tc>
        <w:tc>
          <w:tcPr>
            <w:tcW w:type="dxa" w:w="408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关键字段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用途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ERP / SRM / 采购平台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supplier_id、contract_id、po_id、price、score、payment_status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供应商画像、合同规则、价格联动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BOM / APS / MES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material_id、bom_id、site_id、alt_material、capacity、schedule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影响传播、替代搜索、排产判断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库存 / WMS / TMS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warehouse_id、inventory_qty、available_qty、route_id、eta、freight_cost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调拨与物流改道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OA / 工单 / IM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user_id、team_id、todo_id、approval_id、channel_id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SLA、协同与升级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外部情报源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source_id、source_type、published_at、language、credibility、raw_url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风险发现与证据留存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6.4 建议的接口与事件流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采集侧建议以事件流或批量 ETL 双模式接入：外部情报可事件驱动，内部业务数据可日切或准实时同步。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统一事件总线中至少包含：事件创建、事件更新、Case 创建、任务状态变化、审批状态变化、报告发布、规则命中。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消息中心建议订阅统一通知事件，不直接耦合单页面逻辑。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所有关键服务要支持对象级审计日志输出，便于监管与复盘。</w:t>
      </w: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7. 视觉 UI 设计规范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本产品是面向国央企与复杂制造客户的运营型平台，视觉风格应强调专业、稳重、信息层级清晰，避免炫技式设计。风格上建议采用“深蓝主色 + 中性背景 + 风险色强调”的体系。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7.1 设计原则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稳重可信：强调业务可信度与审计感，避免过度娱乐化设计。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操作优先：所有高频页面应减少跳转，优先抽屉、侧栏和就地操作。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风险可辨：颜色、标签、状态和时间必须清晰区分风险等级与 SLA 状态。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信息可钻取：管理层看总览，运营层看明细，二者通过相同指标口径联动。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组件复用：地图卡、指标卡、事件列表、时间线、批量操作条等应形成统一组件库。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7.2 色彩与状态规范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色彩角色</w:t>
            </w:r>
          </w:p>
        </w:tc>
        <w:tc>
          <w:tcPr>
            <w:tcW w:type="dxa" w:w="130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色值</w:t>
            </w:r>
          </w:p>
        </w:tc>
        <w:tc>
          <w:tcPr>
            <w:tcW w:type="dxa" w:w="2268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推荐用途</w:t>
            </w:r>
          </w:p>
        </w:tc>
        <w:tc>
          <w:tcPr>
            <w:tcW w:type="dxa" w:w="357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品牌主色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#173F5F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一级导航 / 关键标题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稳重、专业，适合作为平台主色。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2F6FED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辅助蓝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#2F6FED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链接 / 信息提示 / 可点击状态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用于信息型状态和交互焦点。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2E8B57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成功绿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#2E8B57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已解决 / 已完成 / 正向反馈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用于闭环成功、状态完成。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D98A00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警告橙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#D98A00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中风险 / 需关注 / 待确认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用于人工确认与中等级风险。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D64545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危险红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#D64545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高风险 / 超时 / 升级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用于重大风险和严重 SLA 预警。</w:t>
            </w:r>
          </w:p>
        </w:tc>
      </w:tr>
      <w:tr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5F8FC / D9E2F3"/>
            <w:vAlign w:val="center"/>
          </w:tcPr>
          <w:p>
            <w:pPr>
              <w:keepNext w:val="0"/>
              <w:widowControl w:val="0"/>
              <w:spacing w:before="0"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F2933"/>
                <w:sz w:val="18"/>
                <w:u w:val="none"/>
              </w:rPr>
              <w:t>中性灰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#F5F8FC / #D9E2F3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背景 / 分割线 / 二级容器</w:t>
            </w:r>
          </w:p>
        </w:tc>
        <w:tc>
          <w:tcPr>
            <w:tcW w:type="dxa" w:w="248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用于降低视觉噪音，突出内容层级。</w:t>
            </w:r>
          </w:p>
        </w:tc>
      </w:tr>
    </w:tbl>
    <w:p/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7.3 排版与栅格规范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项</w:t>
            </w:r>
          </w:p>
        </w:tc>
        <w:tc>
          <w:tcPr>
            <w:tcW w:type="dxa" w:w="7370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建议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设计基准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Desktop-first，建议以 1440 px 宽为主设计基准；核心工作页兼容 1280 px。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壳层布局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左侧导航 220–240 px；顶部栏 64–72 px；内容区左右留白建议 ≥ 24 px。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内容栅格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建议 12 栅格，常用卡片内边距 16 / 20 / 24 px。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卡片样式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圆角 8–12 px；轻阴影或细边框；标题与操作区分层明显。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表格设计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表头高度 40–44 px；行高 44–52 px；固定头部 + 滚动主体；支持列配置。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抽屉与侧栏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高频明细采用右侧抽屉；复杂编辑用全页；审批动作放在固定页脚或右上。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7.4 字体与层级规范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层级</w:t>
            </w:r>
          </w:p>
        </w:tc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字号建议</w:t>
            </w:r>
          </w:p>
        </w:tc>
        <w:tc>
          <w:tcPr>
            <w:tcW w:type="dxa" w:w="5896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使用场景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页面主标题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24 px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页面标题、首页大标题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区域标题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16–18 px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卡片标题、模块标题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二级标题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14–16 px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表格区标题、抽屉分组标题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正文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12–14 px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正文、表格、表单字段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辅助说明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11–12 px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8"/>
                <w:u w:val="none"/>
              </w:rPr>
              <w:t>口径说明、时间戳、次要标签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7.5 关键组件模式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组件</w:t>
            </w:r>
          </w:p>
        </w:tc>
        <w:tc>
          <w:tcPr>
            <w:tcW w:type="dxa" w:w="30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说明</w:t>
            </w:r>
          </w:p>
        </w:tc>
        <w:tc>
          <w:tcPr>
            <w:tcW w:type="dxa" w:w="453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设计要求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KPI 指标卡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用于首页驾驶舱和画像页概览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数值突出、支持同比 / 环比、小图趋势、可下钻。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风险标签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用于事件、供应商、Case 的等级表达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统一红橙黄蓝绿标签体系，文案与图标稳定。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事件列表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用于工作台和详情关联列表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支持批量操作、列配置、固定头、行内快捷操作。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时间线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用于详情页和 War Room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显示操作者、时间、动作、前后状态和评论。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地图信息窗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用于风险地图点位说明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展示节点名称、风险摘要、最近事件数和跳转按钮。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审批区 / 固定操作栏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用于优化中心、War Room 和详情页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固定位置、主次按钮清晰、敏感动作二次确认。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7.6 状态页规范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47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状态</w:t>
            </w:r>
          </w:p>
        </w:tc>
        <w:tc>
          <w:tcPr>
            <w:tcW w:type="dxa" w:w="476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界面要求</w:t>
            </w:r>
          </w:p>
        </w:tc>
        <w:tc>
          <w:tcPr>
            <w:tcW w:type="dxa" w:w="283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备注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加载中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骨架屏 + 关键统计占位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避免页面闪烁；地图和表格都要有 skeleton。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空状态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给出原因、示例筛选条件、推荐下一步操作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不能只写“暂无数据”。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权限不足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明确说明不可见范围与申请入口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适合国央企权限场景。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数据过期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在页面显著位置提示最近更新时间与影响范围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防止决策误判。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错误态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展示友好错误文案 + 重试按钮 + 日志编号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便于支持团队排查。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7.7 低保真页面示意</w:t>
      </w:r>
    </w:p>
    <w:p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wirefr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widowControl w:val="0"/>
        <w:spacing w:before="40" w:after="16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6B7A"/>
          <w:sz w:val="17"/>
          <w:u w:val="none"/>
        </w:rPr>
        <w:t>图 2 首页驾驶舱低保真布局示意</w:t>
      </w:r>
    </w:p>
    <w:p>
      <w:r>
        <w:drawing>
          <wp:inline xmlns:a="http://schemas.openxmlformats.org/drawingml/2006/main" xmlns:pic="http://schemas.openxmlformats.org/drawingml/2006/picture">
            <wp:extent cx="5832000" cy="364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widowControl w:val="0"/>
        <w:spacing w:before="40" w:after="16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6B7A"/>
          <w:sz w:val="17"/>
          <w:u w:val="none"/>
        </w:rPr>
        <w:t>图 3 风险工作台低保真布局示意</w:t>
      </w:r>
    </w:p>
    <w:p>
      <w:r>
        <w:drawing>
          <wp:inline xmlns:a="http://schemas.openxmlformats.org/drawingml/2006/main" xmlns:pic="http://schemas.openxmlformats.org/drawingml/2006/picture">
            <wp:extent cx="5832000" cy="364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  <w:keepNext w:val="0"/>
        <w:widowControl w:val="0"/>
        <w:spacing w:before="40" w:after="160" w:line="240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5F6B7A"/>
          <w:sz w:val="17"/>
          <w:u w:val="none"/>
        </w:rPr>
        <w:t>图 4 War Room 协同处置低保真布局示意</w:t>
      </w: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8. 非功能、权限与验收要求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对于国央企和复杂制造客户，非功能要求不是补充项，而是能否进入正式项目的门槛。建议在研发阶段同步建立权限、审计、性能和部署标准。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8.1 非功能要求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类别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要求</w:t>
            </w:r>
          </w:p>
        </w:tc>
        <w:tc>
          <w:tcPr>
            <w:tcW w:type="dxa" w:w="3515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建议口径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可用性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关键工作台可用性 ≥ 99.5%，核心任务有降级策略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首页、工作台、详情页、War Room 为优先保障对象。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时效性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重大事件首轮预警 ≤ 90 分钟，内部规则触发分钟级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告警链路应监控源头、映射、推送三个环节。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性能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Top 1000 供应商、Top 100 关键物料场景下秒级查询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工作台、画像、地图需重点压测。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可扩展性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支持新增风险类型、行业模板、规则模板与优化模板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模块化服务 + 配置化规则是关键。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可解释性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评分、影响计算、优化建议均需输出可解释因子与依据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 起纳入验收口径。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安全与合规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支持本地部署、专有云或混合部署；敏感字段脱敏；全链路审计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适配国央企 / 信创 / 内控要求。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8.2 角色权限建议矩阵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70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角色</w:t>
            </w:r>
          </w:p>
        </w:tc>
        <w:tc>
          <w:tcPr>
            <w:tcW w:type="dxa" w:w="124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查看全局态势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审核 / 分派事件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建案 / 关闭 Case</w:t>
            </w:r>
          </w:p>
        </w:tc>
        <w:tc>
          <w:tcPr>
            <w:tcW w:type="dxa" w:w="13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采纳优化方案</w:t>
            </w:r>
          </w:p>
        </w:tc>
        <w:tc>
          <w:tcPr>
            <w:tcW w:type="dxa" w:w="175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配置规则 / 权限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集团风控平台主管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供应链运营经理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采购经理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计划经理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专家运营员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</w:tr>
      <w:tr>
        <w:trPr>
          <w:cantSplit/>
        </w:trPr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IT / 平台管理员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△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—</w:t>
            </w:r>
          </w:p>
        </w:tc>
        <w:tc>
          <w:tcPr>
            <w:tcW w:type="dxa" w:w="165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✓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8.3 MVP 验收清单（建议）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1814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交付项</w:t>
            </w:r>
          </w:p>
        </w:tc>
        <w:tc>
          <w:tcPr>
            <w:tcW w:type="dxa" w:w="691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验收口径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事件采集归并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同一重大事件从来源发现到进入风险工作台不超过 30 分钟，首轮人工或 Agent 审核后不超过 90 分钟完成预警。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实体映射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Top 100 高价值供应商 / 关键物料关联准确率 &gt; 85%；低置信样本全部进入人工审核队列。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消息订阅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高优先事件能精准触达责任人，支持实时 / 日报 / 周报三种模式。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规则引擎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覆盖需求、采购、执行三环节首批 20+ 场景，规则有版本与生效范围。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Case 闭环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高风险事件可生成责任人、SLA、状态流转与审计记录；记录可导出复盘。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报告输出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日报 / 周报模板在 5 分钟内生成，支持一键发布与人工修订。</w:t>
            </w:r>
          </w:p>
        </w:tc>
      </w:tr>
      <w:tr>
        <w:trPr>
          <w:cantSplit/>
        </w:trPr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后台治理</w:t>
            </w:r>
          </w:p>
        </w:tc>
        <w:tc>
          <w:tcPr>
            <w:tcW w:type="dxa" w:w="4961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具备组织角色、数据源配置、审计查询和导出能力。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8.4 测试建议（供测试团队参考）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功能测试按页面主流程 + 权限差异 + 边界条件三类组织。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接口测试重点关注事件状态流转、映射回写、Case / Task / 审计一致性。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性能测试重点覆盖：工作台筛选、首页图表联动、画像页网络查询、地图点位渲染。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安全测试重点覆盖：越权访问、导出审计、敏感字段脱敏、审批动作二次确认。</w:t>
      </w:r>
    </w:p>
    <w:p>
      <w:pPr>
        <w:keepNext/>
        <w:widowControl w:val="0"/>
        <w:spacing w:before="200" w:after="12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73F5F"/>
          <w:sz w:val="32"/>
          <w:u w:val="none"/>
        </w:rPr>
        <w:t>9. 研发落地建议与待确认事项</w:t>
      </w:r>
    </w:p>
    <w:p>
      <w:pPr>
        <w:keepNext w:val="0"/>
        <w:widowControl w:val="0"/>
        <w:spacing w:before="0" w:after="120" w:line="300" w:lineRule="auto"/>
        <w:jc w:val="left"/>
      </w:pPr>
      <w:r>
        <w:rPr>
          <w:rFonts w:ascii="Noto Sans CJK SC" w:hAnsi="Noto Sans CJK SC" w:eastAsia="Noto Sans CJK SC"/>
          <w:b w:val="0"/>
          <w:i w:val="0"/>
          <w:color w:val="1F2933"/>
          <w:sz w:val="21"/>
          <w:u w:val="none"/>
        </w:rPr>
        <w:t>为了降低首期风险，建议按“主闭环优先、差异化能力后置”的顺序落地。以下排期不是项目计划，而是研发拆解建议。</w:t>
      </w: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9.1 建议的实施顺序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158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阶段</w:t>
            </w:r>
          </w:p>
        </w:tc>
        <w:tc>
          <w:tcPr>
            <w:tcW w:type="dxa" w:w="340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建议重点</w:t>
            </w:r>
          </w:p>
        </w:tc>
        <w:tc>
          <w:tcPr>
            <w:tcW w:type="dxa" w:w="3969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173F5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  <w:u w:val="none"/>
              </w:rPr>
              <w:t>主要产出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Sprint 0 / 方案准备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梳理对象模型、接口清单、组织权限、灯塔客户数据差距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数据差距清单、接口清单、对象定义、原型评审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Sprint 1 / 主闭环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采集归并、风险工作台、事件详情、基础消息与审计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可操作的风险主线闭环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Sprint 2 / 可视化与画像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首页驾驶舱、供应商画像、风险地图、报告初版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管理层可用视图和运营输出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Sprint 3 / 协同闭环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War Room、任务板、SLA、评论、审批、案例沉淀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F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跨部门会商闭环</w:t>
            </w:r>
          </w:p>
        </w:tc>
      </w:tr>
      <w:tr>
        <w:trPr>
          <w:cantSplit/>
        </w:trPr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Sprint 4 / 差异化增强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评分解释、优化中心、全局助手增强</w:t>
            </w:r>
          </w:p>
        </w:tc>
        <w:tc>
          <w:tcPr>
            <w:tcW w:type="dxa" w:w="330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BFDFF"/>
            <w:vAlign w:val="center"/>
          </w:tcPr>
          <w:p>
            <w:pPr>
              <w:keepNext w:val="0"/>
              <w:widowControl w:val="0"/>
              <w:spacing w:before="0" w:after="0" w:line="276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7"/>
                <w:u w:val="none"/>
              </w:rPr>
              <w:t>P1 / P2 能力演进底座</w:t>
            </w:r>
          </w:p>
        </w:tc>
      </w:tr>
    </w:tbl>
    <w:p>
      <w:pPr>
        <w:keepNext w:val="0"/>
        <w:widowControl w:val="0"/>
        <w:spacing w:before="0" w:after="80" w:line="240" w:lineRule="auto"/>
        <w:jc w:val="left"/>
      </w:pPr>
    </w:p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9.2 立项前建议明确的事项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2"/>
      </w:tblGrid>
      <w:tr>
        <w:trPr>
          <w:cantSplit/>
        </w:trPr>
        <w:tc>
          <w:tcPr>
            <w:tcW w:type="dxa" w:w="9496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left w:val="single" w:sz="6" w:space="0" w:color="D9E2F3"/>
              <w:top w:val="single" w:sz="6" w:space="0" w:color="D9E2F3"/>
              <w:right w:val="single" w:sz="6" w:space="0" w:color="D9E2F3"/>
              <w:bottom w:val="single" w:sz="6" w:space="0" w:color="D9E2F3"/>
            </w:tcBorders>
            <w:shd w:fill="FFF4E5"/>
          </w:tcPr>
          <w:p>
            <w:pPr>
              <w:keepNext w:val="0"/>
              <w:widowControl w:val="0"/>
              <w:spacing w:before="0" w:after="60" w:line="269" w:lineRule="auto"/>
              <w:jc w:val="left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21"/>
                <w:u w:val="none"/>
              </w:rPr>
              <w:t xml:space="preserve">■ </w:t>
            </w:r>
            <w:r>
              <w:rPr>
                <w:rFonts w:ascii="Noto Sans CJK SC" w:hAnsi="Noto Sans CJK SC" w:eastAsia="Noto Sans CJK SC"/>
                <w:b/>
                <w:i w:val="0"/>
                <w:color w:val="173F5F"/>
                <w:sz w:val="21"/>
                <w:u w:val="none"/>
              </w:rPr>
              <w:t>建议在正式研发前补齐的四类确认项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灯塔客户优先级：先明确运营商、制造业还是港口作为首个纵深行业。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主数据可得性：供应商、物料、订单、库存、组织权限数据能拿到什么粒度。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外部情报源授权：哪些数据可合法接入，哪些需要第三方订阅或客户授权。</w:t>
            </w:r>
          </w:p>
          <w:p>
            <w:pPr>
              <w:spacing w:before="0" w:after="20" w:line="269" w:lineRule="auto"/>
              <w:ind w:left="113"/>
            </w:pPr>
            <w:r>
              <w:rPr>
                <w:rFonts w:ascii="Noto Sans CJK SC" w:hAnsi="Noto Sans CJK SC" w:eastAsia="Noto Sans CJK SC"/>
                <w:b/>
                <w:i w:val="0"/>
                <w:color w:val="C67900"/>
                <w:sz w:val="19"/>
                <w:u w:val="none"/>
              </w:rPr>
              <w:t xml:space="preserve">• </w:t>
            </w:r>
            <w:r>
              <w:rPr>
                <w:rFonts w:ascii="Noto Sans CJK SC" w:hAnsi="Noto Sans CJK SC" w:eastAsia="Noto Sans CJK SC"/>
                <w:b w:val="0"/>
                <w:i w:val="0"/>
                <w:color w:val="1F2933"/>
                <w:sz w:val="19"/>
                <w:u w:val="none"/>
              </w:rPr>
              <w:t>第一批优化模板：优先做替代、调拨还是库存缓冲，需和客户实际 ROI 场景绑定。</w:t>
            </w:r>
          </w:p>
        </w:tc>
      </w:tr>
    </w:tbl>
    <w:p>
      <w:pPr>
        <w:keepNext/>
        <w:widowControl w:val="0"/>
        <w:spacing w:before="160" w:after="80" w:line="240" w:lineRule="auto"/>
        <w:jc w:val="left"/>
      </w:pPr>
      <w:r>
        <w:rPr>
          <w:rFonts w:ascii="Noto Sans CJK SC" w:hAnsi="Noto Sans CJK SC" w:eastAsia="Noto Sans CJK SC"/>
          <w:b/>
          <w:i w:val="0"/>
          <w:color w:val="1F4E79"/>
          <w:sz w:val="26"/>
          <w:u w:val="none"/>
        </w:rPr>
        <w:t>9.3 本文档可继续深化的方向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在页面规格基础上补充字段级定义、校验规则与接口字段映射表。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基于低保真示意图输出高保真 Figma 页面与交互稿。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按服务域进一步拆成接口文档、事件总线定义、缓存策略和权限点清单。</w:t>
      </w:r>
    </w:p>
    <w:p>
      <w:pPr>
        <w:spacing w:before="0" w:after="40" w:line="283" w:lineRule="auto"/>
        <w:ind w:left="227"/>
      </w:pPr>
      <w:r>
        <w:rPr>
          <w:rFonts w:ascii="Noto Sans CJK SC" w:hAnsi="Noto Sans CJK SC" w:eastAsia="Noto Sans CJK SC"/>
          <w:b/>
          <w:i w:val="0"/>
          <w:color w:val="1F4E79"/>
          <w:sz w:val="20"/>
          <w:u w:val="none"/>
        </w:rPr>
        <w:t xml:space="preserve">• </w:t>
      </w:r>
      <w:r>
        <w:rPr>
          <w:rFonts w:ascii="Noto Sans CJK SC" w:hAnsi="Noto Sans CJK SC" w:eastAsia="Noto Sans CJK SC"/>
          <w:b w:val="0"/>
          <w:i w:val="0"/>
          <w:color w:val="1F2933"/>
          <w:sz w:val="20"/>
          <w:u w:val="none"/>
        </w:rPr>
        <w:t>结合灯塔客户真实数据，把评分卡和优化模板从示意版升级为可配置方案。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92" w:bottom="822" w:left="99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 w:val="0"/>
      <w:spacing w:before="0" w:after="0" w:line="240" w:lineRule="auto"/>
      <w:jc w:val="center"/>
    </w:pPr>
    <w:r>
      <w:rPr>
        <w:rFonts w:ascii="Noto Sans CJK SC" w:hAnsi="Noto Sans CJK SC" w:eastAsia="Noto Sans CJK SC"/>
        <w:b w:val="0"/>
        <w:i w:val="0"/>
        <w:color w:val="5F6B7A"/>
        <w:sz w:val="17"/>
        <w:u w:val="none"/>
      </w:rPr>
      <w:t>内部评审稿｜2026-03-20｜产品 / 设计 / 研发 / 测试 / 实施统一基线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widowControl w:val="0"/>
      <w:spacing w:before="0" w:after="0" w:line="240" w:lineRule="auto"/>
      <w:jc w:val="right"/>
    </w:pPr>
    <w:r>
      <w:rPr>
        <w:rFonts w:ascii="Noto Sans CJK SC" w:hAnsi="Noto Sans CJK SC" w:eastAsia="Noto Sans CJK SC"/>
        <w:b w:val="0"/>
        <w:i w:val="0"/>
        <w:color w:val="5F6B7A"/>
        <w:sz w:val="17"/>
        <w:u w:val="none"/>
      </w:rPr>
      <w:t>OptiMax 风险预警与协同处置平台｜研发交付版需求说明书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F5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F5F"/>
      <w:spacing w:val="5"/>
      <w:kern w:val="28"/>
      <w:sz w:val="49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F6B7A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rPr>
      <w:rFonts w:ascii="Noto Sans CJK SC" w:hAnsi="Noto Sans CJK SC" w:eastAsia="Noto Sans CJK SC"/>
      <w:color w:val="5F6B7A"/>
      <w:sz w:val="17"/>
    </w:rPr>
  </w:style>
  <w:style w:type="paragraph" w:customStyle="1" w:styleId="MetaCN">
    <w:name w:val="MetaCN"/>
    <w:rPr>
      <w:rFonts w:ascii="Noto Sans CJK SC" w:hAnsi="Noto Sans CJK SC" w:eastAsia="Noto Sans CJK SC"/>
      <w:color w:val="5F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OptiMax 风险预警与协同处置平台｜研发交付版需求说明书</dc:title>
  <dc:subject>基于 PRD 和战略思考稿的研发交付版需求文档</dc:subject>
  <dc:creator>OpenAI</dc:creator>
  <cp:keywords/>
  <dc:description>For internal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