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F4E79" w:val="clear"/>
          </w:tcPr>
          <w:p>
            <w:pPr>
              <w:spacing w:before="80" w:after="8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内部工作稿｜产品战略与 PRD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52"/>
        </w:rPr>
        <w:t>OptiMax（暂定名）</w:t>
      </w:r>
    </w:p>
    <w:p>
      <w:pPr>
        <w:spacing w:before="0" w:after="120" w:line="259" w:lineRule="auto"/>
        <w:jc w:val="left"/>
      </w:pPr>
      <w:r>
        <w:rPr>
          <w:rFonts w:ascii="Noto Sans CJK SC" w:hAnsi="Noto Sans CJK SC" w:eastAsia="Noto Sans CJK SC"/>
          <w:b/>
          <w:i w:val="0"/>
          <w:color w:val="222222"/>
          <w:sz w:val="42"/>
        </w:rPr>
        <w:t>面向大型央企 / 高科技制造 / 复杂供应链企业的</w:t>
        <w:br/>
        <w:t>风险预警与协同处置平台</w:t>
      </w:r>
    </w:p>
    <w:p>
      <w:pPr>
        <w:spacing w:before="0" w:after="240" w:line="240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2F75B5"/>
          <w:sz w:val="27"/>
        </w:rPr>
        <w:t>Agent-first 产品需求文档（PRD）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B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 xml:space="preserve">文档定位  </w:t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这是一份兼顾产品战略、业务蓝图、功能需求、交付路径与商业化节奏的完整 PRD。它不是单纯的“功能清单”，而是用于统一研发、实施、售前、运营与管理层预期的产品蓝图。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 w:val="clear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版本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20"/>
              </w:rPr>
              <w:t>v1.0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 w:val="clear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日期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20"/>
              </w:rPr>
              <w:t>2026-03-20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 w:val="clear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文档状态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20"/>
              </w:rPr>
              <w:t>Draft for Review / 供内部评审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 w:val="clear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适用对象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222222"/>
                <w:sz w:val="20"/>
              </w:rPr>
              <w:t>产品、研发、算法、实施、售前、业务负责人</w:t>
            </w:r>
          </w:p>
        </w:tc>
      </w:tr>
    </w:tbl>
    <w:p/>
    <w:p>
      <w:pPr>
        <w:spacing w:before="0" w:after="320" w:line="29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222222"/>
          <w:sz w:val="23"/>
        </w:rPr>
        <w:t>一句话定位：叠加在 ERP / SRM / 电子采购与计划系统之上的“风险 intelligence、业务影响量化与协同处置决策层平台”，以供应链知识图谱为底座、以 AI Agent 为工作引擎、以运筹学优化为差异化能力。</w:t>
      </w:r>
    </w:p>
    <w:p>
      <w:r>
        <w:rPr>
          <w:rFonts w:ascii="Noto Sans CJK SC" w:hAnsi="Noto Sans CJK SC" w:eastAsia="Noto Sans CJK SC"/>
          <w:color w:val="222222"/>
          <w:sz w:val="21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5"/>
              </w:rPr>
              <w:t>目录</w:t>
            </w:r>
          </w:p>
        </w:tc>
      </w:tr>
    </w:tbl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1. 战略背景与产品定位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2. 市场机会与竞品借鉴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3. 目标客户与核心角色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4. 典型场景与 JTBD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5. Agent-first 设计原则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6. 总体方案架构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7. Agent 体系设计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8. 核心业务流程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9. 功能需求明细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10. 数据、算法与模型工厂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11. 集成、权限与治理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12. 交互与页面信息架构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13. 非功能需求与成功指标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14. 路线图、交付与 POC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15. 商业模式、风险与附录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40" w:after="4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5"/>
              </w:rPr>
              <w:t>执行摘要｜为什么现在要做、为什么我们能赢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 xml:space="preserve">判断一｜客户要的不是“看见风险”，而是“把风险转成动作”  </w:t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大型央企与复杂制造客户已经把需求抽象为“监测→识别→评估→预警→处置闭环”，真正痛点不是没有数据，而是告警噪声高、影响链路不清、责任归属不清、系统联动弱、ROI 难量化。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 xml:space="preserve">判断二｜市场存在明显断层，正好构成产品窗口  </w:t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Prewave / Everstream / Resilinc 在外部情报与多层级映射上强，Kinaxis / SAP Ariba 在计划或流程执行上强，但“风险情报→业务影响→优化决策→闭环处置”仍未被完整打通。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 xml:space="preserve">判断三｜Agent-first 不是聊天优先，而是工作流优先  </w:t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我们不把 Agent 当问答入口，而是作为工作流中的数字同事：采集、映射、研判、建议、跟办、报告。Agent 负责完成任务，用户负责授权、判断与审计。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 xml:space="preserve">判断四｜真正的壁垒来自三件事叠加  </w:t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一是供应链知识图谱统一“事件—供应商—物料—订单—责任人”；二是 Agent 工作引擎让流程自动化而且可治理；三是 OR 模型工厂把处置从工作流升级为最优动作选择。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风险 intelligence</w:t>
            </w:r>
          </w:p>
        </w:tc>
        <w:tc>
          <w:tcPr>
            <w:tcW w:type="dxa" w:w="18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3F2FD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知识图谱</w:t>
            </w:r>
          </w:p>
        </w:tc>
        <w:tc>
          <w:tcPr>
            <w:tcW w:type="dxa" w:w="18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FE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Agent 引擎</w:t>
            </w:r>
          </w:p>
        </w:tc>
        <w:tc>
          <w:tcPr>
            <w:tcW w:type="dxa" w:w="18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1D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运筹优化</w:t>
            </w:r>
          </w:p>
        </w:tc>
        <w:tc>
          <w:tcPr>
            <w:tcW w:type="dxa" w:w="18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CE7E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协同闭环</w:t>
            </w:r>
          </w:p>
        </w:tc>
      </w:tr>
    </w:tbl>
    <w:p/>
    <w:p>
      <w:pPr>
        <w:pStyle w:val="Heading1"/>
        <w:spacing w:before="240" w:after="160" w:line="252" w:lineRule="auto"/>
        <w:jc w:val="left"/>
      </w:pPr>
      <w:r>
        <w:rPr>
          <w:rFonts w:ascii="Noto Sans CJK SC" w:hAnsi="Noto Sans CJK SC" w:eastAsia="Noto Sans CJK SC"/>
          <w:b/>
          <w:color w:val="1F4E79"/>
          <w:sz w:val="31"/>
        </w:rPr>
        <w:t>1. 战略背景与产品定位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1.1 背景与问题定义</w:t>
      </w:r>
    </w:p>
    <w:p>
      <w:pPr>
        <w:spacing w:before="0" w:after="120" w:line="29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本产品面向大型国央企、高科技制造、运营商与港口物流等复杂供应链场景，核心任务不是提供一个“风险展示平台”，而是作为现有 ERP / SRM / 采购 / 计划系统之上的风险运营与决策层，帮助客户把风险管理从“发现问题”升级为“识别影响、推动处置、沉淀方法论”。</w:t>
      </w:r>
    </w:p>
    <w:p>
      <w:pPr>
        <w:spacing w:before="0" w:after="120" w:line="29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从你提供的战略材料看，客户的业务认知已经非常清晰：第一，风险管理必须是工作流，而不是仅有大屏和看板；第二，外部风险与内部风险的判断逻辑不同，前者要 AI + 专家协同，后者更适合规则固化；第三，真正有价值的终局是闭环运营与持续优化，而不仅仅是发现问题。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根因层问题</w:t>
            </w:r>
          </w:p>
        </w:tc>
        <w:tc>
          <w:tcPr>
            <w:tcW w:type="dxa" w:w="226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典型表现</w:t>
            </w:r>
          </w:p>
        </w:tc>
        <w:tc>
          <w:tcPr>
            <w:tcW w:type="dxa" w:w="226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业务后果</w:t>
            </w:r>
          </w:p>
        </w:tc>
        <w:tc>
          <w:tcPr>
            <w:tcW w:type="dxa" w:w="294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产品应对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数据孤岛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外部与内部信息分散、口径不统一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分析可信度低，管理层不信任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统一数据接入 + 图谱建模 + 主数据治理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告警质量低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噪声多、重复多、相关性弱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告警疲劳，错失真正高价值风险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采集 Agent + 去重归并 + 实体映射 + 订阅策略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责任归属缺失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谁来处置、谁来审批不清晰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响应延迟，闭环率低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War Room / 工单 / SLA / 组织模型 / 审计留痕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价值难量化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无法证明风险与订单、交期、成本的关系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ROI 难讲，项目续约风险高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影响量化引擎 + 优化建议 + 指标看板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1.2 一句话定位与产品边界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B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 xml:space="preserve">定位  </w:t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面向大型复杂供应链企业，打造叠加在现有 ERP / SRM / 电子采购 / 计划系统之上的“风险预警与协同处置平台”；以高质量情报数据输入为入口、以供应链知识图谱为底座、以 AI Agent 为工作引擎、以运筹学优化为核心差异化。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边界</w:t>
            </w:r>
          </w:p>
        </w:tc>
        <w:tc>
          <w:tcPr>
            <w:tcW w:type="dxa" w:w="3912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纳入范围</w:t>
            </w:r>
          </w:p>
        </w:tc>
        <w:tc>
          <w:tcPr>
            <w:tcW w:type="dxa" w:w="3685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暂不纳入范围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产品边界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风险监测、实体映射、评分与影响量化、War Room、处置建议、报告运营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基础 ERP / SRM 主流程重构、通用 BI 平台、纯聊天型 AI 助手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技术边界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Agent 编排、规则引擎、图谱、优化模型、API 集成、安全审计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完全替代已有 APS / MES / OA 系统；通用搜索引擎能力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商业边界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软件许可 + 实施 + 情报订阅 + 模型共创 + 托管运营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一上来做全行业全风险全数据超级平台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1.3 产品目标与非目标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目标 1：在 90 分钟内完成重大外部事件的首轮预警，并将事件映射到供应商 / 物料 / 订单 / 区域。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目标 2：把高价值风险转化为可执行工单与 War Room 协同，提升闭环率与平均响应速度。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目标 3：建立“影响量化 → 处置建议 → 复盘沉淀”的方法链，先证明算得准，再证明建议有用。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目标 4：形成一个可复制的行业底座，可先从运营商或高科技制造灯塔项目打穿，再横向复制。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C00000"/>
          <w:sz w:val="21"/>
        </w:rPr>
        <w:t>非目标 1：不在第一阶段做全行业、全风险、全数据覆盖。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C00000"/>
          <w:sz w:val="21"/>
        </w:rPr>
        <w:t>非目标 2：不把资源大量消耗在炫酷大屏与演示层，而忽视数据、图谱、规则、流程和闭环。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C00000"/>
          <w:sz w:val="21"/>
        </w:rPr>
        <w:t>非目标 3：不把 Agent 做成泛聊天入口；核心目标是完成任务，而不是生成更多对话。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C00000"/>
          <w:sz w:val="21"/>
        </w:rPr>
        <w:t>非目标 4：不承诺外部风险 100% 自动判断；重大风险必须保留专家与管理者审核。</w:t>
      </w:r>
    </w:p>
    <w:p>
      <w:pPr>
        <w:pStyle w:val="Heading1"/>
        <w:spacing w:before="240" w:after="160" w:line="252" w:lineRule="auto"/>
        <w:jc w:val="left"/>
      </w:pPr>
      <w:r>
        <w:rPr>
          <w:rFonts w:ascii="Noto Sans CJK SC" w:hAnsi="Noto Sans CJK SC" w:eastAsia="Noto Sans CJK SC"/>
          <w:b/>
          <w:color w:val="1F4E79"/>
          <w:sz w:val="31"/>
        </w:rPr>
        <w:t>2. 市场机会与竞品借鉴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2.1 竞品格局：三类玩家、一个断层</w:t>
      </w:r>
    </w:p>
    <w:p>
      <w:pPr>
        <w:spacing w:before="0" w:after="120" w:line="29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当前竞品大体可分为三类：一类是专项风险 intelligence 平台，如 Prewave、Everstream、Interos、Resilinc；一类是采购或第三方治理套件中的风险模块，如 SAP Ariba Supplier Risk、Aravo、Sphera；一类是计划与响应优化平台，如 Kinaxis 与部分 Exiger 能力。它们各有强项，但很少有产品能把“外部信号 → 业务影响 → 最优动作 → 系统执行”打通。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64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竞品类型</w:t>
            </w:r>
          </w:p>
        </w:tc>
        <w:tc>
          <w:tcPr>
            <w:tcW w:type="dxa" w:w="2835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代表厂商</w:t>
            </w:r>
          </w:p>
        </w:tc>
        <w:tc>
          <w:tcPr>
            <w:tcW w:type="dxa" w:w="226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普遍强项</w:t>
            </w:r>
          </w:p>
        </w:tc>
        <w:tc>
          <w:tcPr>
            <w:tcW w:type="dxa" w:w="243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对我们的启发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风险 intelligence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Prewave / Everstream / Interos / Resilinc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全球监测、Tier-N 透明、风险评分、预警与协同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外部风险监测必须“情境化”，不是单纯资讯聚合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流程/合规套件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SAP Ariba / Aravo / Sphera / apexanalytix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嵌入采购与治理流程、整改工作流、合规留痕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风险必须嵌进业务流程，形成组织动作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计划/优化平台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Kinaxis / Exiger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场景模拟、约束求解、成本与交付优化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处置建议要具备优化能力，而不是只给专家建议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2.2 各家之所长：我们借什么、不抄什么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厂商</w:t>
            </w:r>
          </w:p>
        </w:tc>
        <w:tc>
          <w:tcPr>
            <w:tcW w:type="dxa" w:w="243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值得借鉴</w:t>
            </w:r>
          </w:p>
        </w:tc>
        <w:tc>
          <w:tcPr>
            <w:tcW w:type="dxa" w:w="232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不宜照搬</w:t>
            </w:r>
          </w:p>
        </w:tc>
        <w:tc>
          <w:tcPr>
            <w:tcW w:type="dxa" w:w="3175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我们对应策略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Prewave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60 分钟级预警、Tier-N 透明、风险矩阵与行动网络、集合/订阅机制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过度偏向合规任务管理，缺少“风险→订单/交期/成本”的量化与优化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吸收其预警优先级、集合订阅、Risk Matrix；强化影响计算与优化闭环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Resilinc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WarRooms、part-site 级映射、Agentic AI、what-if 场景与跟办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优化算法体系公开度有限，更多停留在仿真与建议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借鉴其协同处置与 Agent 编排方式，补上可解释优化模板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Kinaxis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并发计划、场景仿真、优化+启发式+ML 融合、Maestro Agents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对外部情报扫描不是主战场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用其“优化是第一等公民”的理念，嵌入风险处置主流程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Exiger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network-to-part、BOM 融合、合规证据链、Optimize for Anything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更偏制造与合规平台，组织级协同作战系统表达较弱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强化 BOM/订单/库存级影响链路，结合更强流程编排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Craft / Sphera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Case management、SLA、Supplier 360、专家验证、告警入工作流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优化能力弱、对中国大客户组织模型不够深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做央企级组织模型、审计与剧本库，增强本地化与治理能力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2.3 为什么现在做有窗口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外部环境不确定性持续：关税、制裁、地缘政治、天气灾害、原材料波动与网络安全风险正在叠加。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大客户内部数字化已进入深水区：数据接入不再是唯一难点，真正难的是跨系统、跨部门、跨层级的协同处置。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生成式 AI 正在从问答走向 agentic workflow，但大多数供应链风险产品还没有形成“可治理、可审计、可优化”的 Agent 体系。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国内国央企客户天然更在意本地部署、权限分级、审计留痕和组织适配，这为差异化打法提供了本地市场壁垒。</w:t>
      </w:r>
    </w:p>
    <w:p>
      <w:pPr>
        <w:pStyle w:val="Heading1"/>
        <w:spacing w:before="240" w:after="160" w:line="252" w:lineRule="auto"/>
        <w:jc w:val="left"/>
      </w:pPr>
      <w:r>
        <w:rPr>
          <w:rFonts w:ascii="Noto Sans CJK SC" w:hAnsi="Noto Sans CJK SC" w:eastAsia="Noto Sans CJK SC"/>
          <w:b/>
          <w:color w:val="1F4E79"/>
          <w:sz w:val="31"/>
        </w:rPr>
        <w:t>3. 目标客户与核心角色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3.1 目标行业与切入顺序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37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优先级</w:t>
            </w:r>
          </w:p>
        </w:tc>
        <w:tc>
          <w:tcPr>
            <w:tcW w:type="dxa" w:w="181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行业</w:t>
            </w:r>
          </w:p>
        </w:tc>
        <w:tc>
          <w:tcPr>
            <w:tcW w:type="dxa" w:w="311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切入理由</w:t>
            </w:r>
          </w:p>
        </w:tc>
        <w:tc>
          <w:tcPr>
            <w:tcW w:type="dxa" w:w="3515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典型痛点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P1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运营商 / 通信设备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已有渠道优势；政策与关键器件风险突出；组织层级复杂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芯片断供、国产替代、供应商集中度高、跨省协同复杂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P1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高科技制造 / 电子 / 装备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BOM 复杂、交付敏感、替代关系多、对优化价值敏感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原材料波动、交付延迟、质量异常、地缘与关税冲击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P1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港口 / 物流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供应链枢纽属性强，易形成可视化与调度价值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港口拥堵、航运中断、线路绕行、节点容量不足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P2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能源装备 / 轨交 / 航空航天 / 军工配套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高价值物料、合规要求高、断供代价大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供应链不可替代性强、审计要求高、协同链路长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3.2 核心用户角色画像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角色</w:t>
            </w:r>
          </w:p>
        </w:tc>
        <w:tc>
          <w:tcPr>
            <w:tcW w:type="dxa" w:w="226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核心诉求</w:t>
            </w:r>
          </w:p>
        </w:tc>
        <w:tc>
          <w:tcPr>
            <w:tcW w:type="dxa" w:w="2835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最关心的页面/动作</w:t>
            </w:r>
          </w:p>
        </w:tc>
        <w:tc>
          <w:tcPr>
            <w:tcW w:type="dxa" w:w="2835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成功标准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集团风控平台主管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看全局风险态势、闭环率、重大事件升级链路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驾驶舱、风险地图、集团/省公司协同、月报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高价值预警准确、处置闭环率提升、复盘可追责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供应链运营经理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把事件快速关联到业务影响并推动处置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风险工作台、War Room、影响分析、SLA 面板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平均响应时间下降、风险单跨部门流转顺畅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采购经理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知道哪个供应商/物料有问题以及替代方案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供应商画像、订阅、替代推荐、合同与价格分析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避免断供、降低加急成本、减少重复沟通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计划/库存经理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评估库存缓冲、调拨与排产影响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订单影响、库存视图、优化建议、场景模拟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按时交付、库存成本可控、策略可解释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工厂/质量负责人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快速定位受影响产线、批次与质量风险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工厂视图、质检关联、异常单、现场处置单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减少停线时间、提升问题定位效率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专家运营员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保证预警质量、知识沉淀与日报周报输出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事件池、审核队列、案例库、报告中心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噪声下降、报告及时、案例库持续增长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IT / 集成管理员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保障接入稳定、安全合规、权限与数据治理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接口监控、权限配置、主数据治理、审计日志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接入稳定、权限清晰、日志可审计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3.3 购买决策链与组织特点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购买不是 PLG，而是行业纵深 + 灯塔项目驱动。决策链通常包括业务负责人、信息化负责人、采购/风控负责人、实施与安全审计团队。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集团型客户存在总部—省公司—子公司—工厂四级组织，权限模型、数据隔离、模板下发与闭环留痕比“是否有 AI”更重要。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售前阶段最能打动客户的通常不是单个功能，而是“用一个真实风险剧本把发现—影响—动作—结果完整演示出来”。</w:t>
      </w:r>
    </w:p>
    <w:p>
      <w:pPr>
        <w:pStyle w:val="Heading1"/>
        <w:spacing w:before="240" w:after="160" w:line="252" w:lineRule="auto"/>
        <w:jc w:val="left"/>
      </w:pPr>
      <w:r>
        <w:rPr>
          <w:rFonts w:ascii="Noto Sans CJK SC" w:hAnsi="Noto Sans CJK SC" w:eastAsia="Noto Sans CJK SC"/>
          <w:b/>
          <w:color w:val="1F4E79"/>
          <w:sz w:val="31"/>
        </w:rPr>
        <w:t>4. 典型场景与 JTBD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4.1 外部风险 JTBD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场景</w:t>
            </w:r>
          </w:p>
        </w:tc>
        <w:tc>
          <w:tcPr>
            <w:tcW w:type="dxa" w:w="323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用户想完成的事（JTBD）</w:t>
            </w:r>
          </w:p>
        </w:tc>
        <w:tc>
          <w:tcPr>
            <w:tcW w:type="dxa" w:w="209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关键数据</w:t>
            </w:r>
          </w:p>
        </w:tc>
        <w:tc>
          <w:tcPr>
            <w:tcW w:type="dxa" w:w="226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平台输出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政策 / 制裁突发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当某地区政策或制裁变化时，我要知道哪些供应商、物料、订单受影响以及是否需要升级处置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政策公告、制裁名单、供应商主数据、订单、BOM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事件摘要、影响清单、风险等级、升级任务、替代建议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自然灾害 / 港口中断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当工厂或运输节点受灾时，我要知道会延迟哪些交付、是否需要调拨或改道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天气灾害、物流节点、库存、在途、订单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地图视图、交付影响、改道与调拨建议、War Room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原材料价格波动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当关键原材料或商品价格波动时，我要知道采购策略与利润影响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商品价格、合同、采购量、物料替代关系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成本影响分析、合同提醒、策略建议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供应商负面舆情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当供应商出现停产、裁员、火灾或合规问题时，我要判断是否是真正需要行动的风险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媒体/社交/公开信息、供应商网络、历史事件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去重聚合、实体映射、初评结果、操作优先级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4.2 内部风险 JTBD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内部环节</w:t>
            </w:r>
          </w:p>
        </w:tc>
        <w:tc>
          <w:tcPr>
            <w:tcW w:type="dxa" w:w="243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典型触发</w:t>
            </w:r>
          </w:p>
        </w:tc>
        <w:tc>
          <w:tcPr>
            <w:tcW w:type="dxa" w:w="249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当前问题</w:t>
            </w:r>
          </w:p>
        </w:tc>
        <w:tc>
          <w:tcPr>
            <w:tcW w:type="dxa" w:w="289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产品能力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需求风险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需求变更频繁、需求与执行偏差、取消率异常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依靠人工对比，发现晚、责任不清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规则引擎、异常阈值、校验模型、任务派发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采购风险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合同到期、评分标准不一致、价格联动缺失、保证金逾期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提醒分散，合规与效率难兼顾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合同规则、价格联动、主数据校验、流程提醒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执行风险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订单价格/配置异常、质量预警、超框架金额、超期接收、倒签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系统多头、审批链长、阻断不清晰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订单规则中心、审批阻断/放行、待办联动、质检关联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闭环处置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红黄预警后进入处理链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过程不可见，复盘缺失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风险工单、SLA、跟办 Agent、审计留痕、案例库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4.3 MVP 必打剧本（建议）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剧本 1：关键芯片或关键器件断供。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剧本 2：港口拥堵 / 物流中断导致交付延迟。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剧本 3：制裁实体暴露或合规红线触发。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剧本 4：原材料价格波动触发成本与采购策略调整。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7E8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A05A00"/>
                <w:sz w:val="22"/>
              </w:rPr>
              <w:t xml:space="preserve">MVP 选择原则  </w:t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优先选择“影响大、数据可得、处置动作明确、可量化 ROI”的场景；不要在第一期同时做过多风险域。</w:t>
            </w:r>
          </w:p>
        </w:tc>
      </w:tr>
    </w:tbl>
    <w:p/>
    <w:p>
      <w:pPr>
        <w:pStyle w:val="Heading1"/>
        <w:spacing w:before="240" w:after="160" w:line="252" w:lineRule="auto"/>
        <w:jc w:val="left"/>
      </w:pPr>
      <w:r>
        <w:rPr>
          <w:rFonts w:ascii="Noto Sans CJK SC" w:hAnsi="Noto Sans CJK SC" w:eastAsia="Noto Sans CJK SC"/>
          <w:b/>
          <w:color w:val="1F4E79"/>
          <w:sz w:val="31"/>
        </w:rPr>
        <w:t>5. Agent-first 设计原则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5.1 设计原则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原则 1：工作流优先，不做“聊天机器人优先”。Agent 的价值在于完成任务、调用工具、推动闭环，而不是增加对话轮次。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原则 2：Human-in-the-loop。外部风险研判、红色预警升级、关键供应商处置和涉及成本/交期重大取舍的动作必须经过授权审批。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原则 3：可解释与可审计。每次风险评分、影响判断和优化建议都要给出依据、约束、数据时间戳与版本号。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原则 4：嵌入组织，而非脱离组织。Agent 输出要落在真实责任链、SLA、审批、工单与例会上。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原则 5：先做 1-2 个行业纵深，再形成模板化复制。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5.2 Agent-first 的产品含义</w:t>
      </w:r>
    </w:p>
    <w:p>
      <w:pPr>
        <w:spacing w:before="0" w:after="120" w:line="29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所谓 Agent-first，不是把所有页面换成一个对话框，而是让每个关键节点都有可触发、可控、可回放的数字同事。采集 Agent 负责抓取与归并，映射 Agent 负责把事件挂到供应商/物料/订单上，研判 Agent 负责生成初评与解释，建议 Agent 负责调用模型给出可执行方案，跟办 Agent 负责 SLA 跟催、升级与复盘沉淀。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DEFEF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C00000"/>
                <w:sz w:val="22"/>
              </w:rPr>
              <w:t xml:space="preserve">关键禁忌  </w:t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不要把 Agent 直接设置为“自动下发高风险处置动作”。所有重大动作都必须经过权限、审批、审计日志和阈值治理。</w:t>
            </w:r>
          </w:p>
        </w:tc>
      </w:tr>
    </w:tbl>
    <w:p/>
    <w:p>
      <w:pPr>
        <w:pStyle w:val="Heading1"/>
        <w:spacing w:before="240" w:after="160" w:line="252" w:lineRule="auto"/>
        <w:jc w:val="left"/>
      </w:pPr>
      <w:r>
        <w:rPr>
          <w:rFonts w:ascii="Noto Sans CJK SC" w:hAnsi="Noto Sans CJK SC" w:eastAsia="Noto Sans CJK SC"/>
          <w:b/>
          <w:color w:val="1F4E79"/>
          <w:sz w:val="31"/>
        </w:rPr>
        <w:t>6. 总体方案架构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6.1 五层架构</w:t>
      </w:r>
    </w:p>
    <w:p>
      <w:r>
        <w:rPr>
          <w:rFonts w:ascii="Noto Sans CJK SC" w:hAnsi="Noto Sans CJK SC" w:eastAsia="Noto Sans CJK SC"/>
          <w:color w:val="222222"/>
          <w:sz w:val="21"/>
        </w:rPr>
        <w:drawing>
          <wp:inline xmlns:a="http://schemas.openxmlformats.org/drawingml/2006/main" xmlns:pic="http://schemas.openxmlformats.org/drawingml/2006/picture">
            <wp:extent cx="5760000" cy="3557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ax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Noto Sans CJK SC" w:hAnsi="Noto Sans CJK SC" w:eastAsia="Noto Sans CJK SC"/>
          <w:i/>
          <w:color w:val="667085"/>
          <w:sz w:val="18"/>
        </w:rPr>
        <w:t>图 1  Agent-first 五层总体架构（示意）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层次</w:t>
            </w:r>
          </w:p>
        </w:tc>
        <w:tc>
          <w:tcPr>
            <w:tcW w:type="dxa" w:w="294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核心职责</w:t>
            </w:r>
          </w:p>
        </w:tc>
        <w:tc>
          <w:tcPr>
            <w:tcW w:type="dxa" w:w="232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Agent 作用</w:t>
            </w:r>
          </w:p>
        </w:tc>
        <w:tc>
          <w:tcPr>
            <w:tcW w:type="dxa" w:w="277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OR / 算法作用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数据层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外部数据接入、内部系统接入、主数据治理、事件清洗与归并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采集 Agent、字段抽取 Agent、去重归并 Agent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提供结构化输入与时间序列底座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图谱层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实体标准化、别名归一、关系建模、Tier-N 与 BOM 链路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实体链接 Agent、关系补全 Agent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提供传播路径与脆弱节点结构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分析层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风险评分、影响量化、传播分析、订阅策略、场景仿真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研判 Agent、解释 Agent、知识问答 Agent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做优先级排序、影响计算、可解释评分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决策层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处置建议、Playbook 编排、优化模板与策略执行前评估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建议 Agent、方案编排 Agent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求解替代、调拨、库存、加急、成本与交期权衡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应用层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工作台、地图、消息中心、War Room、运营看板、报告中心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跟办 Agent、报告 Agent、会议纪要 Agent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输出 KPI 与资源优先级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6.2 关键系统边界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平台不是替代 ERP / SRM / OA / APS / MES，而是通过 API、事件流和工单联动，把风险认知与处置建议叠加到现有系统之上。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平台内部要建立自己的事件库、实体库、知识图谱、案例库与模型工厂；这些是可复制性与壁垒所在。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地图、驾驶舱与报告是“结果层”，不是产品核心。没有图谱、规则、Agent 和闭环，展示层价值会快速衰减。</w:t>
      </w:r>
    </w:p>
    <w:p>
      <w:pPr>
        <w:pStyle w:val="Heading1"/>
        <w:spacing w:before="240" w:after="160" w:line="252" w:lineRule="auto"/>
        <w:jc w:val="left"/>
      </w:pPr>
      <w:r>
        <w:rPr>
          <w:rFonts w:ascii="Noto Sans CJK SC" w:hAnsi="Noto Sans CJK SC" w:eastAsia="Noto Sans CJK SC"/>
          <w:b/>
          <w:color w:val="1F4E79"/>
          <w:sz w:val="31"/>
        </w:rPr>
        <w:t>7. Agent 体系设计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7.1 Agent 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247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Agent</w:t>
            </w:r>
          </w:p>
        </w:tc>
        <w:tc>
          <w:tcPr>
            <w:tcW w:type="dxa" w:w="181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触发条件</w:t>
            </w:r>
          </w:p>
        </w:tc>
        <w:tc>
          <w:tcPr>
            <w:tcW w:type="dxa" w:w="192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主要工具</w:t>
            </w:r>
          </w:p>
        </w:tc>
        <w:tc>
          <w:tcPr>
            <w:tcW w:type="dxa" w:w="221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输出</w:t>
            </w:r>
          </w:p>
        </w:tc>
        <w:tc>
          <w:tcPr>
            <w:tcW w:type="dxa" w:w="198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人工检查点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采集 Agent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新数据源到达 / 定时任务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采集器、分类器、去重器、摘要器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标准化事件、候选标签、来源可信度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新增高风险数据源需人工审核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实体映射 Agent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事件进入待映射队列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NER、别名库、主数据、图谱检索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供应商/物料/订单/区域关联结果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低置信映射与冲突映射需人工确认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研判 Agent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事件完成映射或规则触发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评分卡、历史案例、问答检索、解释模板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初步风险等级、影响假设、解释说明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红色预警与重大客户需专家确认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建议 Agent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事件进入处置阶段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优化模板、替代规则、库存/物流接口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可执行方案集、推荐方案、放弃方案原因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涉及重大成本/交期的方案需审批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跟办 Agent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工单创建 / SLA 到点 / 状态变化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消息中心、工单系统、通讯录、升级规则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提醒、催办、升级、会议纪要、复盘事项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升级路径可被管理员配置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报告 Agent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日报/周报/月报生成、会议前后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模板库、指标库、事件库、案例库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日报周报、专题报告、复盘报告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对外发出的报告需审核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7.2 Agent 状态机与治理</w:t>
      </w:r>
    </w:p>
    <w:p>
      <w:r>
        <w:rPr>
          <w:rFonts w:ascii="Noto Sans CJK SC" w:hAnsi="Noto Sans CJK SC" w:eastAsia="Noto Sans CJK SC"/>
          <w:color w:val="222222"/>
          <w:sz w:val="21"/>
        </w:rPr>
        <w:drawing>
          <wp:inline xmlns:a="http://schemas.openxmlformats.org/drawingml/2006/main" xmlns:pic="http://schemas.openxmlformats.org/drawingml/2006/picture">
            <wp:extent cx="5760000" cy="24395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ax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9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Noto Sans CJK SC" w:hAnsi="Noto Sans CJK SC" w:eastAsia="Noto Sans CJK SC"/>
          <w:i/>
          <w:color w:val="667085"/>
          <w:sz w:val="18"/>
        </w:rPr>
        <w:t>图 2  从监测到复盘的核心闭环（示意）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每个 Agent 任务都需要记录：输入数据快照、模型版本、提示词/规则版本、输出时间、置信度、人工修正记录。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Agent 的所有动作都要能被追踪为“任务实例”，以便后续复盘、质检和策略优化。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需要提供“禁止自动执行”的阈值配置：如涉及敏感供应商、红色预警、订单金额超过阈值、或涉密物料时，Agent 只能推荐，不得代执行。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应支持 Agent 的离线质量评估：映射准确率、初评采纳率、建议采纳率、误报率、跟办催办效果等。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7.3 自然语言交互的正确打开方式</w:t>
      </w:r>
    </w:p>
    <w:p>
      <w:pPr>
        <w:spacing w:before="0" w:after="120" w:line="29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自然语言能力主要用于四类场景：一是检索（如“最近一周影响芯片供应的高风险事件”）；二是解释（如“为什么该供应商被判为高风险”）；三是操作（如“生成本周风险简报并通知省公司负责人”）；四是分析（如“如果该供应商停产两周，影响哪些订单，推荐 3 个替代供应商”）。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7F7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6C73"/>
                <w:sz w:val="22"/>
              </w:rPr>
              <w:t xml:space="preserve">设计要求  </w:t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自然语言只是入口，最终必须落回结构化结果、可执行动作和审计留痕；不允许停留在“答案看起来不错”但无法追责的状态。</w:t>
            </w:r>
          </w:p>
        </w:tc>
      </w:tr>
    </w:tbl>
    <w:p/>
    <w:p>
      <w:pPr>
        <w:pStyle w:val="Heading1"/>
        <w:spacing w:before="240" w:after="160" w:line="252" w:lineRule="auto"/>
        <w:jc w:val="left"/>
      </w:pPr>
      <w:r>
        <w:rPr>
          <w:rFonts w:ascii="Noto Sans CJK SC" w:hAnsi="Noto Sans CJK SC" w:eastAsia="Noto Sans CJK SC"/>
          <w:b/>
          <w:color w:val="1F4E79"/>
          <w:sz w:val="31"/>
        </w:rPr>
        <w:t>8. 核心业务流程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8.1 外部风险流程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多源采集：持续抓取政策法规、行业动态、自然灾害、公共卫生、战争动乱、能源经济危机，以及供应商生产/交付/价格变化。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事件归并：对相同事件做去重、聚类与摘要，保留来源可信度与多语种原文。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实体映射：把事件映射到供应商、站点、物料、产品、订单、区域与责任人。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风险评估：评分卡 + 专家协同，判断风险等级、影响范围、持续时长和业务严重性。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预警与分派：按订阅策略精准推送，生成任务或 War Room，并指定 SLA 与责任人。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处置与复盘：执行替代、调拨、加急、合同动作等策略，形成复盘报告与案例沉淀。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8.2 内部风险流程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接入内部数据：需求、采购、订单、库存、质检、履约、审批等。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触发规则：当需求偏差、合同到期、价格异常、订单配置异常、质量异常等触发时，自动生成内部风险事件。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业务阻断与放行：根据规则等级决定是否提醒、是否强制审批、是否暂挂流程。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0"/>
        </w:rPr>
        <w:t>闭环工单：形成原因填写、责任认领、审批、升级、审计与复盘。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8.3 War Room / Case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020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阶段</w:t>
            </w:r>
          </w:p>
        </w:tc>
        <w:tc>
          <w:tcPr>
            <w:tcW w:type="dxa" w:w="3005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要解决的问题</w:t>
            </w:r>
          </w:p>
        </w:tc>
        <w:tc>
          <w:tcPr>
            <w:tcW w:type="dxa" w:w="255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关键产物</w:t>
            </w:r>
          </w:p>
        </w:tc>
        <w:tc>
          <w:tcPr>
            <w:tcW w:type="dxa" w:w="260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责任角色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建案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风险是否足够严重，需要组建跨部门协同？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War Room、事件编号、SLA、参会人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风控平台主管 / 运营经理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研判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受影响范围多大、哪些客户/订单/工厂受影响？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影响清单、假设前提、数据快照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研判专家 / 计划 / 采购 / 工厂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决策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什么动作最优、代价如何、需要谁批准？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推荐方案、备选方案、约束冲突说明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建议 Agent + 业务负责人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执行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任务是否落地、进度如何、是否需要升级？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任务面板、催办记录、状态流转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执行人 + 跟办 Agent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复盘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是否避免了损失、策略是否有效？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复盘报告、案例标签、模型反馈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运营经理 / 平台管理员</w:t>
            </w:r>
          </w:p>
        </w:tc>
      </w:tr>
    </w:tbl>
    <w:p/>
    <w:p>
      <w:pPr>
        <w:pStyle w:val="Heading1"/>
        <w:spacing w:before="240" w:after="160" w:line="252" w:lineRule="auto"/>
        <w:jc w:val="left"/>
      </w:pPr>
      <w:r>
        <w:rPr>
          <w:rFonts w:ascii="Noto Sans CJK SC" w:hAnsi="Noto Sans CJK SC" w:eastAsia="Noto Sans CJK SC"/>
          <w:b/>
          <w:color w:val="1F4E79"/>
          <w:sz w:val="31"/>
        </w:rPr>
        <w:t>9. 功能需求明细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9.1 MVP / P1 / P2 优先级定义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P0 / MVP：必须先做，支撑灯塔项目闭环。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P1：增强系统联动、治理与可解释性，提升复制能力。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P2：差异化深化阶段，重点体现 OR 优化与 Agent 自动跟办能力。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9.2 模块需求总表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247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模块</w:t>
            </w:r>
          </w:p>
        </w:tc>
        <w:tc>
          <w:tcPr>
            <w:tcW w:type="dxa" w:w="306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核心需求</w:t>
            </w:r>
          </w:p>
        </w:tc>
        <w:tc>
          <w:tcPr>
            <w:tcW w:type="dxa" w:w="79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优先级</w:t>
            </w:r>
          </w:p>
        </w:tc>
        <w:tc>
          <w:tcPr>
            <w:tcW w:type="dxa" w:w="198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成功标准</w:t>
            </w:r>
          </w:p>
        </w:tc>
        <w:tc>
          <w:tcPr>
            <w:tcW w:type="dxa" w:w="209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备注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外部数据接入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采集公开网页、公告、媒体、天气、物流、价格等；支持多源配置与来源治理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P0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新数据源配置 &lt; 2 天；重大来源断流有告警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支持来源启停、抓取频率、可信度管理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事件归并中心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去重、聚类、摘要、打标签、来源置信度、相似事件合并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P0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人工筛选时间下降 50%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同一事件跨语种可聚合；可追溯到原文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实体解析与图谱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供应商/站点/物料/订单/区域/责任人关联；别名归一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P0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Top 100 高价值供应商映射准确率 &gt; 85%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低置信匹配需人工确认队列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风险工作台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待处理事件池、审核队列、分派、备注、升级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P0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重大事件首轮预警 ≤ 90 分钟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支持按角色/团队/地区过滤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消息与订阅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集合、标签、优先级、实时/日报/周报通知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P0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高优先事件能精准触达责任人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支持角色订阅与阈值配置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内部规则引擎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需求/采购/执行三环节的阈值规则与流程联动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P0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20+ 核心场景自动触发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规则有版本与生效范围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风险地图与画像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供应商画像、工厂/区域地图、POI/Tier-N 可视化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P0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管理层可快速查看高风险聚集区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地图是结果层，依赖图谱数据准确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War Room / Case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风险单、协同评论、状态流转、会议纪要、附件与证据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P1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闭环率 &gt; 70%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支持团队与跨部门协同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评分与影响量化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风险评分、Impact、营收/订单/交期影响计算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P1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高价值预警准确率 &gt; 70%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可展示评分因子与影响链路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模型工厂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替代、库存、调拨、加急、成本/合同联动模板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P2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Top 风险处置时间下降 30%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每个模型有适用场景、输入、解释器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Agent 中心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Agent 编排、工具授权、质检、版本、回放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P2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建议采纳率与跟办效率持续上升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可配置自动/半自动/仅建议模式</w:t>
            </w:r>
          </w:p>
        </w:tc>
      </w:tr>
      <w:tr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运营与报告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日报周报月报、专题快报、案例库、KPI 运营面板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P1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管理层能持续看到价值沉淀</w:t>
            </w:r>
          </w:p>
        </w:tc>
        <w:tc>
          <w:tcPr>
            <w:tcW w:type="dxa" w:w="18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6"/>
              </w:rPr>
              <w:t>模板可按行业/组织复用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9.3 关键验收标准（摘录）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事件采集：同一重大事件从来源发现到进入风险工作台不超过 30 分钟，首轮人工或 Agent 审核后不超过 90 分钟完成预警。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实体映射：Top 100 高价值供应商 / 关键物料关联准确率 &gt; 85%；低置信样本全部进入人工审核队列。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工单闭环：高风险事件均生成责任人、SLA、状态流转与审计记录；每条记录均可导出复盘。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报告输出：日报/周报模板在 5 分钟内生成，支持一键发布与手动修订。</w:t>
      </w:r>
    </w:p>
    <w:p>
      <w:pPr>
        <w:pStyle w:val="Heading1"/>
        <w:spacing w:before="240" w:after="160" w:line="252" w:lineRule="auto"/>
        <w:jc w:val="left"/>
      </w:pPr>
      <w:r>
        <w:rPr>
          <w:rFonts w:ascii="Noto Sans CJK SC" w:hAnsi="Noto Sans CJK SC" w:eastAsia="Noto Sans CJK SC"/>
          <w:b/>
          <w:color w:val="1F4E79"/>
          <w:sz w:val="31"/>
        </w:rPr>
        <w:t>10. 数据、算法与模型工厂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10.1 数据模型与图谱对象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对象类型</w:t>
            </w:r>
          </w:p>
        </w:tc>
        <w:tc>
          <w:tcPr>
            <w:tcW w:type="dxa" w:w="238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关键字段</w:t>
            </w:r>
          </w:p>
        </w:tc>
        <w:tc>
          <w:tcPr>
            <w:tcW w:type="dxa" w:w="243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核心关系</w:t>
            </w:r>
          </w:p>
        </w:tc>
        <w:tc>
          <w:tcPr>
            <w:tcW w:type="dxa" w:w="277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为什么重要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企业/供应商/站点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名称、统一编码、地域、产能、风险属性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供应、隶属、位于、共享客户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是风险映射与多层级网络的基础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物料 / 零件 / 商品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料号、品类、替代关系、生命周期、关键性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由谁供应、用于哪些产品、替代于谁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决定影响传播与替代搜索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产品 / 订单 / 客户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交付日期、金额、优先级、客户等级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依赖哪些物料与工厂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决定业务严重性与服务水平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库存 / 在途 / 物流节点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库存位置、数量、可用量、运输路径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承接订单、受节点影响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决定调拨与加急策略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事件 / 风险 / 规则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事件类型、来源、时间、置信度、规则版本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影响对象、触发动作、对应案例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连接信号、判断与处置动作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10.2 评分引擎</w:t>
      </w:r>
    </w:p>
    <w:p>
      <w:pPr>
        <w:spacing w:before="0" w:after="120" w:line="29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222222"/>
          <w:sz w:val="21"/>
        </w:rPr>
        <w:t>建议评分采用“先可解释、后复杂化”的路线。第一阶段建立基础评分卡：风险严重度、关键性、替代性、订单影响、持续时长、节点脆弱性、地理暴露度。第二阶段再引入时间衰减、复发惩罚、专家修正、机器学习校准等增强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评分因子</w:t>
            </w:r>
          </w:p>
        </w:tc>
        <w:tc>
          <w:tcPr>
            <w:tcW w:type="dxa" w:w="306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说明</w:t>
            </w:r>
          </w:p>
        </w:tc>
        <w:tc>
          <w:tcPr>
            <w:tcW w:type="dxa" w:w="1587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建议值域</w:t>
            </w:r>
          </w:p>
        </w:tc>
        <w:tc>
          <w:tcPr>
            <w:tcW w:type="dxa" w:w="306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来源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事件严重度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该事件本身对业务的潜在破坏性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1-5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预警类型与专家规则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关键性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被影响物料/供应商/订单是否为关键节点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1-5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BOM、订单优先级、客户等级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替代性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是否存在可用替代供应商/物料/路线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1-5（越低越差）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图谱、规则、资格认证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暴露度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受影响订单金额、交付承诺与库存缓冲程度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1-5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订单、库存、在途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持续时长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事件预计持续时间及恢复难度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1-5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事件类型、历史样本、专家修正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复发性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近 24 个月是否出现过同类问题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1-5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事件库与案例库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10.3 模型工厂（OR 模板）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3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模板</w:t>
            </w:r>
          </w:p>
        </w:tc>
        <w:tc>
          <w:tcPr>
            <w:tcW w:type="dxa" w:w="272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解决问题</w:t>
            </w:r>
          </w:p>
        </w:tc>
        <w:tc>
          <w:tcPr>
            <w:tcW w:type="dxa" w:w="232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主要输入</w:t>
            </w:r>
          </w:p>
        </w:tc>
        <w:tc>
          <w:tcPr>
            <w:tcW w:type="dxa" w:w="260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输出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风险传播模型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沿 supplier-site-part-product-order-region 链路计算影响范围与时延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图谱、BOM、订单、节点脆弱性、恢复参数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受影响对象列表、传播路径、损失估计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替代与重构模型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寻找可用替代供应商、替代料、替代产地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资格约束、产能、成本、交期、合规约束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推荐替代组合与放弃原因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库存与缓冲优化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决定关键物料安全库存与缓冲期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需求预测、波动率、补货周期、服务水平目标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建议库存上限/下限与风险覆盖能力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调拨与加急模型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事件发生后选择最优调拨、加急、改道与优先级策略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库存分布、运输时效、订单承诺、容量约束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调拨计划、加急建议、成本增量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成本与合同联动模型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价格波动/关税变化下评估利润与采购策略影响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价格曲线、合同条款、采购量、毛利目标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成本影响、合同提醒、建议动作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7E8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A05A00"/>
                <w:sz w:val="22"/>
              </w:rPr>
              <w:t xml:space="preserve">模型策略  </w:t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第一阶段先做“看得见价值”的解释型模型；第二阶段再做规模更大的全局优化与鲁棒优化。原则上先证明“算得准”，再证明“建议有用”。</w:t>
            </w:r>
          </w:p>
        </w:tc>
      </w:tr>
    </w:tbl>
    <w:p/>
    <w:p>
      <w:pPr>
        <w:pStyle w:val="Heading1"/>
        <w:spacing w:before="240" w:after="160" w:line="252" w:lineRule="auto"/>
        <w:jc w:val="left"/>
      </w:pPr>
      <w:r>
        <w:rPr>
          <w:rFonts w:ascii="Noto Sans CJK SC" w:hAnsi="Noto Sans CJK SC" w:eastAsia="Noto Sans CJK SC"/>
          <w:b/>
          <w:color w:val="1F4E79"/>
          <w:sz w:val="31"/>
        </w:rPr>
        <w:t>11. 集成、权限与治理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11.1 集成范围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57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集成对象</w:t>
            </w:r>
          </w:p>
        </w:tc>
        <w:tc>
          <w:tcPr>
            <w:tcW w:type="dxa" w:w="170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集成方式</w:t>
            </w:r>
          </w:p>
        </w:tc>
        <w:tc>
          <w:tcPr>
            <w:tcW w:type="dxa" w:w="2835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关键字段</w:t>
            </w:r>
          </w:p>
        </w:tc>
        <w:tc>
          <w:tcPr>
            <w:tcW w:type="dxa" w:w="289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用途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ERP / SRM / 采购平台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API / ETL / 消息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供应商、合同、采购订单、付款、评分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供应商画像、采购规则、合同与价格联动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BOM / MES / APS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API / 文件 / 数据总线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物料、工艺路线、产线、排产、替代关系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影响传播、替代搜索、排产决策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库存 / WMS / TMS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API / 消息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库存、在途、仓库、线路、时效、运费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调拨与物流改道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OA / 工单 / IM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Webhook / API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用户、团队、待办、审批、消息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SLA、协同与升级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外部情报源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采集器 / 第三方接口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新闻、政策、天气、制裁、价格、招投标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风险发现与证据留存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11.2 权限与组织模型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支持集团 / 事业部 / 省公司 / 子公司 / 工厂 / 项目多层级组织模型。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支持团队可见、角色可见、事件级保密与供应商敏感信息隔离。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支持总部模板下发、分级响应、升级策略、区域管理与案例共享。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支持面向央企的审计与权限要求：谁看过、谁修改、谁批准、基于什么数据和版本。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11.3 安全、合规与 AI 治理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治理主题</w:t>
            </w:r>
          </w:p>
        </w:tc>
        <w:tc>
          <w:tcPr>
            <w:tcW w:type="dxa" w:w="7370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要求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部署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支持本地部署、专有云或混合部署；对情报订阅模块与客户私有数据做明确边界隔离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审计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事件、模型、Agent、审批与导出操作全链路留痕，满足审计与内控要求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数据治理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主数据版本管理、敏感字段脱敏、来源可信度管理、数据保留策略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模型治理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规则版本、模型版本、提示词版本、Agent 授权边界可追溯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安全合规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满足客户对信创、数据出境、制裁/出口管制等合规要求的评估与落地</w:t>
            </w:r>
          </w:p>
        </w:tc>
      </w:tr>
    </w:tbl>
    <w:p/>
    <w:p>
      <w:pPr>
        <w:pStyle w:val="Heading1"/>
        <w:spacing w:before="240" w:after="160" w:line="252" w:lineRule="auto"/>
        <w:jc w:val="left"/>
      </w:pPr>
      <w:r>
        <w:rPr>
          <w:rFonts w:ascii="Noto Sans CJK SC" w:hAnsi="Noto Sans CJK SC" w:eastAsia="Noto Sans CJK SC"/>
          <w:b/>
          <w:color w:val="1F4E79"/>
          <w:sz w:val="31"/>
        </w:rPr>
        <w:t>12. 交互与页面信息架构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12.1 关键页面结构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页面</w:t>
            </w:r>
          </w:p>
        </w:tc>
        <w:tc>
          <w:tcPr>
            <w:tcW w:type="dxa" w:w="198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服务对象</w:t>
            </w:r>
          </w:p>
        </w:tc>
        <w:tc>
          <w:tcPr>
            <w:tcW w:type="dxa" w:w="3175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核心内容</w:t>
            </w:r>
          </w:p>
        </w:tc>
        <w:tc>
          <w:tcPr>
            <w:tcW w:type="dxa" w:w="255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关键动作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风险工作台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专家运营 / 风控经理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待审核事件、优先级、标签、映射结果、建议动作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确认、升级、分派、合并、忽略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供应商画像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采购 / 风控 / 计划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360 评分、历史预警、Tier-N、证书、动作记录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订阅、建案、发问卷、查看影响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风险地图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管理层 / 运营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全球/全国/区域风险分布、节点状态、POI/Tier-N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筛选、钻取、查看影响清单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War Room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跨部门协同团队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任务列表、SLA、评论、会议纪要、处置方案、证据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认领、评论、升级、关闭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优化中心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计划 / 采购 / 运营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推荐方案、参数、约束冲突、对比场景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采纳、修改参数、导出方案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报告中心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管理层 / 运营 / 售前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日报周报月报、专题快报、案例复盘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生成、发布、归档、分享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12.2 交互原则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风险页面应优先展示：事件是什么、影响谁、为什么判定、现在该做什么。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每个高风险事件都必须至少对应一个责任人、一个 SLA、一个下一步动作。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地图与大屏服务于“概览与钻取”，但真正的工作应回到工作台和 War Room。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自然语言助手不应取代表单与结构化字段；对外发报告、审批与优化方案必须结构化留痕。</w:t>
      </w:r>
    </w:p>
    <w:p>
      <w:pPr>
        <w:pStyle w:val="Heading1"/>
        <w:spacing w:before="240" w:after="160" w:line="252" w:lineRule="auto"/>
        <w:jc w:val="left"/>
      </w:pPr>
      <w:r>
        <w:rPr>
          <w:rFonts w:ascii="Noto Sans CJK SC" w:hAnsi="Noto Sans CJK SC" w:eastAsia="Noto Sans CJK SC"/>
          <w:b/>
          <w:color w:val="1F4E79"/>
          <w:sz w:val="31"/>
        </w:rPr>
        <w:t>13. 非功能需求与成功指标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13.1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类别</w:t>
            </w:r>
          </w:p>
        </w:tc>
        <w:tc>
          <w:tcPr>
            <w:tcW w:type="dxa" w:w="7483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要求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可用性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关键工作台可用性 ≥ 99.5%；核心任务有降级策略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时效性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重大事件首轮预警 ≤ 90 分钟；内部规则触发尽量实时或分钟级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性能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Top 1000 供应商、Top 100 关键物料场景下，风险列表与画像查询秒级响应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可扩展性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支持新增风险类型、行业模板、规则模板与优化模板的低成本扩展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可解释性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风险评分、影响计算、优化建议均需输出可解释因子与依据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13.2 产品成功指标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587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指标类别</w:t>
            </w:r>
          </w:p>
        </w:tc>
        <w:tc>
          <w:tcPr>
            <w:tcW w:type="dxa" w:w="2835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指标</w:t>
            </w:r>
          </w:p>
        </w:tc>
        <w:tc>
          <w:tcPr>
            <w:tcW w:type="dxa" w:w="170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目标值（建议）</w:t>
            </w:r>
          </w:p>
        </w:tc>
        <w:tc>
          <w:tcPr>
            <w:tcW w:type="dxa" w:w="2835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阶段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预警效率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重大事件到首轮预警时长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≤ 90 分钟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Phase 1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预警质量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高价值预警准确率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&gt; 70%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Phase 3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运营效率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人工筛选时间下降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&gt; 50%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Phase 1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闭环质量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高风险事件闭环率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&gt; 70%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Phase 2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分析效率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重大事件分析时长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≤ 4 小时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Phase 3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决策效果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Top 风险处置时间下降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&gt; 30%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Phase 4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方案价值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优化建议采纳率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逐季提升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Phase 4</w:t>
            </w:r>
          </w:p>
        </w:tc>
      </w:tr>
    </w:tbl>
    <w:p/>
    <w:p>
      <w:pPr>
        <w:pStyle w:val="Heading1"/>
        <w:spacing w:before="240" w:after="160" w:line="252" w:lineRule="auto"/>
        <w:jc w:val="left"/>
      </w:pPr>
      <w:r>
        <w:rPr>
          <w:rFonts w:ascii="Noto Sans CJK SC" w:hAnsi="Noto Sans CJK SC" w:eastAsia="Noto Sans CJK SC"/>
          <w:b/>
          <w:color w:val="1F4E79"/>
          <w:sz w:val="31"/>
        </w:rPr>
        <w:t>14. 路线图、交付与 POC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14.1 路线图</w:t>
      </w:r>
    </w:p>
    <w:p>
      <w:r>
        <w:rPr>
          <w:rFonts w:ascii="Noto Sans CJK SC" w:hAnsi="Noto Sans CJK SC" w:eastAsia="Noto Sans CJK SC"/>
          <w:color w:val="222222"/>
          <w:sz w:val="21"/>
        </w:rPr>
        <w:drawing>
          <wp:inline xmlns:a="http://schemas.openxmlformats.org/drawingml/2006/main" xmlns:pic="http://schemas.openxmlformats.org/drawingml/2006/picture">
            <wp:extent cx="5760000" cy="2234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ax_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4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Noto Sans CJK SC" w:hAnsi="Noto Sans CJK SC" w:eastAsia="Noto Sans CJK SC"/>
          <w:i/>
          <w:color w:val="667085"/>
          <w:sz w:val="18"/>
        </w:rPr>
        <w:t>图 3  建议路线图（示意）</w:t>
      </w:r>
    </w:p>
    <w:p>
      <w:r>
        <w:rPr>
          <w:rFonts w:ascii="Noto Sans CJK SC" w:hAnsi="Noto Sans CJK SC" w:eastAsia="Noto Sans CJK SC"/>
          <w:color w:val="222222"/>
          <w:sz w:val="21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17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阶段</w:t>
            </w:r>
          </w:p>
        </w:tc>
        <w:tc>
          <w:tcPr>
            <w:tcW w:type="dxa" w:w="181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目标</w:t>
            </w:r>
          </w:p>
        </w:tc>
        <w:tc>
          <w:tcPr>
            <w:tcW w:type="dxa" w:w="328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交付重点</w:t>
            </w:r>
          </w:p>
        </w:tc>
        <w:tc>
          <w:tcPr>
            <w:tcW w:type="dxa" w:w="2665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关键成功指标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Phase 1｜MVP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打通外部风险监测与基础闭环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风险分类体系、事件采集归并、实体映射、风险工作台、消息推送、基础地图、日报周报、风险单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重大事件预警 ≤ 90 分钟；人工筛选时间下降 50%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Phase 2｜联动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联动内部系统，引入自然语言助手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订单/合同/库存/质检接入、内部规则引擎、总部/省公司协同、供应商画像 V1、案例库、大屏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核心内部规则覆盖 20-50 个场景；闭环率 &gt; 70%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Phase 3｜评估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让风险与业务影响强关联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评分卡、影响量化引擎、订单/产品关联分析、传播推演、订阅与运营指标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高价值预警准确率 &gt; 70%；重大事件分析 ≤ 4 小时</w:t>
            </w:r>
          </w:p>
        </w:tc>
      </w:tr>
      <w:tr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Phase 4｜优化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整合 OR 算子，形成差异化决策能力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替代推荐、库存/调拨/加急优化、处置 Playbook、Agent 跟办、行业模板、What-if</w:t>
            </w:r>
          </w:p>
        </w:tc>
        <w:tc>
          <w:tcPr>
            <w:tcW w:type="dxa" w:w="23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Top 风险处置时间下降 30%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14.2 交付与商业模式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核心交付采用本地化部署或专有云部署，按项目交付给客户，以满足数据安全与组织协同要求。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增值订阅可包括：外部风险情报订阅、行业风险快报、模型更新服务。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22222"/>
          <w:sz w:val="21"/>
        </w:rPr>
        <w:t>高附加值服务可包括：托管运营、月度风险评审、策略优化、行业方法论咨询。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收入类型</w:t>
            </w:r>
          </w:p>
        </w:tc>
        <w:tc>
          <w:tcPr>
            <w:tcW w:type="dxa" w:w="3969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内容</w:t>
            </w:r>
          </w:p>
        </w:tc>
        <w:tc>
          <w:tcPr>
            <w:tcW w:type="dxa" w:w="3402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价值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软件许可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平台许可、本地部署能力、基础模块授权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构成一次性项目收入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实施服务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集成、配置、培训、模板共创、组织落地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确保首个灯塔项目成功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情报订阅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外部风险数据、行业快报、事件推送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持续收入与客户粘性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模型与运营服务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模型更新、托管运营、月度评审、策略优化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提升客单价与长期价值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14.3 POC 策略（补全）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POC 要素</w:t>
            </w:r>
          </w:p>
        </w:tc>
        <w:tc>
          <w:tcPr>
            <w:tcW w:type="dxa" w:w="7257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周期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8-12 周，最多不超过 1 个行业、1-2 个业务单元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范围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200-500 家供应商、20-50 个关键物料、3-5 个核心数据源、2-3 个关键剧本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必选剧本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关键器件断供、港口/物流中断、制裁暴露或价格波动三选二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交付内容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事件监测、实体映射、工作台、War Room、至少 1 个优化模板、周报与复盘报告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验收口径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高价值预警准确率、响应时长、闭环率、1-2 个真实处置案例、1 次管理层汇报</w:t>
            </w:r>
          </w:p>
        </w:tc>
      </w:tr>
      <w:tr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客户投入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主数据、接口支持、业务专家、责任链配置、案例复盘参与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7F7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F6C73"/>
                <w:sz w:val="22"/>
              </w:rPr>
              <w:t xml:space="preserve">POC 成功标准  </w:t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不追求做“大而全”的平台演示，而要在一个剧本中完整证明：系统能发现风险、能说明影响、能驱动动作、能产生可量化价值。</w:t>
            </w:r>
          </w:p>
        </w:tc>
      </w:tr>
    </w:tbl>
    <w:p/>
    <w:p>
      <w:pPr>
        <w:pStyle w:val="Heading1"/>
        <w:spacing w:before="240" w:after="160" w:line="252" w:lineRule="auto"/>
        <w:jc w:val="left"/>
      </w:pPr>
      <w:r>
        <w:rPr>
          <w:rFonts w:ascii="Noto Sans CJK SC" w:hAnsi="Noto Sans CJK SC" w:eastAsia="Noto Sans CJK SC"/>
          <w:b/>
          <w:color w:val="1F4E79"/>
          <w:sz w:val="31"/>
        </w:rPr>
        <w:t>15. 商业模式、风险与附录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15.1 主要风险与应对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风险</w:t>
            </w:r>
          </w:p>
        </w:tc>
        <w:tc>
          <w:tcPr>
            <w:tcW w:type="dxa" w:w="2835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表现</w:t>
            </w:r>
          </w:p>
        </w:tc>
        <w:tc>
          <w:tcPr>
            <w:tcW w:type="dxa" w:w="4649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应对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数据授权不足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外部源覆盖不够、内部主数据质量差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先做高价值数据源与 Top 供应商清洗，建立主数据治理机制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预警噪声高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误报多、用户疲劳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分级优先级、集合订阅、专家审核与案例反馈闭环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组织推动困难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多部门都认为风险管理不是自己职责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War Room + SLA + 管理看板 + 复盘机制，建立责任链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价值难以证明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客户觉得“看板很好看，但业务没变”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从第一天就绑定订单/交期/成本/库存指标，输出 ROI 复盘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Agent 信任不足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用户担心 AI 胡乱判断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Human-in-the-loop、阈值治理、可解释输出、版本化审计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15.2 明确不建议做的事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C00000"/>
          <w:sz w:val="21"/>
        </w:rPr>
        <w:t>不要一开始做“全行业、全风险、全数据”的超级平台。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C00000"/>
          <w:sz w:val="21"/>
        </w:rPr>
        <w:t>不要把大部分资源投入在大屏和炫酷可视化，而忽略图谱、规则、流程与闭环。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C00000"/>
          <w:sz w:val="21"/>
        </w:rPr>
        <w:t>不要把 Agent 仅仅做成聊天入口；真正的效率来自任务自动完成。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C00000"/>
          <w:sz w:val="21"/>
        </w:rPr>
        <w:t>不要只做预警不做处置建议；客户最终一定会追问“那我现在该怎么办”。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C00000"/>
          <w:sz w:val="21"/>
        </w:rPr>
        <w:t>不要承诺外部风险 100% 自动判断；必须保留 AI 与专家协同。</w:t>
      </w:r>
    </w:p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15.3 组织建议（内部）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角色</w:t>
            </w:r>
          </w:p>
        </w:tc>
        <w:tc>
          <w:tcPr>
            <w:tcW w:type="dxa" w:w="170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建议配置</w:t>
            </w:r>
          </w:p>
        </w:tc>
        <w:tc>
          <w:tcPr>
            <w:tcW w:type="dxa" w:w="5669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核心职责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产品负责人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1 人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定义优先级、行业模板、跨团队取舍与发布节奏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行业解决方案负责人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1-2 人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沉淀行业风险 taxonomy、剧本与方法论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算法 / 优化负责人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1-2 人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构建评分、传播与优化模板及解释器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Agent / 平台工程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2-4 人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搭建 Agent 工作引擎、工具调用与治理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数据 / 集成工程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2-3 人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外部情报接入、内部系统集成、主数据治理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专家运营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1-2 人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8"/>
              </w:rPr>
              <w:t>预警质检、案例复盘、周报与模板沉淀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15.4 附录 A：竞品借鉴映射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31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竞品</w:t>
            </w:r>
          </w:p>
        </w:tc>
        <w:tc>
          <w:tcPr>
            <w:tcW w:type="dxa" w:w="3402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可借鉴模式</w:t>
            </w:r>
          </w:p>
        </w:tc>
        <w:tc>
          <w:tcPr>
            <w:tcW w:type="dxa" w:w="4252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对应到本 PRD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Prewave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集合订阅、优先级体系、Risk Matrix、Tier-N 可视化、Action Platform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消息订阅、风险矩阵、画像与地图、协同动作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Resilinc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WarRooms、part-site 多层级映射、AI Agents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War Room、Agent 编排、零件/站点级影响链路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Kinaxis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优化+启发式+ML 融合、Maestro Agents、Scenario Planning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模型工厂、What-if 场景、建议 Agent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Exiger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network-to-part、BOM 融合、合规证据链、Optimize for Anything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图谱底座、BOM/订单影响、优化中心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Craft / Sphera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Case management、SLA、告警入工作流、AI 摘要 + 专家验证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Case、SLA、报告 Agent、专家运营机制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15.5 附录 B：研究依据与来源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类型</w:t>
            </w:r>
          </w:p>
        </w:tc>
        <w:tc>
          <w:tcPr>
            <w:tcW w:type="dxa" w:w="3969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来源</w:t>
            </w:r>
          </w:p>
        </w:tc>
        <w:tc>
          <w:tcPr>
            <w:tcW w:type="dxa" w:w="3798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用途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内部材料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第一版-产品战略思考点.md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用于明确定位、优先行业、能力蓝图、路线图与非目标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内部材料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Prewave-Click-Guide-手册.md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用于拆解集合/订阅、Feed、Watchlist、Tier-N、Risk Matrix、角色模型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内部材料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面向大型央企/高科技制造/复杂供应链企业的竞品深度分析报告.md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用于形成竞品格局、差异化机会、路线图与攻防策略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官方公开资料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Prewave 官方主页 / Monitoring &amp; Alerting / Action Platform（访问日期 2026-03-20）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校准其当前对外叙事、风险覆盖、速度与行动平台能力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官方公开资料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Kinaxis Maestro / Tariff Response / AI in Supply Chain（访问日期 2026-03-20）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校准其当前优化、场景规划与 Agent 路线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官方公开资料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Exiger Supply Chain（访问日期 2026-03-20）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校准其 network-to-part、BOM 与优化叙事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 xml:space="preserve">说明  </w:t>
            </w:r>
            <w:r>
              <w:rPr>
                <w:rFonts w:ascii="Noto Sans CJK SC" w:hAnsi="Noto Sans CJK SC" w:eastAsia="Noto Sans CJK SC"/>
                <w:color w:val="222222"/>
                <w:sz w:val="20"/>
              </w:rPr>
              <w:t>本 PRD 已尽量将战略、需求、交付与商业化打通，但仍有三类问题建议在立项前二次确认：① 目标行业与灯塔客户优先级；② 外部情报源授权与内部系统接入可得性；③ 第一批优化模板的业务 ROI 口径。</w:t>
            </w:r>
          </w:p>
        </w:tc>
      </w:tr>
    </w:tbl>
    <w:p/>
    <w:p>
      <w:pPr>
        <w:pStyle w:val="Heading2"/>
        <w:spacing w:before="160" w:after="120" w:line="252" w:lineRule="auto"/>
        <w:jc w:val="left"/>
      </w:pPr>
      <w:r>
        <w:rPr>
          <w:rFonts w:ascii="Noto Sans CJK SC" w:hAnsi="Noto Sans CJK SC" w:eastAsia="Noto Sans CJK SC"/>
          <w:b/>
          <w:color w:val="0F6C73"/>
          <w:sz w:val="25"/>
        </w:rPr>
        <w:t>15.6 建议的 30/60/90 天行动计划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周期</w:t>
            </w:r>
          </w:p>
        </w:tc>
        <w:tc>
          <w:tcPr>
            <w:tcW w:type="dxa" w:w="4309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建议动作</w:t>
            </w:r>
          </w:p>
        </w:tc>
        <w:tc>
          <w:tcPr>
            <w:tcW w:type="dxa" w:w="3402"/>
            <w:shd w:fill="D9EAF7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预期产出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前 30 天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确定灯塔行业与 1-2 个核心剧本；完成客户访谈与主数据摸底；锁定 POC 范围与接口清单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行业优先级、POC 清单、数据差距清单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31-60 天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打通外部情报源 + 内部 1-2 个系统；上线事件归并、实体映射、风险工作台原型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可演示闭环原型、首批风险 taxonomy、Top 供应商画像</w:t>
            </w:r>
          </w:p>
        </w:tc>
      </w:tr>
      <w:tr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61-90 天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上线 War Room 与至少 1 个优化模板；产出第一版周报与复盘报告；组织管理层汇报</w:t>
            </w:r>
          </w:p>
        </w:tc>
        <w:tc>
          <w:tcPr>
            <w:tcW w:type="dxa" w:w="31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222222"/>
                <w:sz w:val="17"/>
              </w:rPr>
              <w:t>可交付 POC、量化指标、下一阶段投资依据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7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A7A7A"/>
        <w:sz w:val="16"/>
      </w:rPr>
      <w:t>内部工作稿｜Version 1.0｜2026-03-20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E6A71"/>
        <w:sz w:val="17"/>
      </w:rPr>
      <w:t>OptiMax（暂定名）｜风险预警与协同处置平台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SC" w:hAnsi="Noto Sans CJK SC" w:eastAsia="Noto Sans CJK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222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2222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color w:val="2222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color w:val="2222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